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libri" w:cs="Calibri" w:eastAsia="Calibri" w:hAnsi="Calibri"/>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2">
            <w:pPr>
              <w:pageBreakBefore w:val="0"/>
              <w:ind w:firstLine="630"/>
              <w:rPr>
                <w:rFonts w:ascii="Calibri" w:cs="Calibri" w:eastAsia="Calibri" w:hAnsi="Calibri"/>
              </w:rPr>
            </w:pPr>
            <w:r w:rsidDel="00000000" w:rsidR="00000000" w:rsidRPr="00000000">
              <w:rPr>
                <w:rFonts w:ascii="Calibri" w:cs="Calibri" w:eastAsia="Calibri" w:hAnsi="Calibri"/>
                <w:rtl w:val="0"/>
              </w:rPr>
              <w:t xml:space="preserve">In StudySync’s skill lessons, you will find videos and text in both the Define tab and Model tab. As you watch and read, take notes by writing the main ideas, key concepts, and terms on the left side of the table with the corresponding notes, explanations, definitions, and/or methods on the right side of the table.  </w:t>
            </w:r>
          </w:p>
        </w:tc>
      </w:tr>
    </w:tbl>
    <w:p w:rsidR="00000000" w:rsidDel="00000000" w:rsidP="00000000" w:rsidRDefault="00000000" w:rsidRPr="00000000" w14:paraId="00000003">
      <w:pPr>
        <w:pageBreakBefore w:val="0"/>
        <w:rPr>
          <w:rFonts w:ascii="Calibri" w:cs="Calibri" w:eastAsia="Calibri" w:hAnsi="Calibri"/>
        </w:rPr>
      </w:pPr>
      <w:r w:rsidDel="00000000" w:rsidR="00000000" w:rsidRPr="00000000">
        <w:rPr>
          <w:rtl w:val="0"/>
        </w:rPr>
      </w:r>
    </w:p>
    <w:tbl>
      <w:tblPr>
        <w:tblStyle w:val="Table2"/>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8100"/>
        <w:tblGridChange w:id="0">
          <w:tblGrid>
            <w:gridCol w:w="2700"/>
            <w:gridCol w:w="8100"/>
          </w:tblGrid>
        </w:tblGridChange>
      </w:tblGrid>
      <w:tr>
        <w:trPr>
          <w:cantSplit w:val="0"/>
          <w:trHeight w:val="735"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Key Terms/ Main Ideas / Key Concepts</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Notes / Explanation / Definition / Method</w:t>
            </w:r>
          </w:p>
        </w:tc>
      </w:tr>
      <w:tr>
        <w:trPr>
          <w:cantSplit w:val="0"/>
          <w:tblHeader w:val="0"/>
        </w:trPr>
        <w:tc>
          <w:tcPr>
            <w:shd w:fill="f3f3f3" w:val="clear"/>
            <w:tcMar>
              <w:top w:w="100.0" w:type="dxa"/>
              <w:left w:w="100.0" w:type="dxa"/>
              <w:bottom w:w="100.0" w:type="dxa"/>
              <w:right w:w="100.0" w:type="dxa"/>
            </w:tcMar>
          </w:tcPr>
          <w:p w:rsidR="00000000" w:rsidDel="00000000" w:rsidP="00000000" w:rsidRDefault="00000000" w:rsidRPr="00000000" w14:paraId="0000000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is a “root”? </w:t>
            </w:r>
          </w:p>
          <w:p w:rsidR="00000000" w:rsidDel="00000000" w:rsidP="00000000" w:rsidRDefault="00000000" w:rsidRPr="00000000" w14:paraId="00000007">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Hint: look for the answer in the video, Sync🟠Skills, or find it by clicking on the transcript icon (🗎) , both of which are under the “</w:t>
            </w:r>
            <w:hyperlink r:id="rId6">
              <w:r w:rsidDel="00000000" w:rsidR="00000000" w:rsidRPr="00000000">
                <w:rPr>
                  <w:rFonts w:ascii="Calibri" w:cs="Calibri" w:eastAsia="Calibri" w:hAnsi="Calibri"/>
                  <w:i w:val="1"/>
                  <w:iCs w:val="1"/>
                  <w:color w:val="1155cc"/>
                  <w:u w:val="single"/>
                  <w:rtl w:val="0"/>
                </w:rPr>
                <w:t xml:space="preserve">Define</w:t>
              </w:r>
            </w:hyperlink>
            <w:r w:rsidDel="00000000" w:rsidR="00000000" w:rsidRPr="00000000">
              <w:rPr>
                <w:rFonts w:ascii="Calibri" w:cs="Calibri" w:eastAsia="Calibri" w:hAnsi="Calibri"/>
                <w:i w:val="1"/>
                <w:iCs w:val="1"/>
                <w:rtl w:val="0"/>
              </w:rPr>
              <w:t xml:space="preserve">” tab.</w:t>
            </w:r>
          </w:p>
          <w:p w:rsidR="00000000" w:rsidDel="00000000" w:rsidP="00000000" w:rsidRDefault="00000000" w:rsidRPr="00000000" w14:paraId="00000009">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Hint: look under the “</w:t>
            </w:r>
            <w:hyperlink r:id="rId7">
              <w:r w:rsidDel="00000000" w:rsidR="00000000" w:rsidRPr="00000000">
                <w:rPr>
                  <w:rFonts w:ascii="Calibri" w:cs="Calibri" w:eastAsia="Calibri" w:hAnsi="Calibri"/>
                  <w:i w:val="1"/>
                  <w:iCs w:val="1"/>
                  <w:color w:val="1155cc"/>
                  <w:u w:val="single"/>
                  <w:rtl w:val="0"/>
                </w:rPr>
                <w:t xml:space="preserve">Define</w:t>
              </w:r>
            </w:hyperlink>
            <w:r w:rsidDel="00000000" w:rsidR="00000000" w:rsidRPr="00000000">
              <w:rPr>
                <w:rFonts w:ascii="Calibri" w:cs="Calibri" w:eastAsia="Calibri" w:hAnsi="Calibri"/>
                <w:i w:val="1"/>
                <w:iCs w:val="1"/>
                <w:rtl w:val="0"/>
              </w:rPr>
              <w:t xml:space="preserve">” tab.</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A">
            <w:pPr>
              <w:widowControl w:val="0"/>
              <w:numPr>
                <w:ilvl w:val="0"/>
                <w:numId w:val="4"/>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 root is a </w:t>
            </w:r>
            <w:r w:rsidDel="00000000" w:rsidR="00000000" w:rsidRPr="00000000">
              <w:rPr>
                <w:rFonts w:ascii="Calibri" w:cs="Calibri" w:eastAsia="Calibri" w:hAnsi="Calibri"/>
                <w:highlight w:val="yellow"/>
                <w:rtl w:val="0"/>
              </w:rPr>
              <w:t xml:space="preserve">__________</w:t>
            </w:r>
            <w:r w:rsidDel="00000000" w:rsidR="00000000" w:rsidRPr="00000000">
              <w:rPr>
                <w:rFonts w:ascii="Calibri" w:cs="Calibri" w:eastAsia="Calibri" w:hAnsi="Calibri"/>
                <w:rtl w:val="0"/>
              </w:rPr>
              <w:t xml:space="preserve"> building </w:t>
            </w:r>
            <w:r w:rsidDel="00000000" w:rsidR="00000000" w:rsidRPr="00000000">
              <w:rPr>
                <w:rFonts w:ascii="Calibri" w:cs="Calibri" w:eastAsia="Calibri" w:hAnsi="Calibri"/>
                <w:highlight w:val="yellow"/>
                <w:rtl w:val="0"/>
              </w:rPr>
              <w:t xml:space="preserve">__________.</w:t>
            </w:r>
          </w:p>
          <w:p w:rsidR="00000000" w:rsidDel="00000000" w:rsidP="00000000" w:rsidRDefault="00000000" w:rsidRPr="00000000" w14:paraId="0000000B">
            <w:pPr>
              <w:widowControl w:val="0"/>
              <w:numPr>
                <w:ilvl w:val="0"/>
                <w:numId w:val="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 root is a </w:t>
            </w:r>
            <w:r w:rsidDel="00000000" w:rsidR="00000000" w:rsidRPr="00000000">
              <w:rPr>
                <w:rFonts w:ascii="Calibri" w:cs="Calibri" w:eastAsia="Calibri" w:hAnsi="Calibri"/>
                <w:highlight w:val="yellow"/>
                <w:rtl w:val="0"/>
              </w:rPr>
              <w:t xml:space="preserve">__________</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element </w:t>
            </w:r>
            <w:r w:rsidDel="00000000" w:rsidR="00000000" w:rsidRPr="00000000">
              <w:rPr>
                <w:rFonts w:ascii="Calibri" w:cs="Calibri" w:eastAsia="Calibri" w:hAnsi="Calibri"/>
                <w:rtl w:val="0"/>
              </w:rPr>
              <w:t xml:space="preserve">but does not typically form a </w:t>
            </w:r>
            <w:r w:rsidDel="00000000" w:rsidR="00000000" w:rsidRPr="00000000">
              <w:rPr>
                <w:rFonts w:ascii="Calibri" w:cs="Calibri" w:eastAsia="Calibri" w:hAnsi="Calibri"/>
                <w:highlight w:val="yellow"/>
                <w:rtl w:val="0"/>
              </w:rPr>
              <w:t xml:space="preserve">__________</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yellow"/>
                <w:rtl w:val="0"/>
              </w:rPr>
              <w:t xml:space="preserve">__________</w:t>
            </w:r>
            <w:r w:rsidDel="00000000" w:rsidR="00000000" w:rsidRPr="00000000">
              <w:rPr>
                <w:rFonts w:ascii="Calibri" w:cs="Calibri" w:eastAsia="Calibri" w:hAnsi="Calibri"/>
                <w:rtl w:val="0"/>
              </w:rPr>
              <w:t xml:space="preserve"> word on its own.</w:t>
            </w:r>
          </w:p>
          <w:p w:rsidR="00000000" w:rsidDel="00000000" w:rsidP="00000000" w:rsidRDefault="00000000" w:rsidRPr="00000000" w14:paraId="0000000C">
            <w:pPr>
              <w:widowControl w:val="0"/>
              <w:spacing w:line="240" w:lineRule="auto"/>
              <w:rPr>
                <w:rFonts w:ascii="Calibri" w:cs="Calibri" w:eastAsia="Calibri" w:hAnsi="Calibri"/>
                <w:highlight w:val="yellow"/>
              </w:rPr>
            </w:pPr>
            <w:r w:rsidDel="00000000" w:rsidR="00000000" w:rsidRPr="00000000">
              <w:rPr>
                <w:rtl w:val="0"/>
              </w:rPr>
            </w:r>
          </w:p>
          <w:p w:rsidR="00000000" w:rsidDel="00000000" w:rsidP="00000000" w:rsidRDefault="00000000" w:rsidRPr="00000000" w14:paraId="0000000D">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is a “base word”?</w:t>
            </w:r>
          </w:p>
          <w:p w:rsidR="00000000" w:rsidDel="00000000" w:rsidP="00000000" w:rsidRDefault="00000000" w:rsidRPr="00000000" w14:paraId="0000000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under the “</w:t>
            </w:r>
            <w:hyperlink r:id="rId8">
              <w:r w:rsidDel="00000000" w:rsidR="00000000" w:rsidRPr="00000000">
                <w:rPr>
                  <w:rFonts w:ascii="Calibri" w:cs="Calibri" w:eastAsia="Calibri" w:hAnsi="Calibri"/>
                  <w:i w:val="1"/>
                  <w:iCs w:val="1"/>
                  <w:color w:val="1155cc"/>
                  <w:u w:val="single"/>
                  <w:rtl w:val="0"/>
                </w:rPr>
                <w:t xml:space="preserve">Define</w:t>
              </w:r>
            </w:hyperlink>
            <w:r w:rsidDel="00000000" w:rsidR="00000000" w:rsidRPr="00000000">
              <w:rPr>
                <w:rFonts w:ascii="Calibri" w:cs="Calibri" w:eastAsia="Calibri" w:hAnsi="Calibri"/>
                <w:i w:val="1"/>
                <w:iCs w:val="1"/>
                <w:rtl w:val="0"/>
              </w:rPr>
              <w:t xml:space="preserve">” tab.</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A base word:</w:t>
            </w:r>
          </w:p>
          <w:p w:rsidR="00000000" w:rsidDel="00000000" w:rsidP="00000000" w:rsidRDefault="00000000" w:rsidRPr="00000000" w14:paraId="00000012">
            <w:pPr>
              <w:widowControl w:val="0"/>
              <w:numPr>
                <w:ilvl w:val="0"/>
                <w:numId w:val="3"/>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Forms the </w:t>
            </w:r>
            <w:r w:rsidDel="00000000" w:rsidR="00000000" w:rsidRPr="00000000">
              <w:rPr>
                <w:rFonts w:ascii="Calibri" w:cs="Calibri" w:eastAsia="Calibri" w:hAnsi="Calibri"/>
                <w:highlight w:val="yellow"/>
                <w:rtl w:val="0"/>
              </w:rPr>
              <w:t xml:space="preserve">__________</w:t>
            </w:r>
            <w:r w:rsidDel="00000000" w:rsidR="00000000" w:rsidRPr="00000000">
              <w:rPr>
                <w:rFonts w:ascii="Calibri" w:cs="Calibri" w:eastAsia="Calibri" w:hAnsi="Calibri"/>
                <w:rtl w:val="0"/>
              </w:rPr>
              <w:t xml:space="preserve"> of a new word </w:t>
            </w:r>
            <w:r w:rsidDel="00000000" w:rsidR="00000000" w:rsidRPr="00000000">
              <w:rPr>
                <w:rFonts w:ascii="Calibri" w:cs="Calibri" w:eastAsia="Calibri" w:hAnsi="Calibri"/>
                <w:b w:val="1"/>
                <w:bCs w:val="1"/>
                <w:rtl w:val="0"/>
              </w:rPr>
              <w:t xml:space="preserve">and</w:t>
            </w:r>
          </w:p>
          <w:p w:rsidR="00000000" w:rsidDel="00000000" w:rsidP="00000000" w:rsidRDefault="00000000" w:rsidRPr="00000000" w14:paraId="00000013">
            <w:pPr>
              <w:widowControl w:val="0"/>
              <w:numPr>
                <w:ilvl w:val="0"/>
                <w:numId w:val="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is a </w:t>
            </w:r>
            <w:r w:rsidDel="00000000" w:rsidR="00000000" w:rsidRPr="00000000">
              <w:rPr>
                <w:rFonts w:ascii="Calibri" w:cs="Calibri" w:eastAsia="Calibri" w:hAnsi="Calibri"/>
                <w:highlight w:val="yellow"/>
                <w:rtl w:val="0"/>
              </w:rPr>
              <w:t xml:space="preserve">__________</w:t>
            </w:r>
            <w:r w:rsidDel="00000000" w:rsidR="00000000" w:rsidRPr="00000000">
              <w:rPr>
                <w:rFonts w:ascii="Calibri" w:cs="Calibri" w:eastAsia="Calibri" w:hAnsi="Calibri"/>
                <w:rtl w:val="0"/>
              </w:rPr>
              <w:t xml:space="preserve"> in its own right (stand-alone). </w:t>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14">
            <w:pPr>
              <w:pageBreakBefore w:val="0"/>
              <w:widowControl w:val="0"/>
              <w:spacing w:after="0" w:before="0" w:line="240" w:lineRule="auto"/>
              <w:rPr>
                <w:rFonts w:ascii="Calibri" w:cs="Calibri" w:eastAsia="Calibri" w:hAnsi="Calibri"/>
              </w:rPr>
            </w:pPr>
            <w:r w:rsidDel="00000000" w:rsidR="00000000" w:rsidRPr="00000000">
              <w:rPr>
                <w:rFonts w:ascii="Calibri" w:cs="Calibri" w:eastAsia="Calibri" w:hAnsi="Calibri"/>
                <w:rtl w:val="0"/>
              </w:rPr>
              <w:t xml:space="preserve">What is an “affix”?</w:t>
            </w:r>
          </w:p>
          <w:p w:rsidR="00000000" w:rsidDel="00000000" w:rsidP="00000000" w:rsidRDefault="00000000" w:rsidRPr="00000000" w14:paraId="00000015">
            <w:pPr>
              <w:pageBreakBefore w:val="0"/>
              <w:widowControl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under the “</w:t>
            </w:r>
            <w:hyperlink r:id="rId9">
              <w:r w:rsidDel="00000000" w:rsidR="00000000" w:rsidRPr="00000000">
                <w:rPr>
                  <w:rFonts w:ascii="Calibri" w:cs="Calibri" w:eastAsia="Calibri" w:hAnsi="Calibri"/>
                  <w:i w:val="1"/>
                  <w:iCs w:val="1"/>
                  <w:color w:val="1155cc"/>
                  <w:u w:val="single"/>
                  <w:rtl w:val="0"/>
                </w:rPr>
                <w:t xml:space="preserve">Define</w:t>
              </w:r>
            </w:hyperlink>
            <w:r w:rsidDel="00000000" w:rsidR="00000000" w:rsidRPr="00000000">
              <w:rPr>
                <w:rFonts w:ascii="Calibri" w:cs="Calibri" w:eastAsia="Calibri" w:hAnsi="Calibri"/>
                <w:i w:val="1"/>
                <w:iCs w:val="1"/>
                <w:rtl w:val="0"/>
              </w:rPr>
              <w:t xml:space="preserve">” tab.</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There are two types of affixes, including:</w:t>
            </w:r>
          </w:p>
          <w:p w:rsidR="00000000" w:rsidDel="00000000" w:rsidP="00000000" w:rsidRDefault="00000000" w:rsidRPr="00000000" w14:paraId="00000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highlight w:val="yellow"/>
              </w:rPr>
            </w:pP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highlight w:val="yellow"/>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1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is a “prefix”?</w:t>
            </w:r>
          </w:p>
          <w:p w:rsidR="00000000" w:rsidDel="00000000" w:rsidP="00000000" w:rsidRDefault="00000000" w:rsidRPr="00000000" w14:paraId="0000001C">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D">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for the answer in the video, Sync🟠Skills, or find it by clicking on the transcript icon (🗎) , both of which are under the “</w:t>
            </w:r>
            <w:hyperlink r:id="rId10">
              <w:r w:rsidDel="00000000" w:rsidR="00000000" w:rsidRPr="00000000">
                <w:rPr>
                  <w:rFonts w:ascii="Calibri" w:cs="Calibri" w:eastAsia="Calibri" w:hAnsi="Calibri"/>
                  <w:i w:val="1"/>
                  <w:iCs w:val="1"/>
                  <w:color w:val="1155cc"/>
                  <w:u w:val="single"/>
                  <w:rtl w:val="0"/>
                </w:rPr>
                <w:t xml:space="preserve">Define</w:t>
              </w:r>
            </w:hyperlink>
            <w:r w:rsidDel="00000000" w:rsidR="00000000" w:rsidRPr="00000000">
              <w:rPr>
                <w:rFonts w:ascii="Calibri" w:cs="Calibri" w:eastAsia="Calibri" w:hAnsi="Calibri"/>
                <w:i w:val="1"/>
                <w:iCs w:val="1"/>
                <w:rtl w:val="0"/>
              </w:rPr>
              <w:t xml:space="preserve">” tab.</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 prefix is a(n) </w:t>
            </w:r>
            <w:r w:rsidDel="00000000" w:rsidR="00000000" w:rsidRPr="00000000">
              <w:rPr>
                <w:rFonts w:ascii="Calibri" w:cs="Calibri" w:eastAsia="Calibri" w:hAnsi="Calibri"/>
                <w:highlight w:val="yellow"/>
                <w:rtl w:val="0"/>
              </w:rPr>
              <w:t xml:space="preserve">__________</w:t>
            </w:r>
            <w:r w:rsidDel="00000000" w:rsidR="00000000" w:rsidRPr="00000000">
              <w:rPr>
                <w:rFonts w:ascii="Calibri" w:cs="Calibri" w:eastAsia="Calibri" w:hAnsi="Calibri"/>
                <w:rtl w:val="0"/>
              </w:rPr>
              <w:t xml:space="preserve"> added to the </w:t>
            </w:r>
            <w:r w:rsidDel="00000000" w:rsidR="00000000" w:rsidRPr="00000000">
              <w:rPr>
                <w:rFonts w:ascii="Calibri" w:cs="Calibri" w:eastAsia="Calibri" w:hAnsi="Calibri"/>
                <w:highlight w:val="yellow"/>
                <w:rtl w:val="0"/>
              </w:rPr>
              <w:t xml:space="preserve">__________</w:t>
            </w:r>
            <w:r w:rsidDel="00000000" w:rsidR="00000000" w:rsidRPr="00000000">
              <w:rPr>
                <w:rFonts w:ascii="Calibri" w:cs="Calibri" w:eastAsia="Calibri" w:hAnsi="Calibri"/>
                <w:rtl w:val="0"/>
              </w:rPr>
              <w:t xml:space="preserve"> of a word. </w:t>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1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is a “suffix”?</w:t>
            </w:r>
          </w:p>
          <w:p w:rsidR="00000000" w:rsidDel="00000000" w:rsidP="00000000" w:rsidRDefault="00000000" w:rsidRPr="00000000" w14:paraId="00000020">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for the answer in the video, Sync🟠Skills, or find it by clicking on the transcript icon (🗎) , both of which are under the “</w:t>
            </w:r>
            <w:hyperlink r:id="rId11">
              <w:r w:rsidDel="00000000" w:rsidR="00000000" w:rsidRPr="00000000">
                <w:rPr>
                  <w:rFonts w:ascii="Calibri" w:cs="Calibri" w:eastAsia="Calibri" w:hAnsi="Calibri"/>
                  <w:i w:val="1"/>
                  <w:iCs w:val="1"/>
                  <w:color w:val="1155cc"/>
                  <w:u w:val="single"/>
                  <w:rtl w:val="0"/>
                </w:rPr>
                <w:t xml:space="preserve">Define</w:t>
              </w:r>
            </w:hyperlink>
            <w:r w:rsidDel="00000000" w:rsidR="00000000" w:rsidRPr="00000000">
              <w:rPr>
                <w:rFonts w:ascii="Calibri" w:cs="Calibri" w:eastAsia="Calibri" w:hAnsi="Calibri"/>
                <w:i w:val="1"/>
                <w:iCs w:val="1"/>
                <w:rtl w:val="0"/>
              </w:rPr>
              <w:t xml:space="preserve">” tab.</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 suffix is a(n) </w:t>
            </w:r>
            <w:r w:rsidDel="00000000" w:rsidR="00000000" w:rsidRPr="00000000">
              <w:rPr>
                <w:rFonts w:ascii="Calibri" w:cs="Calibri" w:eastAsia="Calibri" w:hAnsi="Calibri"/>
                <w:highlight w:val="yellow"/>
                <w:rtl w:val="0"/>
              </w:rPr>
              <w:t xml:space="preserve">__________</w:t>
            </w:r>
            <w:r w:rsidDel="00000000" w:rsidR="00000000" w:rsidRPr="00000000">
              <w:rPr>
                <w:rFonts w:ascii="Calibri" w:cs="Calibri" w:eastAsia="Calibri" w:hAnsi="Calibri"/>
                <w:rtl w:val="0"/>
              </w:rPr>
              <w:t xml:space="preserve"> added to the </w:t>
            </w:r>
            <w:r w:rsidDel="00000000" w:rsidR="00000000" w:rsidRPr="00000000">
              <w:rPr>
                <w:rFonts w:ascii="Calibri" w:cs="Calibri" w:eastAsia="Calibri" w:hAnsi="Calibri"/>
                <w:highlight w:val="yellow"/>
                <w:rtl w:val="0"/>
              </w:rPr>
              <w:t xml:space="preserve">__________</w:t>
            </w:r>
            <w:r w:rsidDel="00000000" w:rsidR="00000000" w:rsidRPr="00000000">
              <w:rPr>
                <w:rFonts w:ascii="Calibri" w:cs="Calibri" w:eastAsia="Calibri" w:hAnsi="Calibri"/>
                <w:rtl w:val="0"/>
              </w:rPr>
              <w:t xml:space="preserve"> of a word. </w:t>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23">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How can knowing the meaning of roots and affixes be useful?</w:t>
            </w:r>
          </w:p>
          <w:p w:rsidR="00000000" w:rsidDel="00000000" w:rsidP="00000000" w:rsidRDefault="00000000" w:rsidRPr="00000000" w14:paraId="00000024">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5">
            <w:pPr>
              <w:pageBreakBefore w:val="0"/>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Hint: look in the “Identification and Application” section under the “</w:t>
            </w:r>
            <w:hyperlink r:id="rId12">
              <w:r w:rsidDel="00000000" w:rsidR="00000000" w:rsidRPr="00000000">
                <w:rPr>
                  <w:rFonts w:ascii="Calibri" w:cs="Calibri" w:eastAsia="Calibri" w:hAnsi="Calibri"/>
                  <w:i w:val="1"/>
                  <w:iCs w:val="1"/>
                  <w:color w:val="1155cc"/>
                  <w:u w:val="single"/>
                  <w:rtl w:val="0"/>
                </w:rPr>
                <w:t xml:space="preserve">Model</w:t>
              </w:r>
            </w:hyperlink>
            <w:r w:rsidDel="00000000" w:rsidR="00000000" w:rsidRPr="00000000">
              <w:rPr>
                <w:rFonts w:ascii="Calibri" w:cs="Calibri" w:eastAsia="Calibri" w:hAnsi="Calibri"/>
                <w:i w:val="1"/>
                <w:iCs w:val="1"/>
                <w:rtl w:val="0"/>
              </w:rPr>
              <w:t xml:space="preserve">” tab.</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highlight w:val="yellow"/>
              </w:rPr>
            </w:pPr>
            <w:r w:rsidDel="00000000" w:rsidR="00000000" w:rsidRPr="00000000">
              <w:rPr>
                <w:rFonts w:ascii="Calibri" w:cs="Calibri" w:eastAsia="Calibri" w:hAnsi="Calibri"/>
                <w:rtl w:val="0"/>
              </w:rPr>
              <w:t xml:space="preserve">Knowing the meaning of roots and affixes can be useful because that knowledge can help you </w:t>
            </w:r>
            <w:r w:rsidDel="00000000" w:rsidR="00000000" w:rsidRPr="00000000">
              <w:rPr>
                <w:rFonts w:ascii="Calibri" w:cs="Calibri" w:eastAsia="Calibri" w:hAnsi="Calibri"/>
                <w:highlight w:val="yellow"/>
                <w:rtl w:val="0"/>
              </w:rPr>
              <w:t xml:space="preserve">. . .</w:t>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27">
            <w:pPr>
              <w:pageBreakBefore w:val="0"/>
              <w:widowControl w:val="0"/>
              <w:numPr>
                <w:ilvl w:val="0"/>
                <w:numId w:val="2"/>
              </w:numPr>
              <w:spacing w:line="240" w:lineRule="auto"/>
              <w:ind w:left="360" w:hanging="360"/>
              <w:rPr>
                <w:rFonts w:ascii="Calibri" w:cs="Calibri" w:eastAsia="Calibri" w:hAnsi="Calibri"/>
                <w:u w:val="none"/>
              </w:rPr>
            </w:pPr>
            <w:r w:rsidDel="00000000" w:rsidR="00000000" w:rsidRPr="00000000">
              <w:rPr>
                <w:rFonts w:ascii="Calibri" w:cs="Calibri" w:eastAsia="Calibri" w:hAnsi="Calibri"/>
                <w:rtl w:val="0"/>
              </w:rPr>
              <w:t xml:space="preserve">What is one positive attribute of the model essay?</w:t>
            </w:r>
          </w:p>
          <w:p w:rsidR="00000000" w:rsidDel="00000000" w:rsidP="00000000" w:rsidRDefault="00000000" w:rsidRPr="00000000" w14:paraId="00000028">
            <w:pPr>
              <w:pageBreakBefore w:val="0"/>
              <w:widowControl w:val="0"/>
              <w:numPr>
                <w:ilvl w:val="0"/>
                <w:numId w:val="2"/>
              </w:numPr>
              <w:spacing w:line="240" w:lineRule="auto"/>
              <w:ind w:left="360" w:hanging="360"/>
              <w:rPr>
                <w:rFonts w:ascii="Calibri" w:cs="Calibri" w:eastAsia="Calibri" w:hAnsi="Calibri"/>
                <w:u w:val="none"/>
              </w:rPr>
            </w:pPr>
            <w:r w:rsidDel="00000000" w:rsidR="00000000" w:rsidRPr="00000000">
              <w:rPr>
                <w:rFonts w:ascii="Calibri" w:cs="Calibri" w:eastAsia="Calibri" w:hAnsi="Calibri"/>
                <w:rtl w:val="0"/>
              </w:rPr>
              <w:t xml:space="preserve">What is one suggestion for improvement you might give to the author?   </w:t>
            </w:r>
          </w:p>
          <w:p w:rsidR="00000000" w:rsidDel="00000000" w:rsidP="00000000" w:rsidRDefault="00000000" w:rsidRPr="00000000" w14:paraId="00000029">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A">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in the “Model” section under the “</w:t>
            </w:r>
            <w:hyperlink r:id="rId13">
              <w:r w:rsidDel="00000000" w:rsidR="00000000" w:rsidRPr="00000000">
                <w:rPr>
                  <w:rFonts w:ascii="Calibri" w:cs="Calibri" w:eastAsia="Calibri" w:hAnsi="Calibri"/>
                  <w:i w:val="1"/>
                  <w:iCs w:val="1"/>
                  <w:color w:val="1155cc"/>
                  <w:u w:val="single"/>
                  <w:rtl w:val="0"/>
                </w:rPr>
                <w:t xml:space="preserve">Model</w:t>
              </w:r>
            </w:hyperlink>
            <w:r w:rsidDel="00000000" w:rsidR="00000000" w:rsidRPr="00000000">
              <w:rPr>
                <w:rFonts w:ascii="Calibri" w:cs="Calibri" w:eastAsia="Calibri" w:hAnsi="Calibri"/>
                <w:i w:val="1"/>
                <w:iCs w:val="1"/>
                <w:rtl w:val="0"/>
              </w:rPr>
              <w:t xml:space="preserve">” tab.</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One positive attribute of the model essay is that it </w:t>
            </w:r>
            <w:r w:rsidDel="00000000" w:rsidR="00000000" w:rsidRPr="00000000">
              <w:rPr>
                <w:rFonts w:ascii="Calibri" w:cs="Calibri" w:eastAsia="Calibri" w:hAnsi="Calibri"/>
                <w:highlight w:val="yellow"/>
                <w:rtl w:val="0"/>
              </w:rPr>
              <w:t xml:space="preserve">. . .</w:t>
            </w:r>
          </w:p>
          <w:p w:rsidR="00000000" w:rsidDel="00000000" w:rsidP="00000000" w:rsidRDefault="00000000" w:rsidRPr="00000000" w14:paraId="0000002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One suggestion for improvement I might give to the author is </w:t>
            </w:r>
            <w:r w:rsidDel="00000000" w:rsidR="00000000" w:rsidRPr="00000000">
              <w:rPr>
                <w:rFonts w:ascii="Calibri" w:cs="Calibri" w:eastAsia="Calibri" w:hAnsi="Calibri"/>
                <w:highlight w:val="yellow"/>
                <w:rtl w:val="0"/>
              </w:rPr>
              <w:t xml:space="preserve">. . .</w:t>
            </w:r>
            <w:r w:rsidDel="00000000" w:rsidR="00000000" w:rsidRPr="00000000">
              <w:rPr>
                <w:rtl w:val="0"/>
              </w:rPr>
            </w:r>
          </w:p>
        </w:tc>
      </w:tr>
    </w:tbl>
    <w:p w:rsidR="00000000" w:rsidDel="00000000" w:rsidP="00000000" w:rsidRDefault="00000000" w:rsidRPr="00000000" w14:paraId="0000002D">
      <w:pPr>
        <w:pageBreakBefore w:val="0"/>
        <w:rPr>
          <w:rFonts w:ascii="Calibri" w:cs="Calibri" w:eastAsia="Calibri" w:hAnsi="Calibri"/>
        </w:rPr>
      </w:pPr>
      <w:r w:rsidDel="00000000" w:rsidR="00000000" w:rsidRPr="00000000">
        <w:rPr>
          <w:rtl w:val="0"/>
        </w:rPr>
      </w:r>
    </w:p>
    <w:sectPr>
      <w:headerReference r:id="rId14"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pageBreakBefore w:val="0"/>
      <w:jc w:val="center"/>
      <w:rPr>
        <w:b w:val="1"/>
        <w:bCs w:val="1"/>
        <w:u w:val="single"/>
      </w:rPr>
    </w:pPr>
    <w:r w:rsidDel="00000000" w:rsidR="00000000" w:rsidRPr="00000000">
      <w:rPr>
        <w:rtl w:val="0"/>
      </w:rPr>
    </w:r>
  </w:p>
  <w:tbl>
    <w:tblPr>
      <w:tblStyle w:val="Table3"/>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9765"/>
      <w:gridCol w:w="480"/>
      <w:tblGridChange w:id="0">
        <w:tblGrid>
          <w:gridCol w:w="555"/>
          <w:gridCol w:w="9765"/>
          <w:gridCol w:w="4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0">
          <w:pPr>
            <w:jc w:val="center"/>
            <w:rPr>
              <w:b w:val="1"/>
              <w:bCs w:val="1"/>
              <w:u w:val="single"/>
            </w:rPr>
          </w:pPr>
          <w:r w:rsidDel="00000000" w:rsidR="00000000" w:rsidRPr="00000000">
            <w:rPr>
              <w:b w:val="1"/>
              <w:bCs w:val="1"/>
              <w:u w:val="single"/>
              <w:rtl w:val="0"/>
            </w:rPr>
            <w:t xml:space="preserve">Marigolds (9.U1)</w:t>
          </w:r>
        </w:p>
        <w:p w:rsidR="00000000" w:rsidDel="00000000" w:rsidP="00000000" w:rsidRDefault="00000000" w:rsidRPr="00000000" w14:paraId="00000031">
          <w:pPr>
            <w:jc w:val="center"/>
            <w:rPr/>
          </w:pPr>
          <w:r w:rsidDel="00000000" w:rsidR="00000000" w:rsidRPr="00000000">
            <w:rPr>
              <w:b w:val="1"/>
              <w:bCs w:val="1"/>
              <w:rtl w:val="0"/>
            </w:rPr>
            <w:t xml:space="preserve">Skill: Greek and Latin Affixes and Roots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33">
    <w:pPr>
      <w:pageBreakBefore w:val="0"/>
      <w:jc w:val="center"/>
      <w:rPr>
        <w:b w:val="1"/>
        <w:bCs w:val="1"/>
        <w:u w:val="singl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EfToeKXnzF-qMPWA_OOebQuUeliXNuN9/view?usp=sharing" TargetMode="External"/><Relationship Id="rId10" Type="http://schemas.openxmlformats.org/officeDocument/2006/relationships/hyperlink" Target="https://drive.google.com/file/d/1EfToeKXnzF-qMPWA_OOebQuUeliXNuN9/view?usp=sharing" TargetMode="External"/><Relationship Id="rId13" Type="http://schemas.openxmlformats.org/officeDocument/2006/relationships/hyperlink" Target="https://drive.google.com/file/d/1EfToeKXnzF-qMPWA_OOebQuUeliXNuN9/view?usp=sharing" TargetMode="External"/><Relationship Id="rId12" Type="http://schemas.openxmlformats.org/officeDocument/2006/relationships/hyperlink" Target="https://drive.google.com/file/d/1EfToeKXnzF-qMPWA_OOebQuUeliXNuN9/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EfToeKXnzF-qMPWA_OOebQuUeliXNuN9/view?usp=sharing"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rive.google.com/file/d/1EfToeKXnzF-qMPWA_OOebQuUeliXNuN9/view?usp=sharing" TargetMode="External"/><Relationship Id="rId7" Type="http://schemas.openxmlformats.org/officeDocument/2006/relationships/hyperlink" Target="https://drive.google.com/file/d/1EfToeKXnzF-qMPWA_OOebQuUeliXNuN9/view?usp=sharing" TargetMode="External"/><Relationship Id="rId8" Type="http://schemas.openxmlformats.org/officeDocument/2006/relationships/hyperlink" Target="https://drive.google.com/file/d/1EfToeKXnzF-qMPWA_OOebQuUeliXNuN9/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