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fair Display" w:cs="Playfair Display" w:eastAsia="Playfair Display" w:hAnsi="Playfair Display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795"/>
        <w:gridCol w:w="3135"/>
        <w:gridCol w:w="105"/>
        <w:gridCol w:w="2280"/>
        <w:gridCol w:w="2280"/>
        <w:tblGridChange w:id="0">
          <w:tblGrid>
            <w:gridCol w:w="795"/>
            <w:gridCol w:w="795"/>
            <w:gridCol w:w="3135"/>
            <w:gridCol w:w="105"/>
            <w:gridCol w:w="2280"/>
            <w:gridCol w:w="22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990000"/>
                <w:rtl w:val="0"/>
              </w:rPr>
              <w:t xml:space="preserve">PART 4: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rtl w:val="0"/>
              </w:rPr>
              <w:t xml:space="preserve">DIFFERENT TIMES, DIFFERENT LOOKS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A Look at Things from the 1900s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Watch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</w:rPr>
              <w:drawing>
                <wp:inline distB="19050" distT="19050" distL="19050" distR="19050">
                  <wp:extent cx="1550614" cy="976313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8025" l="0" r="0" t="80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614" cy="976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Looking Glass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</w:rPr>
              <w:drawing>
                <wp:inline distB="19050" distT="19050" distL="19050" distR="19050">
                  <wp:extent cx="1550614" cy="97631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1812" l="0" r="0" t="1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614" cy="976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Combs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</w:rPr>
              <w:drawing>
                <wp:inline distB="19050" distT="19050" distL="19050" distR="19050">
                  <wp:extent cx="1550614" cy="976313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1812" l="0" r="0" t="1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614" cy="976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Couch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</w:rPr>
              <w:drawing>
                <wp:inline distB="19050" distT="19050" distL="19050" distR="19050">
                  <wp:extent cx="1550614" cy="976313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1812" l="0" r="0" t="1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614" cy="976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Apartment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</w:rPr>
              <w:drawing>
                <wp:inline distB="19050" distT="19050" distL="19050" distR="19050">
                  <wp:extent cx="1550614" cy="976313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1812" l="0" r="0" t="1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614" cy="976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Men's Coat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</w:rPr>
              <w:drawing>
                <wp:inline distB="19050" distT="19050" distL="19050" distR="19050">
                  <wp:extent cx="1550614" cy="976313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1812" l="0" r="0" t="1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614" cy="976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Women's Hairstyle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</w:rPr>
              <w:drawing>
                <wp:inline distB="19050" distT="19050" distL="19050" distR="19050">
                  <wp:extent cx="1550614" cy="976313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1812" l="0" r="0" t="1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614" cy="976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Letter Box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</w:rPr>
              <w:drawing>
                <wp:inline distB="19050" distT="19050" distL="19050" distR="19050">
                  <wp:extent cx="1550614" cy="976313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1812" l="0" r="0" t="1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614" cy="976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"/>
        <w:gridCol w:w="5820"/>
        <w:tblGridChange w:id="0">
          <w:tblGrid>
            <w:gridCol w:w="3540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Reflection Questions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Student Responses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How did the search for terms related to items and expenses from the year 1900 deepen your understanding of historical contexts and lifestyles during that time period?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What similarities and differences did you notice between the items and expenses from 1900 and those commonly used or purchased today?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What connections can you draw between the items and expenses researched from 1900 and the characters' lives in the story of Jim and Della?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Playfair Display" w:cs="Playfair Display" w:eastAsia="Playfair Display" w:hAnsi="Playfair Display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  <w:tbl>
    <w:tblPr>
      <w:tblStyle w:val="Table4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610"/>
      <w:gridCol w:w="1140"/>
      <w:gridCol w:w="5085"/>
      <w:gridCol w:w="525"/>
      <w:tblGridChange w:id="0">
        <w:tblGrid>
          <w:gridCol w:w="2610"/>
          <w:gridCol w:w="1140"/>
          <w:gridCol w:w="5085"/>
          <w:gridCol w:w="52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6">
          <w:pPr>
            <w:rPr/>
          </w:pPr>
          <w:r w:rsidDel="00000000" w:rsidR="00000000" w:rsidRPr="00000000">
            <w:rPr>
              <w:rFonts w:ascii="Playfair Display" w:cs="Playfair Display" w:eastAsia="Playfair Display" w:hAnsi="Playfair Display"/>
              <w:b w:val="1"/>
              <w:bCs w:val="1"/>
              <w:color w:val="38761d"/>
              <w:sz w:val="26"/>
              <w:szCs w:val="26"/>
              <w:rtl w:val="0"/>
            </w:rPr>
            <w:t xml:space="preserve">The Gift of the Magi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7">
          <w:pPr>
            <w:jc w:val="center"/>
            <w:rPr>
              <w:rFonts w:ascii="Playfair Display" w:cs="Playfair Display" w:eastAsia="Playfair Display" w:hAnsi="Playfair Display"/>
              <w:b w:val="1"/>
              <w:bCs w:val="1"/>
              <w:color w:val="38761d"/>
              <w:sz w:val="26"/>
              <w:szCs w:val="26"/>
            </w:rPr>
          </w:pPr>
          <w:r w:rsidDel="00000000" w:rsidR="00000000" w:rsidRPr="00000000">
            <w:rPr>
              <w:rFonts w:ascii="Playfair Display" w:cs="Playfair Display" w:eastAsia="Playfair Display" w:hAnsi="Playfair Display"/>
              <w:rtl w:val="0"/>
            </w:rPr>
            <w:t xml:space="preserve">O. Henry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8">
          <w:pPr>
            <w:rPr/>
          </w:pPr>
          <w:r w:rsidDel="00000000" w:rsidR="00000000" w:rsidRPr="00000000">
            <w:rPr>
              <w:rFonts w:ascii="Playfair Display" w:cs="Playfair Display" w:eastAsia="Playfair Display" w:hAnsi="Playfair Display"/>
              <w:b w:val="1"/>
              <w:bCs w:val="1"/>
              <w:color w:val="990000"/>
              <w:rtl w:val="0"/>
            </w:rPr>
            <w:t xml:space="preserve">PART 4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9">
          <w:pPr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Fonts w:ascii="Playfair Display" w:cs="Playfair Display" w:eastAsia="Playfair Display" w:hAnsi="Playfair Display"/>
              <w:b w:val="1"/>
              <w:bCs w:val="1"/>
              <w:color w:val="38761d"/>
              <w:sz w:val="26"/>
              <w:szCs w:val="2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