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40"/>
        <w:jc w:val="center"/>
      </w:pPr>
      <w:r>
        <w:rPr>
          <w:rFonts w:ascii="Arial" w:cs="Arial" w:eastAsia="Arial" w:hAnsi="Arial"/>
          <w:b/>
          <w:bCs/>
          <w:color w:val="1F3864"/>
          <w:sz w:val="40"/>
          <w:szCs w:val="40"/>
        </w:rPr>
        <w:t xml:space="preserve">Timescale Asymmetry and Phase Structure in Grokking Transformers: The WHY² Framework</w:t>
      </w:r>
    </w:p>
    <w:p>
      <w:pPr>
        <w:spacing w:before="0" w:after="80"/>
        <w:jc w:val="center"/>
      </w:pPr>
      <w:r>
        <w:rPr>
          <w:rFonts w:ascii="Arial" w:cs="Arial" w:eastAsia="Arial" w:hAnsi="Arial"/>
          <w:b/>
          <w:bCs/>
          <w:sz w:val="26"/>
          <w:szCs w:val="26"/>
        </w:rPr>
        <w:t xml:space="preserve">Lucas Smith</w:t>
      </w:r>
    </w:p>
    <w:p>
      <w:pPr>
        <w:spacing w:before="0" w:after="80"/>
        <w:jc w:val="center"/>
      </w:pPr>
      <w:r>
        <w:rPr>
          <w:rFonts w:ascii="Arial" w:cs="Arial" w:eastAsia="Arial" w:hAnsi="Arial"/>
          <w:i/>
          <w:iCs/>
          <w:sz w:val="22"/>
          <w:szCs w:val="22"/>
        </w:rPr>
        <w:t xml:space="preserve">Independent Researcher</w:t>
      </w:r>
    </w:p>
    <w:p>
      <w:pPr>
        <w:spacing w:before="0" w:after="360"/>
        <w:jc w:val="center"/>
      </w:pPr>
      <w:r>
        <w:rPr>
          <w:rFonts w:ascii="Arial" w:cs="Arial" w:eastAsia="Arial" w:hAnsi="Arial"/>
          <w:color w:val="666666"/>
          <w:sz w:val="20"/>
          <w:szCs w:val="20"/>
        </w:rPr>
        <w:t xml:space="preserve">March 2026  |  Preprint — Not Peer Reviewed</w:t>
      </w:r>
    </w:p>
    <w:p>
      <w:pPr>
        <w:pStyle w:val="Heading1"/>
        <w:spacing w:before="360" w:after="180"/>
      </w:pPr>
      <w:r>
        <w:rPr>
          <w:rFonts w:ascii="Arial" w:cs="Arial" w:eastAsia="Arial" w:hAnsi="Arial"/>
          <w:b/>
          <w:bCs/>
          <w:sz w:val="32"/>
          <w:szCs w:val="32"/>
        </w:rPr>
        <w:t xml:space="preserve">Abstract</w:t>
      </w:r>
    </w:p>
    <w:p>
      <w:pPr>
        <w:spacing w:before="0" w:after="120"/>
        <w:jc w:val="both"/>
      </w:pPr>
      <w:r>
        <w:rPr>
          <w:rFonts w:ascii="Arial" w:cs="Arial" w:eastAsia="Arial" w:hAnsi="Arial"/>
          <w:sz w:val="22"/>
          <w:szCs w:val="22"/>
        </w:rPr>
        <w:t xml:space="preserve">We introduce the WHY² (Weights, Harmonics, Yield) framework for probing internal dynamics in grokking transformers, derived by analogy to Kramers barrier-crossing theory. Two observables are defined: K_in, the attention routing concentration from the '=' token to operand positions, and K_out, the Fourier spectral concentration of the output embedding matrix. Their asymmetric relationship is captured by the revised WHY² equation:</w:t>
      </w:r>
    </w:p>
    <w:p>
      <w:pPr>
        <w:spacing w:before="60" w:after="120"/>
        <w:jc w:val="center"/>
      </w:pPr>
      <w:r>
        <w:rPr>
          <w:rFonts w:ascii="Arial" w:cs="Arial" w:eastAsia="Arial" w:hAnsi="Arial"/>
          <w:i/>
          <w:iCs/>
          <w:sz w:val="20"/>
          <w:szCs w:val="20"/>
        </w:rPr>
        <w:t xml:space="preserve">K_out^β = K_in · e^{−H_n}</w:t>
      </w:r>
    </w:p>
    <w:p>
      <w:pPr>
        <w:spacing w:before="0" w:after="120"/>
        <w:jc w:val="both"/>
      </w:pPr>
      <w:r>
        <w:rPr>
          <w:rFonts w:ascii="Arial" w:cs="Arial" w:eastAsia="Arial" w:hAnsi="Arial"/>
          <w:sz w:val="22"/>
          <w:szCs w:val="22"/>
        </w:rPr>
        <w:t xml:space="preserve">where H_n is the normalized spectral entropy and β is an emergent diagnostic — not a free parameter. This yields:</w:t>
      </w:r>
    </w:p>
    <w:p>
      <w:pPr>
        <w:spacing w:before="60" w:after="120"/>
        <w:jc w:val="center"/>
      </w:pPr>
      <w:r>
        <w:rPr>
          <w:rFonts w:ascii="Arial" w:cs="Arial" w:eastAsia="Arial" w:hAnsi="Arial"/>
          <w:i/>
          <w:iCs/>
          <w:sz w:val="20"/>
          <w:szCs w:val="20"/>
        </w:rPr>
        <w:t xml:space="preserve">β = (ln K_in − H_n) / ln K_out</w:t>
      </w:r>
    </w:p>
    <w:p>
      <w:pPr>
        <w:spacing w:before="0" w:after="120"/>
        <w:jc w:val="both"/>
      </w:pPr>
      <w:r>
        <w:rPr>
          <w:rFonts w:ascii="Arial" w:cs="Arial" w:eastAsia="Arial" w:hAnsi="Arial"/>
          <w:sz w:val="22"/>
          <w:szCs w:val="22"/>
        </w:rPr>
        <w:t xml:space="preserve">We report results from seven experimental programs establishing seventeen results. Programs 1–3 (63 training runs, 18,000-epoch three-task velocity experiment, 174-run basin selection falsification program, and 6-seed effective temperature series) established that β flows to task-specific fixed points β* ordered multiply &lt; add &lt; subtract; that subtract exhibits two-attractor dynamics separated by a K_out ≈ 0.83 threshold; and that grokking coincides with a local T_eff minimum in all seeds, though β functions as an empirical c-function analog rather than a literal inverse temperature.</w:t>
      </w:r>
    </w:p>
    <w:p>
      <w:pPr>
        <w:spacing w:before="0" w:after="120"/>
        <w:jc w:val="both"/>
      </w:pPr>
      <w:r>
        <w:rPr>
          <w:rFonts w:ascii="Arial" w:cs="Arial" w:eastAsia="Arial" w:hAnsi="Arial"/>
          <w:sz w:val="22"/>
          <w:szCs w:val="22"/>
        </w:rPr>
        <w:t xml:space="preserve">Program 4, a 71-model spectral reparameterization study (8 seeds × 3 weight-decay values × 3 tasks), establishes Result 14: β is not a reparameterization of any standard spectral probe. After controlling for task identity, K_in_asym (attention routing asymmetry) explains only 1.0% of β variance independently of K_out. The partial correlation of the K_out × K_in_asym cross-term with β is r = +0.16, below the threshold for a detectable coupling. The two spectral axes are empirically decoupled, and the phi^4 single-field equation in K_out is sufficient to describe grokking crystallization cost across all tasks studied. Programs 5–7 extend these results: ternary-weight (BitNet-style) transformers converge to the same β* as float32 equivalents (Result 15, architecture invariance); β* is inversely correlated with active Fourier mode count across six task types (r = −0.85), with triple(a,b) = a+b+ab detecting its isomorphism to multiply via identical β* without circuit inspection (Results 16–17); and attention asymmetry β₂* = K_in_asym/K_in serves as a WD-dependent order parameter for algebraic commutativity — collapsing to near-zero for commutative tasks and persisting at β₂* ≈ 0.32–0.44 for non-commutative subtraction (Result 17). β* remains the sole WD-invariant fixed point.</w:t>
      </w:r>
    </w:p>
    <w:p>
      <w:pPr>
        <w:spacing w:before="0" w:after="120"/>
        <w:jc w:val="both"/>
      </w:pPr>
      <w:r>
        <w:rPr>
          <w:rFonts w:ascii="Arial" w:cs="Arial" w:eastAsia="Arial" w:hAnsi="Arial"/>
          <w:sz w:val="22"/>
          <w:szCs w:val="22"/>
        </w:rPr>
        <w:t xml:space="preserve">The WHY² equation is formally equivalent to the local potential approximation (LPA) fixed-point condition of the Wetterich functional renormalization group equation, providing a field-theoretic grounding for the observed weight-decay invariance of β*. We interpret β* as an empirical inverse c-function measuring the cost of broken algebraic symmetry in learned representations. β is computed as an emergent diagnostic from three simultaneously-measured observables; it is not a free parameter, not a fitted exponent, and is not equivalent to an inverse thermodynamic temperature — a distinction confirmed by direct falsification in Experiment 4 (Result 13).</w:t>
      </w:r>
    </w:p>
    <w:p>
      <w:pPr>
        <w:pStyle w:val="Heading1"/>
        <w:spacing w:before="360" w:after="180"/>
      </w:pPr>
      <w:r>
        <w:rPr>
          <w:rFonts w:ascii="Arial" w:cs="Arial" w:eastAsia="Arial" w:hAnsi="Arial"/>
          <w:b/>
          <w:bCs/>
          <w:sz w:val="32"/>
          <w:szCs w:val="32"/>
        </w:rPr>
        <w:t xml:space="preserve">1. Introduction</w:t>
      </w:r>
    </w:p>
    <w:p>
      <w:pPr>
        <w:spacing w:before="0" w:after="120"/>
        <w:jc w:val="both"/>
      </w:pPr>
      <w:r>
        <w:rPr>
          <w:rFonts w:ascii="Arial" w:cs="Arial" w:eastAsia="Arial" w:hAnsi="Arial"/>
          <w:sz w:val="22"/>
          <w:szCs w:val="22"/>
        </w:rPr>
        <w:t xml:space="preserve">Grokking — the delayed generalization phenomenon in which transformers trained on small algorithmic datasets achieve near-perfect test accuracy thousands of epochs after memorizing training data — was identified by Power et al. (2022). Mechanistic interpretability work (Nanda et al. 2023) established that grokking on modular arithmetic corresponds to the formation of Fourier circuits in the embedding matrices. Zhang et al. (2025) recently proposed that grokking is a form of computational glass relaxation, where the system undergoes a slow structural transition analogous to a glass finding its crystalline ground state. He et al. (2026) characterized a three-stage Fourier mode competition process with an associated ODE.</w:t>
      </w:r>
    </w:p>
    <w:p>
      <w:pPr>
        <w:spacing w:before="0" w:after="120"/>
        <w:jc w:val="both"/>
      </w:pPr>
      <w:r>
        <w:rPr>
          <w:rFonts w:ascii="Arial" w:cs="Arial" w:eastAsia="Arial" w:hAnsi="Arial"/>
          <w:sz w:val="22"/>
          <w:szCs w:val="22"/>
        </w:rPr>
        <w:t xml:space="preserve">These frameworks raise natural questions: Can the relaxation process be measured in real time from within a single training run? Do different tasks relax to qualitatively different ground states? What determines which ground state a given seed reaches? Is β a thermodynamic quantity with a well-defined temperature? Is it a reparameterization of simpler spectral measures?</w:t>
      </w:r>
    </w:p>
    <w:p>
      <w:pPr>
        <w:spacing w:before="0" w:after="120"/>
        <w:jc w:val="both"/>
      </w:pPr>
      <w:r>
        <w:rPr>
          <w:rFonts w:ascii="Arial" w:cs="Arial" w:eastAsia="Arial" w:hAnsi="Arial"/>
          <w:sz w:val="22"/>
          <w:szCs w:val="22"/>
        </w:rPr>
        <w:t xml:space="preserve">The WHY² framework addresses these questions through two probes motivated by Kramers barrier-crossing theory. The central finding is that β, an emergent ratio of three internal observables, functions as a running coupling constant that flows toward task-specific fixed points β* during training. The ordering of these fixed points across tasks — multiply &lt; add &lt; subtract — spans nearly two orders of magnitude and reflects the algebraic symmetry structure of each operation. We interpret β* as an empirical inverse c-function for the grokking RG flow: a monotone scalar that characterizes the infrared fixed point of representation learning in the same spirit as Zamolodchikov’s c-theorem (1986) in 2D quantum field theory. A 71-model reparameterization study confirms that β is not reducible to standard spectral probes and that its two natural components (K_out and K_in_asym) are empirically decoupled, supporting a single-field phi^4 description.</w:t>
      </w:r>
    </w:p>
    <w:p>
      <w:pPr>
        <w:pStyle w:val="Heading1"/>
        <w:spacing w:before="360" w:after="180"/>
      </w:pPr>
      <w:r>
        <w:rPr>
          <w:rFonts w:ascii="Arial" w:cs="Arial" w:eastAsia="Arial" w:hAnsi="Arial"/>
          <w:b/>
          <w:bCs/>
          <w:sz w:val="32"/>
          <w:szCs w:val="32"/>
        </w:rPr>
        <w:t xml:space="preserve">2. The WHY² Framework</w:t>
      </w:r>
    </w:p>
    <w:p>
      <w:pPr>
        <w:pStyle w:val="Heading2"/>
        <w:spacing w:before="240" w:after="120"/>
      </w:pPr>
      <w:r>
        <w:rPr>
          <w:rFonts w:ascii="Arial" w:cs="Arial" w:eastAsia="Arial" w:hAnsi="Arial"/>
          <w:b/>
          <w:bCs/>
          <w:sz w:val="26"/>
          <w:szCs w:val="26"/>
        </w:rPr>
        <w:t xml:space="preserve">2.1 Derivation from Kramers Theory</w:t>
      </w:r>
    </w:p>
    <w:p>
      <w:pPr>
        <w:spacing w:before="0" w:after="120"/>
        <w:jc w:val="both"/>
      </w:pPr>
      <w:r>
        <w:rPr>
          <w:rFonts w:ascii="Arial" w:cs="Arial" w:eastAsia="Arial" w:hAnsi="Arial"/>
          <w:sz w:val="22"/>
          <w:szCs w:val="22"/>
        </w:rPr>
        <w:t xml:space="preserve">The Kramers escape rate for a Brownian particle in the overdamped limit is k ∝ √(ω_entry · ω_exit) · exp(−ΔV/k_BT), where ω_entry and ω_exit are curvatures at the entry and exit of the barrier and ΔV is the barrier height. By analogy, we treat grokking as a barrier-crossing event in representation space:</w:t>
      </w:r>
    </w:p>
    <w:p>
      <w:pPr>
        <w:pStyle w:val="ListParagraph"/>
        <w:numPr>
          <w:ilvl w:val="0"/>
          <w:numId w:val="2"/>
        </w:numPr>
      </w:pPr>
      <w:r>
        <w:rPr>
          <w:rFonts w:ascii="Arial" w:cs="Arial" w:eastAsia="Arial" w:hAnsi="Arial"/>
          <w:sz w:val="22"/>
          <w:szCs w:val="22"/>
        </w:rPr>
        <w:t xml:space="preserve">K_in (analogous to ω_entry): the concentration of attention routing at the '=' token — how sharply the model addresses its inputs.</w:t>
      </w:r>
    </w:p>
    <w:p>
      <w:pPr>
        <w:pStyle w:val="ListParagraph"/>
        <w:numPr>
          <w:ilvl w:val="0"/>
          <w:numId w:val="2"/>
        </w:numPr>
      </w:pPr>
      <w:r>
        <w:rPr>
          <w:rFonts w:ascii="Arial" w:cs="Arial" w:eastAsia="Arial" w:hAnsi="Arial"/>
          <w:sz w:val="22"/>
          <w:szCs w:val="22"/>
        </w:rPr>
        <w:t xml:space="preserve">K_out (analogous to ω_exit): the concentration of the Fourier power spectrum in output embeddings — how crystallized the learned algorithm is.</w:t>
      </w:r>
    </w:p>
    <w:p>
      <w:pPr>
        <w:pStyle w:val="ListParagraph"/>
        <w:numPr>
          <w:ilvl w:val="0"/>
          <w:numId w:val="2"/>
        </w:numPr>
      </w:pPr>
      <w:r>
        <w:rPr>
          <w:rFonts w:ascii="Arial" w:cs="Arial" w:eastAsia="Arial" w:hAnsi="Arial"/>
          <w:sz w:val="22"/>
          <w:szCs w:val="22"/>
        </w:rPr>
        <w:t xml:space="preserve">H_n (analogous to ΔV/k_BT): the normalized spectral entropy — the remaining disorder in the representation.</w:t>
      </w:r>
    </w:p>
    <w:p>
      <w:pPr>
        <w:spacing w:before="60" w:after="60"/>
      </w:pPr>
      <w:r>
        <w:t xml:space="preserve"/>
      </w:r>
    </w:p>
    <w:p>
      <w:pPr>
        <w:spacing w:before="0" w:after="120"/>
        <w:jc w:val="both"/>
      </w:pPr>
      <w:r>
        <w:rPr>
          <w:rFonts w:ascii="Arial" w:cs="Arial" w:eastAsia="Arial" w:hAnsi="Arial"/>
          <w:sz w:val="22"/>
          <w:szCs w:val="22"/>
        </w:rPr>
        <w:t xml:space="preserve">The symmetric Kramers analogy gives K_out = K_in · e^{−H_n}. The data reveal this symmetry is broken: K_out evolves on a slower timescale than K_in post-grokking, motivating the asymmetric revised equation with exponent β.</w:t>
      </w:r>
    </w:p>
    <w:p>
      <w:pPr>
        <w:pStyle w:val="Heading2"/>
        <w:spacing w:before="240" w:after="120"/>
      </w:pPr>
      <w:r>
        <w:rPr>
          <w:rFonts w:ascii="Arial" w:cs="Arial" w:eastAsia="Arial" w:hAnsi="Arial"/>
          <w:b/>
          <w:bCs/>
          <w:sz w:val="26"/>
          <w:szCs w:val="26"/>
        </w:rPr>
        <w:t xml:space="preserve">2.2 K_in: Attention Routing Strength</w:t>
      </w:r>
    </w:p>
    <w:p>
      <w:pPr>
        <w:spacing w:before="60" w:after="120"/>
        <w:jc w:val="center"/>
      </w:pPr>
      <w:r>
        <w:rPr>
          <w:rFonts w:ascii="Arial" w:cs="Arial" w:eastAsia="Arial" w:hAnsi="Arial"/>
          <w:i/>
          <w:iCs/>
          <w:sz w:val="20"/>
          <w:szCs w:val="20"/>
        </w:rPr>
        <w:t xml:space="preserve">K_in = mean_{batch, heads} [ w_{2→0} + w_{2→1} ]</w:t>
      </w:r>
    </w:p>
    <w:p>
      <w:pPr>
        <w:spacing w:before="0" w:after="120"/>
        <w:jc w:val="both"/>
      </w:pPr>
      <w:r>
        <w:rPr>
          <w:rFonts w:ascii="Arial" w:cs="Arial" w:eastAsia="Arial" w:hAnsi="Arial"/>
          <w:sz w:val="22"/>
          <w:szCs w:val="22"/>
        </w:rPr>
        <w:t xml:space="preserve">where w_{i→j} is the attention weight from position i to position j. K_in measures how much of the '=' token’s attention is directed toward the two operand positions.</w:t>
      </w:r>
    </w:p>
    <w:p>
      <w:pPr>
        <w:pStyle w:val="Heading2"/>
        <w:spacing w:before="240" w:after="120"/>
      </w:pPr>
      <w:r>
        <w:rPr>
          <w:rFonts w:ascii="Arial" w:cs="Arial" w:eastAsia="Arial" w:hAnsi="Arial"/>
          <w:b/>
          <w:bCs/>
          <w:sz w:val="26"/>
          <w:szCs w:val="26"/>
        </w:rPr>
        <w:t xml:space="preserve">2.3 K_out: Fourier Spectral Concentration</w:t>
      </w:r>
    </w:p>
    <w:p>
      <w:pPr>
        <w:spacing w:before="60" w:after="120"/>
        <w:jc w:val="center"/>
      </w:pPr>
      <w:r>
        <w:rPr>
          <w:rFonts w:ascii="Arial" w:cs="Arial" w:eastAsia="Arial" w:hAnsi="Arial"/>
          <w:i/>
          <w:iCs/>
          <w:sz w:val="20"/>
          <w:szCs w:val="20"/>
        </w:rPr>
        <w:t xml:space="preserve">K_out = Σ_{top 10% modes} pw[k],   pw[k] = ||F_k · E||^2 / Σ_j ||F_j · E||^2</w:t>
      </w:r>
    </w:p>
    <w:p>
      <w:pPr>
        <w:spacing w:before="0" w:after="120"/>
        <w:jc w:val="both"/>
      </w:pPr>
      <w:r>
        <w:rPr>
          <w:rFonts w:ascii="Arial" w:cs="Arial" w:eastAsia="Arial" w:hAnsi="Arial"/>
          <w:sz w:val="22"/>
          <w:szCs w:val="22"/>
        </w:rPr>
        <w:t xml:space="preserve">where F is the Fourier basis matrix and E is the embedding weight matrix. K_out measures the fraction of embedding power concentrated in the top 10% of Fourier modes.</w:t>
      </w:r>
    </w:p>
    <w:p>
      <w:pPr>
        <w:pStyle w:val="Heading2"/>
        <w:spacing w:before="240" w:after="120"/>
      </w:pPr>
      <w:r>
        <w:rPr>
          <w:rFonts w:ascii="Arial" w:cs="Arial" w:eastAsia="Arial" w:hAnsi="Arial"/>
          <w:b/>
          <w:bCs/>
          <w:sz w:val="26"/>
          <w:szCs w:val="26"/>
        </w:rPr>
        <w:t xml:space="preserve">2.4 The β Diagnostic</w:t>
      </w:r>
    </w:p>
    <w:p>
      <w:pPr>
        <w:spacing w:before="0" w:after="120"/>
        <w:jc w:val="both"/>
      </w:pPr>
      <w:r>
        <w:rPr>
          <w:rFonts w:ascii="Arial" w:cs="Arial" w:eastAsia="Arial" w:hAnsi="Arial"/>
          <w:sz w:val="22"/>
          <w:szCs w:val="22"/>
        </w:rPr>
        <w:t xml:space="preserve">The revised asymmetric equation K_out^β = K_in · e^{−H_n} yields the emergent β diagnostic:</w:t>
      </w:r>
    </w:p>
    <w:p>
      <w:pPr>
        <w:spacing w:before="60" w:after="120"/>
        <w:jc w:val="center"/>
      </w:pPr>
      <w:r>
        <w:rPr>
          <w:rFonts w:ascii="Arial" w:cs="Arial" w:eastAsia="Arial" w:hAnsi="Arial"/>
          <w:i/>
          <w:iCs/>
          <w:sz w:val="20"/>
          <w:szCs w:val="20"/>
        </w:rPr>
        <w:t xml:space="preserve">β = (ln K_in − H_n) / ln K_out</w:t>
      </w:r>
    </w:p>
    <w:p>
      <w:pPr>
        <w:spacing w:before="0" w:after="120"/>
        <w:jc w:val="both"/>
      </w:pPr>
      <w:r>
        <w:rPr>
          <w:rFonts w:ascii="Arial" w:cs="Arial" w:eastAsia="Arial" w:hAnsi="Arial"/>
          <w:sz w:val="22"/>
          <w:szCs w:val="22"/>
        </w:rPr>
        <w:t xml:space="preserve">β is not a free parameter or a fitted exponent. It is computed directly from three simultaneously-measured observables at every probe epoch. Its dynamics — trajectory, velocity dβ/dt, and eventual fixed point β* — are entirely determined by the training process.</w:t>
      </w:r>
    </w:p>
    <w:p>
      <w:pPr>
        <w:pStyle w:val="Heading1"/>
        <w:spacing w:before="360" w:after="180"/>
      </w:pPr>
      <w:r>
        <w:rPr>
          <w:rFonts w:ascii="Arial" w:cs="Arial" w:eastAsia="Arial" w:hAnsi="Arial"/>
          <w:b/>
          <w:bCs/>
          <w:sz w:val="32"/>
          <w:szCs w:val="32"/>
        </w:rPr>
        <w:t xml:space="preserve">3. Methods</w:t>
      </w:r>
    </w:p>
    <w:p>
      <w:pPr>
        <w:pStyle w:val="Heading2"/>
        <w:spacing w:before="240" w:after="120"/>
      </w:pPr>
      <w:r>
        <w:rPr>
          <w:rFonts w:ascii="Arial" w:cs="Arial" w:eastAsia="Arial" w:hAnsi="Arial"/>
          <w:b/>
          <w:bCs/>
          <w:sz w:val="26"/>
          <w:szCs w:val="26"/>
        </w:rPr>
        <w:t xml:space="preserve">3.1 Model and Training</w:t>
      </w:r>
    </w:p>
    <w:p>
      <w:pPr>
        <w:spacing w:before="0" w:after="120"/>
        <w:jc w:val="both"/>
      </w:pPr>
      <w:r>
        <w:rPr>
          <w:rFonts w:ascii="Arial" w:cs="Arial" w:eastAsia="Arial" w:hAnsi="Arial"/>
          <w:sz w:val="22"/>
          <w:szCs w:val="22"/>
        </w:rPr>
        <w:t xml:space="preserve">Single transformer layer (Nanda et al. 2023 configuration): nn.MultiheadAttention (4 heads) + position-wise FFN (ReLU, D_ff = 4·D). Input: sequence [a, b, '='] with learnable position embeddings. Output: logits over Z_p (vocabulary size p). Training: AdamW, lr=1e-3. The '=' position output is used for cross-entropy loss. Weight decay is the primary control variable in Tier 2 experiments.</w:t>
      </w:r>
    </w:p>
    <w:p>
      <w:pPr>
        <w:pStyle w:val="Heading2"/>
        <w:spacing w:before="240" w:after="120"/>
      </w:pPr>
      <w:r>
        <w:rPr>
          <w:rFonts w:ascii="Arial" w:cs="Arial" w:eastAsia="Arial" w:hAnsi="Arial"/>
          <w:b/>
          <w:bCs/>
          <w:sz w:val="26"/>
          <w:szCs w:val="26"/>
        </w:rPr>
        <w:t xml:space="preserve">3.2 Experimental Design</w:t>
      </w:r>
    </w:p>
    <w:p>
      <w:pPr>
        <w:spacing w:before="0" w:after="120"/>
        <w:jc w:val="both"/>
      </w:pPr>
      <w:r>
        <w:rPr>
          <w:rFonts w:ascii="Arial" w:cs="Arial" w:eastAsia="Arial" w:hAnsi="Arial"/>
          <w:sz w:val="22"/>
          <w:szCs w:val="22"/>
        </w:rPr>
        <w:t xml:space="preserve">Four experimental programs:</w:t>
      </w:r>
    </w:p>
    <w:p>
      <w:pPr>
        <w:spacing w:before="0" w:after="120"/>
        <w:jc w:val="both"/>
      </w:pPr>
      <w:r>
        <w:rPr>
          <w:rFonts w:ascii="Arial" w:cs="Arial" w:eastAsia="Arial" w:hAnsi="Arial"/>
          <w:sz w:val="22"/>
          <w:szCs w:val="22"/>
        </w:rPr>
        <w:t xml:space="preserve">Comprehensive 63-Run Experiment (Sections 4–5): Tier 1a: Four tasks × 3 seeds = 12 runs on p=97. Tier 2a: d_model ∈ {64, 128, 256} × 3 seeds = 9 runs. Tier 2b: WD ∈ {0.1, 0.3, 0.5, 1.0, 2.0} × 3 seeds = 15 runs. Tier 3a: add + multiply on p=113, × 3 seeds = 6 runs. Tier 3b/c: WD phase boundary and within-task predictor studies. Total: 63 training runs.</w:t>
      </w:r>
    </w:p>
    <w:p>
      <w:pPr>
        <w:spacing w:before="0" w:after="120"/>
        <w:jc w:val="both"/>
      </w:pPr>
      <w:r>
        <w:rPr>
          <w:rFonts w:ascii="Arial" w:cs="Arial" w:eastAsia="Arial" w:hAnsi="Arial"/>
          <w:sz w:val="22"/>
          <w:szCs w:val="22"/>
        </w:rPr>
        <w:t xml:space="preserve">β Velocity Experiment (Section 6): Three tasks (add, subtract, multiply) × 3 seeds each, extended to 18,000 epochs. p=97, WD=1.0, d_model=128, train fraction=30%. Probes every 25 epochs.</w:t>
      </w:r>
    </w:p>
    <w:p>
      <w:pPr>
        <w:spacing w:before="0" w:after="120"/>
        <w:jc w:val="both"/>
      </w:pPr>
      <w:r>
        <w:rPr>
          <w:rFonts w:ascii="Arial" w:cs="Arial" w:eastAsia="Arial" w:hAnsi="Arial"/>
          <w:sz w:val="22"/>
          <w:szCs w:val="22"/>
        </w:rPr>
        <w:t xml:space="preserve">Basin Selection Falsification Program (Section 8): Four causal intervention experiments (36 runs each), initialization geometry analysis (12 seeds), correlation study (30 seeds), and 72-run basin stability test. Total: 174 additional training runs.</w:t>
      </w:r>
    </w:p>
    <w:p>
      <w:pPr>
        <w:spacing w:before="0" w:after="120"/>
        <w:jc w:val="both"/>
      </w:pPr>
      <w:r>
        <w:rPr>
          <w:rFonts w:ascii="Arial" w:cs="Arial" w:eastAsia="Arial" w:hAnsi="Arial"/>
          <w:sz w:val="22"/>
          <w:szCs w:val="22"/>
        </w:rPr>
        <w:t xml:space="preserve">T_eff Experiment Series (Section 9): Three successive runs (v1 raw, v2 EMA-smoothed τ=500, v3 basin confirmation + spike investigation) on subtract task, n=6 seeds total.</w:t>
      </w:r>
    </w:p>
    <w:p>
      <w:pPr>
        <w:spacing w:before="0" w:after="120"/>
        <w:jc w:val="both"/>
      </w:pPr>
      <w:r>
        <w:rPr>
          <w:rFonts w:ascii="Arial" w:cs="Arial" w:eastAsia="Arial" w:hAnsi="Arial"/>
          <w:sz w:val="22"/>
          <w:szCs w:val="22"/>
        </w:rPr>
        <w:t xml:space="preserve">Spectral Reparameterization Study (Section 10): 8 seeds × 3 weight-decay values (WD ∈ {0.5, 1.0, 2.0}) × 3 tasks (multiply, add, subtract) = 72 runs. 71 grokked. Post-grokking settle extended to 3,000 epochs. Eleven spectral probes computed at freeze point; partial correlations computed controlling for task identity.</w:t>
      </w:r>
    </w:p>
    <w:p>
      <w:pPr>
        <w:pStyle w:val="Heading1"/>
        <w:spacing w:before="360" w:after="180"/>
      </w:pPr>
      <w:r>
        <w:rPr>
          <w:rFonts w:ascii="Arial" w:cs="Arial" w:eastAsia="Arial" w:hAnsi="Arial"/>
          <w:b/>
          <w:bCs/>
          <w:sz w:val="32"/>
          <w:szCs w:val="32"/>
        </w:rPr>
        <w:t xml:space="preserve">4. Results: Comprehensive Experiment</w:t>
      </w:r>
    </w:p>
    <w:p>
      <w:pPr>
        <w:pStyle w:val="Heading2"/>
        <w:spacing w:before="240" w:after="120"/>
      </w:pPr>
      <w:r>
        <w:rPr>
          <w:rFonts w:ascii="Arial" w:cs="Arial" w:eastAsia="Arial" w:hAnsi="Arial"/>
          <w:b/>
          <w:bCs/>
          <w:sz w:val="26"/>
          <w:szCs w:val="26"/>
        </w:rPr>
        <w:t xml:space="preserve">4.1 Pre-Grokking Anti-Correlation</w:t>
      </w:r>
    </w:p>
    <w:p>
      <w:pPr>
        <w:spacing w:before="0" w:after="120"/>
        <w:jc w:val="both"/>
      </w:pPr>
      <w:r>
        <w:rPr>
          <w:rFonts w:ascii="Arial" w:cs="Arial" w:eastAsia="Arial" w:hAnsi="Arial"/>
          <w:sz w:val="22"/>
          <w:szCs w:val="22"/>
        </w:rPr>
        <w:t xml:space="preserve">Across all tasks, seeds, and configurations, K_in and K_out move in opposite directions throughout the pre-grokking phase. K_in rises as the model learns to route attention toward operands; K_out falls as embedding representations spread into diffuse pre-Fourier patterns. At grokking, K_out inflects sharply upward while K_in begins to plateau. This anti-correlation is a continuous internal thermometer of the memorization-to-generalization transition, observable without access to test accuracy.</w:t>
      </w:r>
    </w:p>
    <w:p>
      <w:pPr>
        <w:pStyle w:val="Heading2"/>
        <w:spacing w:before="240" w:after="120"/>
      </w:pPr>
      <w:r>
        <w:rPr>
          <w:rFonts w:ascii="Arial" w:cs="Arial" w:eastAsia="Arial" w:hAnsi="Arial"/>
          <w:b/>
          <w:bCs/>
          <w:sz w:val="26"/>
          <w:szCs w:val="26"/>
        </w:rPr>
        <w:t xml:space="preserve">4.2 Task Complexity Fingerprints (T1a)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20"/>
        <w:gridCol w:w="2320"/>
        <w:gridCol w:w="2520"/>
      </w:tblGrid>
      <w:tr>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Task</w:t>
            </w:r>
          </w:p>
        </w:tc>
        <w:tc>
          <w:tcPr>
            <w:tcW w:type="dxa" w:w="25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K_out/K_in at Grokking</w:t>
            </w:r>
          </w:p>
        </w:tc>
        <w:tc>
          <w:tcPr>
            <w:tcW w:type="dxa" w:w="23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K_out at Grokking</w:t>
            </w:r>
          </w:p>
        </w:tc>
        <w:tc>
          <w:tcPr>
            <w:tcW w:type="dxa" w:w="25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Grok Epoch (mean)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multiply</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0.144–0.163</w:t>
            </w:r>
          </w:p>
        </w:tc>
        <w:tc>
          <w:tcPr>
            <w:tcW w:type="dxa" w:w="23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0.130–0.148</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~3,500</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add</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0.384–0.508</w:t>
            </w:r>
          </w:p>
        </w:tc>
        <w:tc>
          <w:tcPr>
            <w:tcW w:type="dxa" w:w="23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0.340–0.420</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~4,600</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subtract</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0.350–0.450</w:t>
            </w:r>
          </w:p>
        </w:tc>
        <w:tc>
          <w:tcPr>
            <w:tcW w:type="dxa" w:w="23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0.340–0.400</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~5,000</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triple (a+b+a×b)</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0.55–0.70</w:t>
            </w:r>
          </w:p>
        </w:tc>
        <w:tc>
          <w:tcPr>
            <w:tcW w:type="dxa" w:w="23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0.480–0.590</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~7,000</w:t>
            </w:r>
          </w:p>
        </w:tc>
      </w:tr>
    </w:tbl>
    <w:p>
      <w:pPr>
        <w:spacing w:before="60" w:after="180"/>
        <w:jc w:val="both"/>
      </w:pPr>
      <w:r>
        <w:rPr>
          <w:rFonts w:ascii="Arial" w:cs="Arial" w:eastAsia="Arial" w:hAnsi="Arial"/>
          <w:i/>
          <w:iCs/>
          <w:sz w:val="19"/>
          <w:szCs w:val="19"/>
        </w:rPr>
        <w:t xml:space="preserve">Table 1. K_out/K_in ratio at grokking by task, p=97, 3 seeds each. Multiply clusters at ~0.15; add at ~0.43; clusters show zero overlap.</w:t>
      </w:r>
    </w:p>
    <w:p>
      <w:pPr>
        <w:pStyle w:val="Heading2"/>
        <w:spacing w:before="240" w:after="120"/>
      </w:pPr>
      <w:r>
        <w:rPr>
          <w:rFonts w:ascii="Arial" w:cs="Arial" w:eastAsia="Arial" w:hAnsi="Arial"/>
          <w:b/>
          <w:bCs/>
          <w:sz w:val="26"/>
          <w:szCs w:val="26"/>
        </w:rPr>
        <w:t xml:space="preserve">4.3 Prime Generalization (T3a)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Task</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p=97 ratio range</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p=113 ratio range</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Overlap</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multiply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0.144–0.163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0.148–0.165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None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add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0.384–0.508</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0.392–0.498</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None</w:t>
            </w:r>
          </w:p>
        </w:tc>
      </w:tr>
    </w:tbl>
    <w:p>
      <w:pPr>
        <w:spacing w:before="60" w:after="180"/>
        <w:jc w:val="both"/>
      </w:pPr>
      <w:r>
        <w:rPr>
          <w:rFonts w:ascii="Arial" w:cs="Arial" w:eastAsia="Arial" w:hAnsi="Arial"/>
          <w:i/>
          <w:iCs/>
          <w:sz w:val="19"/>
          <w:szCs w:val="19"/>
        </w:rPr>
        <w:t xml:space="preserve">Table 2. Ratio clusters replicated across p=97 and p=113 with zero overlap between task clusters across all 15 seeds.</w:t>
      </w:r>
    </w:p>
    <w:p>
      <w:pPr>
        <w:pStyle w:val="Heading2"/>
        <w:spacing w:before="240" w:after="120"/>
      </w:pPr>
      <w:r>
        <w:rPr>
          <w:rFonts w:ascii="Arial" w:cs="Arial" w:eastAsia="Arial" w:hAnsi="Arial"/>
          <w:b/>
          <w:bCs/>
          <w:sz w:val="26"/>
          <w:szCs w:val="26"/>
        </w:rPr>
        <w:t xml:space="preserve">4.4 Weight Decay Phase Structure (T2b + T3b)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80"/>
        <w:gridCol w:w="2080"/>
        <w:gridCol w:w="3640"/>
      </w:tblGrid>
      <w:tr>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WD</w:t>
            </w:r>
          </w:p>
        </w:tc>
        <w:tc>
          <w:tcPr>
            <w:tcW w:type="dxa" w:w="20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Grokking Rate</w:t>
            </w:r>
          </w:p>
        </w:tc>
        <w:tc>
          <w:tcPr>
            <w:tcW w:type="dxa" w:w="20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K_out at grok</w:t>
            </w:r>
          </w:p>
        </w:tc>
        <w:tc>
          <w:tcPr>
            <w:tcW w:type="dxa" w:w="36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Phase</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0.10–0.25</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0/3 (all seeds)</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3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 grokking</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0.30</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2/3 seeds</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~0.458</w:t>
            </w:r>
          </w:p>
        </w:tc>
        <w:tc>
          <w:tcPr>
            <w:tcW w:type="dxa" w:w="3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Critical (boundary)</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0.50–1.0</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3/3 seeds</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~0.38–0.42</w:t>
            </w:r>
          </w:p>
        </w:tc>
        <w:tc>
          <w:tcPr>
            <w:tcW w:type="dxa" w:w="3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Grokking</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2.0</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3/3 seeds</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~0.31</w:t>
            </w:r>
          </w:p>
        </w:tc>
        <w:tc>
          <w:tcPr>
            <w:tcW w:type="dxa" w:w="3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Grokking (fast)</w:t>
            </w:r>
          </w:p>
        </w:tc>
      </w:tr>
    </w:tbl>
    <w:p>
      <w:pPr>
        <w:spacing w:before="60" w:after="180"/>
        <w:jc w:val="both"/>
      </w:pPr>
      <w:r>
        <w:rPr>
          <w:rFonts w:ascii="Arial" w:cs="Arial" w:eastAsia="Arial" w:hAnsi="Arial"/>
          <w:i/>
          <w:iCs/>
          <w:sz w:val="19"/>
          <w:szCs w:val="19"/>
        </w:rPr>
        <w:t xml:space="preserve">Table 3. Weight decay phase diagram. Critical boundary at WD_c ∈ (0.25, 0.30). K_out peaks at the phase boundary.</w:t>
      </w:r>
    </w:p>
    <w:p>
      <w:pPr>
        <w:pStyle w:val="Heading2"/>
        <w:spacing w:before="240" w:after="120"/>
      </w:pPr>
      <w:r>
        <w:rPr>
          <w:rFonts w:ascii="Arial" w:cs="Arial" w:eastAsia="Arial" w:hAnsi="Arial"/>
          <w:b/>
          <w:bCs/>
          <w:sz w:val="26"/>
          <w:szCs w:val="26"/>
        </w:rPr>
        <w:t xml:space="preserve">4.5 Model Size Scaling (T2a)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d_model</w:t>
            </w:r>
          </w:p>
        </w:tc>
        <w:tc>
          <w:tcPr>
            <w:tcW w:type="dxa" w:w="3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K_out at grokking (mean)</w:t>
            </w:r>
          </w:p>
        </w:tc>
        <w:tc>
          <w:tcPr>
            <w:tcW w:type="dxa" w:w="3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Grok Epoch (mean)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64</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0.485 ± 0.031</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~4,200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128</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0.398 ± 0.044</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~5,100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256</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0.312 ± 0.038</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~6,800</w:t>
            </w:r>
          </w:p>
        </w:tc>
      </w:tr>
    </w:tbl>
    <w:p>
      <w:pPr>
        <w:spacing w:before="60" w:after="180"/>
        <w:jc w:val="both"/>
      </w:pPr>
      <w:r>
        <w:rPr>
          <w:rFonts w:ascii="Arial" w:cs="Arial" w:eastAsia="Arial" w:hAnsi="Arial"/>
          <w:i/>
          <w:iCs/>
          <w:sz w:val="19"/>
          <w:szCs w:val="19"/>
        </w:rPr>
        <w:t xml:space="preserve">Table 4. K_out at grokking decreases monotonically with d_model (ρ = −0.815).</w:t>
      </w:r>
    </w:p>
    <w:p>
      <w:pPr>
        <w:pStyle w:val="Heading1"/>
        <w:spacing w:before="360" w:after="180"/>
      </w:pPr>
      <w:r>
        <w:rPr>
          <w:rFonts w:ascii="Arial" w:cs="Arial" w:eastAsia="Arial" w:hAnsi="Arial"/>
          <w:b/>
          <w:bCs/>
          <w:sz w:val="32"/>
          <w:szCs w:val="32"/>
        </w:rPr>
        <w:t xml:space="preserve">5. The Revised WHY² Equation and β Dynamics</w:t>
      </w:r>
    </w:p>
    <w:p>
      <w:pPr>
        <w:pStyle w:val="Heading2"/>
        <w:spacing w:before="240" w:after="120"/>
      </w:pPr>
      <w:r>
        <w:rPr>
          <w:rFonts w:ascii="Arial" w:cs="Arial" w:eastAsia="Arial" w:hAnsi="Arial"/>
          <w:b/>
          <w:bCs/>
          <w:sz w:val="26"/>
          <w:szCs w:val="26"/>
        </w:rPr>
        <w:t xml:space="preserve">5.1 Motivation: Broken Timescale Symmetry</w:t>
      </w:r>
    </w:p>
    <w:p>
      <w:pPr>
        <w:spacing w:before="0" w:after="120"/>
        <w:jc w:val="both"/>
      </w:pPr>
      <w:r>
        <w:rPr>
          <w:rFonts w:ascii="Arial" w:cs="Arial" w:eastAsia="Arial" w:hAnsi="Arial"/>
          <w:sz w:val="22"/>
          <w:szCs w:val="22"/>
        </w:rPr>
        <w:t xml:space="preserve">The symmetric Kramers analogy fails to capture a key empirical observation: after grokking, K_out continues evolving on a timescale much longer than K_in. K_in stabilizes within ~500 epochs post-grokking; K_out may continue rising for thousands of epochs. This timescale asymmetry motivates the exponent β, yielding:</w:t>
      </w:r>
    </w:p>
    <w:p>
      <w:pPr>
        <w:spacing w:before="60" w:after="120"/>
        <w:jc w:val="center"/>
      </w:pPr>
      <w:r>
        <w:rPr>
          <w:rFonts w:ascii="Arial" w:cs="Arial" w:eastAsia="Arial" w:hAnsi="Arial"/>
          <w:i/>
          <w:iCs/>
          <w:sz w:val="20"/>
          <w:szCs w:val="20"/>
        </w:rPr>
        <w:t xml:space="preserve">K_out^β = K_in · e^{−H_n}</w:t>
      </w:r>
    </w:p>
    <w:p>
      <w:pPr>
        <w:spacing w:before="0" w:after="120"/>
        <w:jc w:val="both"/>
      </w:pPr>
      <w:r>
        <w:rPr>
          <w:rFonts w:ascii="Arial" w:cs="Arial" w:eastAsia="Arial" w:hAnsi="Arial"/>
          <w:sz w:val="22"/>
          <w:szCs w:val="22"/>
        </w:rPr>
        <w:t xml:space="preserve">The full stochastic dynamics of β are governed by:</w:t>
      </w:r>
    </w:p>
    <w:p>
      <w:pPr>
        <w:spacing w:before="60" w:after="120"/>
        <w:jc w:val="center"/>
      </w:pPr>
      <w:r>
        <w:rPr>
          <w:rFonts w:ascii="Arial" w:cs="Arial" w:eastAsia="Arial" w:hAnsi="Arial"/>
          <w:i/>
          <w:iCs/>
          <w:sz w:val="20"/>
          <w:szCs w:val="20"/>
        </w:rPr>
        <w:t xml:space="preserve">dβ/dt = (1/ln K_out) [ (dI_eff/dt)/I_eff − β · (dK_out/dt)/K_out ]</w:t>
      </w:r>
    </w:p>
    <w:p>
      <w:pPr>
        <w:spacing w:before="0" w:after="120"/>
        <w:jc w:val="both"/>
      </w:pPr>
      <w:r>
        <w:rPr>
          <w:rFonts w:ascii="Arial" w:cs="Arial" w:eastAsia="Arial" w:hAnsi="Arial"/>
          <w:sz w:val="22"/>
          <w:szCs w:val="22"/>
        </w:rPr>
        <w:t xml:space="preserve">where I_eff = K_in · e^{−H_n}. This ODE shows β decelerates when K_out grows faster than the numerator, and accelerates when input routing tightens faster than Fourier consolidation.</w:t>
      </w:r>
    </w:p>
    <w:p>
      <w:pPr>
        <w:pStyle w:val="Heading2"/>
        <w:spacing w:before="240" w:after="120"/>
      </w:pPr>
      <w:r>
        <w:rPr>
          <w:rFonts w:ascii="Arial" w:cs="Arial" w:eastAsia="Arial" w:hAnsi="Arial"/>
          <w:b/>
          <w:bCs/>
          <w:sz w:val="26"/>
          <w:szCs w:val="26"/>
        </w:rPr>
        <w:t xml:space="preserve">5.2 β as a Running Coupling Constant</w:t>
      </w:r>
    </w:p>
    <w:p>
      <w:pPr>
        <w:spacing w:before="0" w:after="120"/>
        <w:jc w:val="both"/>
      </w:pPr>
      <w:r>
        <w:rPr>
          <w:rFonts w:ascii="Arial" w:cs="Arial" w:eastAsia="Arial" w:hAnsi="Arial"/>
          <w:sz w:val="22"/>
          <w:szCs w:val="22"/>
        </w:rPr>
        <w:t xml:space="preserve">The behavior of β is formally analogous to a running coupling constant in quantum field theory: a dimensionless parameter that flows under the renormalization group toward infrared fixed points. The grokking transition is not the endpoint of learning but an intermediate threshold — the UV completion of the algorithm — after which β begins its slow RG flow toward β*.</w:t>
      </w:r>
    </w:p>
    <w:p>
      <w:pPr>
        <w:spacing w:before="0" w:after="120"/>
        <w:jc w:val="both"/>
      </w:pPr>
      <w:r>
        <w:rPr>
          <w:rFonts w:ascii="Arial" w:cs="Arial" w:eastAsia="Arial" w:hAnsi="Arial"/>
          <w:sz w:val="22"/>
          <w:szCs w:val="22"/>
        </w:rPr>
        <w:t xml:space="preserve">In Zamolodchikov’s c-theorem (1986), any 2D quantum field theory possesses a function C(g) that decreases monotonically along RG flow and equals the central charge at fixed points. We propose β* as the empirical analogue of the inverse c-function for the grokking RG flow: it is monotone across tasks (multiply &lt; add &lt; subtract), it characterizes the fixed point structure of the learned representation, and its value encodes the algebraic complexity of the task.</w:t>
      </w:r>
    </w:p>
    <w:p>
      <w:pPr>
        <w:pStyle w:val="Heading2"/>
        <w:spacing w:before="240" w:after="120"/>
      </w:pPr>
      <w:r>
        <w:rPr>
          <w:rFonts w:ascii="Arial" w:cs="Arial" w:eastAsia="Arial" w:hAnsi="Arial"/>
          <w:b/>
          <w:bCs/>
          <w:sz w:val="26"/>
          <w:szCs w:val="26"/>
        </w:rPr>
        <w:t xml:space="preserve">5.3 Connection to Glass Relaxation</w:t>
      </w:r>
    </w:p>
    <w:p>
      <w:pPr>
        <w:spacing w:before="0" w:after="120"/>
        <w:jc w:val="both"/>
      </w:pPr>
      <w:r>
        <w:rPr>
          <w:rFonts w:ascii="Arial" w:cs="Arial" w:eastAsia="Arial" w:hAnsi="Arial"/>
          <w:sz w:val="22"/>
          <w:szCs w:val="22"/>
        </w:rPr>
        <w:t xml:space="preserve">Zhang et al. (2025) propose that grokking is computational glass relaxation: the network undergoes a slow structural transition from an amorphous memorization state to a crystalline generalization state. Under this interpretation, β(t) is the real-time thermometer of the relaxation process — rising as crystallization proceeds, approaching a finite β* when the crystal is fully formed. Tasks that require more rigid representations (higher β*) relax more slowly and may exhibit multiple metastable states, exactly as observed for the subtract task.</w:t>
      </w:r>
    </w:p>
    <w:p>
      <w:pPr>
        <w:pStyle w:val="Heading2"/>
        <w:spacing w:before="240" w:after="120"/>
      </w:pPr>
      <w:r>
        <w:rPr>
          <w:rFonts w:ascii="Arial" w:cs="Arial" w:eastAsia="Arial" w:hAnsi="Arial"/>
          <w:b/>
          <w:bCs/>
          <w:sz w:val="26"/>
          <w:szCs w:val="26"/>
        </w:rPr>
        <w:t xml:space="preserve">5.4 Field-Theoretic Grounding: Wetterich LPA and Scheme-Independence</w:t>
      </w:r>
    </w:p>
    <w:p>
      <w:pPr>
        <w:spacing w:before="0" w:after="120"/>
        <w:jc w:val="both"/>
      </w:pPr>
      <w:r>
        <w:rPr>
          <w:rFonts w:ascii="Arial" w:cs="Arial" w:eastAsia="Arial" w:hAnsi="Arial"/>
          <w:sz w:val="22"/>
          <w:szCs w:val="22"/>
        </w:rPr>
        <w:t xml:space="preserve">The WHY² fixed-point equation is equivalent to the local potential approximation (LPA) fixed-point condition of the Wetterich functional renormalization group equation (Wetterich 1993). In the Wetterich framework, the flowing effective action Γ_k[phi] interpolates between the UV action (at the memorization scale) and the IR effective action (at the crystallization fixed point) as the RG scale k decreases. The LPA truncates this flow to a single field phi ≡ K_out with a local potential, yielding an equation whose fixed points coincide with those of the WHY² equation.</w:t>
      </w:r>
    </w:p>
    <w:p>
      <w:pPr>
        <w:spacing w:before="0" w:after="120"/>
        <w:jc w:val="both"/>
      </w:pPr>
      <w:r>
        <w:rPr>
          <w:rFonts w:ascii="Arial" w:cs="Arial" w:eastAsia="Arial" w:hAnsi="Arial"/>
          <w:sz w:val="22"/>
          <w:szCs w:val="22"/>
        </w:rPr>
        <w:t xml:space="preserve">This identification has a direct empirical consequence: the scheme-independence of Wetterich fixed points — the property that fixed-point values are invariant under changes in the RG regulator function — predicts that β* should be invariant under changes in the training hyperparameter that plays the role of a regulator. Weight decay is this regulator: it controls the rate at which low-frequency modes are suppressed relative to high-frequency ones, exactly as a Wetterich regulator R_k(q) suppresses low-momentum modes. The observed WD-invariance of β* (documented in Section 10) is therefore a direct empirical verification of Wetterich scheme-independence in the grokking setting. Stated precisely: β* parametrizes an infrared fixed-point property of the task's algebraic structure, insensitive to the regularization scheme, in the same way that critical exponents at a Wilson-Fisher fixed point are scheme-independent while the beta functions that flow toward them are not. β₂*, by contrast, fails this test — it is WD-dependent and therefore scheme-dependent, confirming it as a relevant deformation away from the fixed point rather than a fixed-point property itself.</w:t>
      </w:r>
    </w:p>
    <w:p>
      <w:pPr>
        <w:spacing w:before="0" w:after="120"/>
        <w:jc w:val="both"/>
      </w:pPr>
      <w:r>
        <w:rPr>
          <w:rFonts w:ascii="Arial" w:cs="Arial" w:eastAsia="Arial" w:hAnsi="Arial"/>
          <w:sz w:val="22"/>
          <w:szCs w:val="22"/>
        </w:rPr>
        <w:t xml:space="preserve">The appearance of two distinct attractors in the subtract task signals proximity to a tricritical point in the phi^4 effective potential — the surface where the quartic coupling changes sign under RG flow. A phi^6 extension of the single-field LPA (equivalent to adding a phi^6 term to the Wetterich effective potential) would naturally explain the two-basin structure: for quartic coupling u &gt; 0 the transition is second-order (Basin A, smooth crystallization); for u &lt; 0 the transition is first-order (Basin B, discontinuous jump in K_out). The K_out ≈ 0.83 threshold is the tricritical surface separating these regimes. This phi^6 extension, and the associated prediction that basin assignment is governed by the sign of the quartic coupling at the threshold, is deferred to future work.</w:t>
      </w:r>
    </w:p>
    <w:p>
      <w:pPr>
        <w:spacing w:before="0" w:after="120"/>
        <w:jc w:val="both"/>
      </w:pPr>
      <w:r>
        <w:rPr>
          <w:rFonts w:ascii="Arial" w:cs="Arial" w:eastAsia="Arial" w:hAnsi="Arial"/>
          <w:sz w:val="22"/>
          <w:szCs w:val="22"/>
        </w:rPr>
        <w:t xml:space="preserve">A potential two-field extension was considered and tested empirically. If K_in_asym (attention routing asymmetry) constitutes a second independent order parameter phi_2, then a cross-term coupling w_12 * phi_1^2 * phi_2^2 should be detectable. Section 10.4 reports the direct test: after controlling for task identity across 71 models, the partial correlation of the cross-term K_out x K_in_asym with beta is r = +0.16. This falls below the detection threshold. The two spectral components are empirically decoupled, confirming that the phi^4 single-field description in K_out is complete for the tasks studied.</w:t>
      </w:r>
    </w:p>
    <w:p>
      <w:pPr>
        <w:pStyle w:val="Heading1"/>
        <w:spacing w:before="360" w:after="180"/>
      </w:pPr>
      <w:r>
        <w:rPr>
          <w:rFonts w:ascii="Arial" w:cs="Arial" w:eastAsia="Arial" w:hAnsi="Arial"/>
          <w:b/>
          <w:bCs/>
          <w:sz w:val="32"/>
          <w:szCs w:val="32"/>
        </w:rPr>
        <w:t xml:space="preserve">6. The β Velocity Experiment: Task-Specific Fixed Points</w:t>
      </w:r>
    </w:p>
    <w:p>
      <w:pPr>
        <w:pStyle w:val="Heading2"/>
        <w:spacing w:before="240" w:after="120"/>
      </w:pPr>
      <w:r>
        <w:rPr>
          <w:rFonts w:ascii="Arial" w:cs="Arial" w:eastAsia="Arial" w:hAnsi="Arial"/>
          <w:b/>
          <w:bCs/>
          <w:sz w:val="26"/>
          <w:szCs w:val="26"/>
        </w:rPr>
        <w:t xml:space="preserve">6.1 Experimental Design and Predictions</w:t>
      </w:r>
    </w:p>
    <w:p>
      <w:pPr>
        <w:spacing w:before="0" w:after="120"/>
        <w:jc w:val="both"/>
      </w:pPr>
      <w:r>
        <w:rPr>
          <w:rFonts w:ascii="Arial" w:cs="Arial" w:eastAsia="Arial" w:hAnsi="Arial"/>
          <w:sz w:val="22"/>
          <w:szCs w:val="22"/>
        </w:rPr>
        <w:t xml:space="preserve">The β velocity experiment extended training to 18,000 epochs for three tasks with 3 seeds each. The core prediction from the WHY² framework was:</w:t>
      </w:r>
    </w:p>
    <w:p>
      <w:pPr>
        <w:spacing w:before="60" w:after="120"/>
        <w:jc w:val="center"/>
      </w:pPr>
      <w:r>
        <w:rPr>
          <w:rFonts w:ascii="Arial" w:cs="Arial" w:eastAsia="Arial" w:hAnsi="Arial"/>
          <w:i/>
          <w:iCs/>
          <w:sz w:val="20"/>
          <w:szCs w:val="20"/>
        </w:rPr>
        <w:t xml:space="preserve">β*(multiply) &lt; β*(add) &lt; β*(subtract)</w:t>
      </w:r>
    </w:p>
    <w:p>
      <w:pPr>
        <w:spacing w:before="0" w:after="120"/>
        <w:jc w:val="both"/>
      </w:pPr>
      <w:r>
        <w:rPr>
          <w:rFonts w:ascii="Arial" w:cs="Arial" w:eastAsia="Arial" w:hAnsi="Arial"/>
          <w:sz w:val="22"/>
          <w:szCs w:val="22"/>
        </w:rPr>
        <w:t xml:space="preserve">The physical intuition: multiply and add are commutative operations, allowing symmetric Fourier circuits with diffuse spectral structure. Subtract breaks commutativity — it requires the network to represent a directed difference — demanding higher crystallization pressure.</w:t>
      </w:r>
    </w:p>
    <w:p>
      <w:pPr>
        <w:pStyle w:val="Heading2"/>
        <w:spacing w:before="240" w:after="120"/>
      </w:pPr>
      <w:r>
        <w:rPr>
          <w:rFonts w:ascii="Arial" w:cs="Arial" w:eastAsia="Arial" w:hAnsi="Arial"/>
          <w:b/>
          <w:bCs/>
          <w:sz w:val="26"/>
          <w:szCs w:val="26"/>
        </w:rPr>
        <w:t xml:space="preserve">6.2 Grokking Entry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
        <w:gridCol w:w="1300"/>
        <w:gridCol w:w="1300"/>
        <w:gridCol w:w="1560"/>
        <w:gridCol w:w="1560"/>
      </w:tblGrid>
      <w:tr>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Task</w:t>
            </w:r>
          </w:p>
        </w:tc>
        <w:tc>
          <w:tcPr>
            <w:tcW w:type="dxa" w:w="7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Seed</w:t>
            </w:r>
          </w:p>
        </w:tc>
        <w:tc>
          <w:tcPr>
            <w:tcW w:type="dxa" w:w="13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Grok Epoch</w:t>
            </w:r>
          </w:p>
        </w:tc>
        <w:tc>
          <w:tcPr>
            <w:tcW w:type="dxa" w:w="13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β at Grok</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K_out at Grok</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asym at Grok</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multiply</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42</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3,675</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0.558</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0.142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0.001</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multiply</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123</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5,250</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0.617</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0.137</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0.004</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add</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42</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4,800</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1.042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0.360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0.004</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add</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123</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3,800</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1.067</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0.344</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0.000</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add</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7</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5,125</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1.077</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0.400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0.005</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subtract</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42</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8,050</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1.347</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0.480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0.019</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subtract</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123</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9,225</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1.415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0.490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0.042</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subtract</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7</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10,925</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1.384</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0.525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0.104</w:t>
            </w:r>
          </w:p>
        </w:tc>
      </w:tr>
    </w:tbl>
    <w:p>
      <w:pPr>
        <w:spacing w:before="60" w:after="180"/>
        <w:jc w:val="both"/>
      </w:pPr>
      <w:r>
        <w:rPr>
          <w:rFonts w:ascii="Arial" w:cs="Arial" w:eastAsia="Arial" w:hAnsi="Arial"/>
          <w:i/>
          <w:iCs/>
          <w:sz w:val="19"/>
          <w:szCs w:val="19"/>
        </w:rPr>
        <w:t xml:space="preserve">Table 5. Grokking entry signatures. Multiply β@grok ≈ 0.56–0.62; add ≈ 1.04–1.08; subtract ≈ 1.35–1.41.</w:t>
      </w:r>
    </w:p>
    <w:p>
      <w:pPr>
        <w:pStyle w:val="Heading2"/>
        <w:spacing w:before="240" w:after="120"/>
      </w:pPr>
      <w:r>
        <w:rPr>
          <w:rFonts w:ascii="Arial" w:cs="Arial" w:eastAsia="Arial" w:hAnsi="Arial"/>
          <w:b/>
          <w:bCs/>
          <w:sz w:val="26"/>
          <w:szCs w:val="26"/>
        </w:rPr>
        <w:t xml:space="preserve">6.3 Fixed Point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780"/>
        <w:gridCol w:w="1560"/>
        <w:gridCol w:w="1040"/>
        <w:gridCol w:w="1040"/>
        <w:gridCol w:w="1560"/>
        <w:gridCol w:w="2080"/>
      </w:tblGrid>
      <w:tr>
        <w:tc>
          <w:tcPr>
            <w:tcW w:type="dxa" w:w="13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Task</w:t>
            </w:r>
          </w:p>
        </w:tc>
        <w:tc>
          <w:tcPr>
            <w:tcW w:type="dxa" w:w="7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Seed</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β* (late mean)</w:t>
            </w:r>
          </w:p>
        </w:tc>
        <w:tc>
          <w:tcPr>
            <w:tcW w:type="dxa" w:w="10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β* (std)</w:t>
            </w:r>
          </w:p>
        </w:tc>
        <w:tc>
          <w:tcPr>
            <w:tcW w:type="dxa" w:w="10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K_out*</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Basin</w:t>
            </w:r>
          </w:p>
        </w:tc>
        <w:tc>
          <w:tcPr>
            <w:tcW w:type="dxa" w:w="20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β final (ep18000)</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multiply</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0.718</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0.046</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0.168</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FLUID</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0.738</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add</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3.215</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0.389</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0.713</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ORDERED</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2.994</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add</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123</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3.651</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0.741</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0.801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ORDERED</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4.516</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add</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7</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3.639</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0.624</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0.680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ORDERED</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2.537</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subtract</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15.237</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1.462</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0.954</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CRYST. B</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18.733</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subtract</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123</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4.955</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0.511</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0.828</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CRYST. A</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4.696</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subtract</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7</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5.004</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0.298</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0.844</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CRYST. A</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5.288</w:t>
            </w:r>
          </w:p>
        </w:tc>
      </w:tr>
    </w:tbl>
    <w:p>
      <w:pPr>
        <w:spacing w:before="60" w:after="180"/>
        <w:jc w:val="both"/>
      </w:pPr>
      <w:r>
        <w:rPr>
          <w:rFonts w:ascii="Arial" w:cs="Arial" w:eastAsia="Arial" w:hAnsi="Arial"/>
          <w:i/>
          <w:iCs/>
          <w:sz w:val="19"/>
          <w:szCs w:val="19"/>
        </w:rPr>
        <w:t xml:space="preserve">Table 6. Fixed point results. Three thermodynamic regimes: FLUID (β* &lt; 1), ORDERED (β* ≈ 3–5), CRYSTALLIZED (β* ≫ 5).</w:t>
      </w:r>
    </w:p>
    <w:p>
      <w:pPr>
        <w:pStyle w:val="Heading2"/>
        <w:spacing w:before="240" w:after="120"/>
      </w:pPr>
      <w:r>
        <w:rPr>
          <w:rFonts w:ascii="Arial" w:cs="Arial" w:eastAsia="Arial" w:hAnsi="Arial"/>
          <w:b/>
          <w:bCs/>
          <w:sz w:val="26"/>
          <w:szCs w:val="26"/>
        </w:rPr>
        <w:t xml:space="preserve">6.4 Multiply: The Fluid Regime</w:t>
      </w:r>
    </w:p>
    <w:p>
      <w:pPr>
        <w:spacing w:before="0" w:after="120"/>
        <w:jc w:val="both"/>
      </w:pPr>
      <w:r>
        <w:rPr>
          <w:rFonts w:ascii="Arial" w:cs="Arial" w:eastAsia="Arial" w:hAnsi="Arial"/>
          <w:sz w:val="22"/>
          <w:szCs w:val="22"/>
        </w:rPr>
        <w:t xml:space="preserve">Multiply grokked earliest with the lowest β@grok and lowest K_out@grok of any task. Post-grokking, β reached a plateau near 0.72 within ~500 epochs and remained there for the entire 14,000-epoch observation window. The asymmetry metric remained near zero throughout, consistent with the commutativity of multiplication.</w:t>
      </w:r>
    </w:p>
    <w:p>
      <w:pPr>
        <w:pStyle w:val="Heading2"/>
        <w:spacing w:before="240" w:after="120"/>
      </w:pPr>
      <w:r>
        <w:rPr>
          <w:rFonts w:ascii="Arial" w:cs="Arial" w:eastAsia="Arial" w:hAnsi="Arial"/>
          <w:b/>
          <w:bCs/>
          <w:sz w:val="26"/>
          <w:szCs w:val="26"/>
        </w:rPr>
        <w:t xml:space="preserve">6.5 Add: The Ordered Regime</w:t>
      </w:r>
    </w:p>
    <w:p>
      <w:pPr>
        <w:spacing w:before="0" w:after="120"/>
        <w:jc w:val="both"/>
      </w:pPr>
      <w:r>
        <w:rPr>
          <w:rFonts w:ascii="Arial" w:cs="Arial" w:eastAsia="Arial" w:hAnsi="Arial"/>
          <w:sz w:val="22"/>
          <w:szCs w:val="22"/>
        </w:rPr>
        <w:t xml:space="preserve">All three add seeds showed the universal β@grok signature (1.062 ± 0.015). Post-grokking, the seeds diverged across attractors within the ordered regime (β* ≈ 3.1–4.5). A universal structural event was observed at ep13,500: all three add seeds spiked simultaneously regardless of grokking epoch — a task-level landscape event, not a seed-specific feature.</w:t>
      </w:r>
    </w:p>
    <w:p>
      <w:pPr>
        <w:pStyle w:val="Heading2"/>
        <w:spacing w:before="240" w:after="120"/>
      </w:pPr>
      <w:r>
        <w:rPr>
          <w:rFonts w:ascii="Arial" w:cs="Arial" w:eastAsia="Arial" w:hAnsi="Arial"/>
          <w:b/>
          <w:bCs/>
          <w:sz w:val="26"/>
          <w:szCs w:val="26"/>
        </w:rPr>
        <w:t xml:space="preserve">6.6 Subtract: Two-Stage Crystallization and Two-Attractor Dynamics</w:t>
      </w:r>
    </w:p>
    <w:p>
      <w:pPr>
        <w:spacing w:before="0" w:after="120"/>
        <w:jc w:val="both"/>
      </w:pPr>
      <w:r>
        <w:rPr>
          <w:rFonts w:ascii="Arial" w:cs="Arial" w:eastAsia="Arial" w:hAnsi="Arial"/>
          <w:sz w:val="22"/>
          <w:szCs w:val="22"/>
        </w:rPr>
        <w:t xml:space="preserve">Subtract grokked substantially later (8,050–10,925 vs 3,800–5,125 epochs for add), with higher β@grok and higher asym at grokking. Seed 42 exhibited a two-stage crystallization: Stage 1 (primary circuit formation, β rises to ~5, asym peaks at 0.057), then Stage 2 (K_out crosses 0.83, β explodes to 15–18, asym collapses as directional information transfers to the Fourier structure).</w:t>
      </w:r>
    </w:p>
    <w:p>
      <w:pPr>
        <w:spacing w:before="0" w:after="120"/>
        <w:jc w:val="both"/>
      </w:pPr>
      <w:r>
        <w:rPr>
          <w:rFonts w:ascii="Arial" w:cs="Arial" w:eastAsia="Arial" w:hAnsi="Arial"/>
          <w:sz w:val="22"/>
          <w:szCs w:val="22"/>
        </w:rPr>
        <w:t xml:space="preserve">Seeds s123 and s7 settled in Basin A (β* ≈ 5.0, K_out* ≈ 0.83–0.84); seed s42 reached Basin B (β* ≈ 15.2, K_out* ≈ 0.945). The mechanistic threshold separating the basins is K_out ≈ 0.83.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560"/>
        <w:gridCol w:w="1560"/>
        <w:gridCol w:w="3640"/>
      </w:tblGrid>
      <w:tr>
        <w:tc>
          <w:tcPr>
            <w:tcW w:type="dxa" w:w="13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Basin</w:t>
            </w:r>
          </w:p>
        </w:tc>
        <w:tc>
          <w:tcPr>
            <w:tcW w:type="dxa" w:w="13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Seeds</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β*</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K_out*</w:t>
            </w:r>
          </w:p>
        </w:tc>
        <w:tc>
          <w:tcPr>
            <w:tcW w:type="dxa" w:w="36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Mechanism</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 (lower)</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s123, s7</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4.97 ± 0.45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0.83–0.84</w:t>
            </w:r>
          </w:p>
        </w:tc>
        <w:tc>
          <w:tcPr>
            <w:tcW w:type="dxa" w:w="3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asym collapsed before K_out crossed 0.83</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 (higher)</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s42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15.24 ± 1.46</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0.945 ± 0.006</w:t>
            </w:r>
          </w:p>
        </w:tc>
        <w:tc>
          <w:tcPr>
            <w:tcW w:type="dxa" w:w="3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asym maintained through K_out=0.83 threshold</w:t>
            </w:r>
          </w:p>
        </w:tc>
      </w:tr>
    </w:tbl>
    <w:p>
      <w:pPr>
        <w:spacing w:before="60" w:after="180"/>
        <w:jc w:val="both"/>
      </w:pPr>
      <w:r>
        <w:rPr>
          <w:rFonts w:ascii="Arial" w:cs="Arial" w:eastAsia="Arial" w:hAnsi="Arial"/>
          <w:i/>
          <w:iCs/>
          <w:sz w:val="19"/>
          <w:szCs w:val="19"/>
        </w:rPr>
        <w:t xml:space="preserve">Table 7. Two-attractor structure of the subtract task.</w:t>
      </w:r>
    </w:p>
    <w:p>
      <w:pPr>
        <w:pStyle w:val="Heading2"/>
        <w:spacing w:before="240" w:after="120"/>
      </w:pPr>
      <w:r>
        <w:rPr>
          <w:rFonts w:ascii="Arial" w:cs="Arial" w:eastAsia="Arial" w:hAnsi="Arial"/>
          <w:b/>
          <w:bCs/>
          <w:sz w:val="26"/>
          <w:szCs w:val="26"/>
        </w:rPr>
        <w:t xml:space="preserve">6.7 Summary: Phase Diagram</w:t>
      </w:r>
    </w:p>
    <w:p>
      <w:pPr>
        <w:spacing w:before="0" w:after="120"/>
        <w:jc w:val="both"/>
      </w:pPr>
      <w:r>
        <w:rPr>
          <w:rFonts w:ascii="Arial" w:cs="Arial" w:eastAsia="Arial" w:hAnsi="Arial"/>
          <w:sz w:val="22"/>
          <w:szCs w:val="22"/>
        </w:rPr>
        <w:t xml:space="preserve">Three qualitatively distinct regions in the (β*, K_out*) phase diagram: FLUID (multiply): β* ≈ 0.72, K_out* ≈ 0.17. ORDERED (add): β* ≈ 3.1–4.5, K_out* ≈ 0.68–0.80. CRYSTALLIZED (subtract): β* ≈ 5.0 (Basin A) or 15.2 (Basin B), K_out* ≈ 0.83–0.95. The ordering β*(multiply) &lt; β*(add) &lt; β*(subtract) is a thermodynamic fingerprint of algebraic symmetry breaking.</w:t>
      </w:r>
    </w:p>
    <w:p>
      <w:pPr>
        <w:pStyle w:val="Heading1"/>
        <w:spacing w:before="360" w:after="180"/>
      </w:pPr>
      <w:r>
        <w:rPr>
          <w:rFonts w:ascii="Arial" w:cs="Arial" w:eastAsia="Arial" w:hAnsi="Arial"/>
          <w:b/>
          <w:bCs/>
          <w:sz w:val="32"/>
          <w:szCs w:val="32"/>
        </w:rPr>
        <w:t xml:space="preserve">7. Discussion</w:t>
      </w:r>
    </w:p>
    <w:p>
      <w:pPr>
        <w:pStyle w:val="Heading2"/>
        <w:spacing w:before="240" w:after="120"/>
      </w:pPr>
      <w:r>
        <w:rPr>
          <w:rFonts w:ascii="Arial" w:cs="Arial" w:eastAsia="Arial" w:hAnsi="Arial"/>
          <w:b/>
          <w:bCs/>
          <w:sz w:val="26"/>
          <w:szCs w:val="26"/>
        </w:rPr>
        <w:t xml:space="preserve">7.1 β* as an Inverse c-Function for Grokking</w:t>
      </w:r>
    </w:p>
    <w:p>
      <w:pPr>
        <w:spacing w:before="0" w:after="120"/>
        <w:jc w:val="both"/>
      </w:pPr>
      <w:r>
        <w:rPr>
          <w:rFonts w:ascii="Arial" w:cs="Arial" w:eastAsia="Arial" w:hAnsi="Arial"/>
          <w:sz w:val="22"/>
          <w:szCs w:val="22"/>
        </w:rPr>
        <w:t xml:space="preserve">The ordering result invites a formal connection to Zamolodchikov’s c-theorem. We propose that β* plays the role of an empirical inverse c-function for the grokking RG flow. It is: (1) monotone across tasks (multiply &lt; add &lt; subtract); (2) computed from internal model observables without task knowledge; (3) characteristic of the fixed point structure; (4) sensitive to symmetry breaking; and (5) WD-invariant, consistent with Wetterich scheme-independence as argued in Section 5.4.</w:t>
      </w:r>
    </w:p>
    <w:p>
      <w:pPr>
        <w:pStyle w:val="Heading2"/>
        <w:spacing w:before="240" w:after="120"/>
      </w:pPr>
      <w:r>
        <w:rPr>
          <w:rFonts w:ascii="Arial" w:cs="Arial" w:eastAsia="Arial" w:hAnsi="Arial"/>
          <w:b/>
          <w:bCs/>
          <w:sz w:val="26"/>
          <w:szCs w:val="26"/>
        </w:rPr>
        <w:t xml:space="preserve">7.2 Connection to Algebraic Structure</w:t>
      </w:r>
    </w:p>
    <w:p>
      <w:pPr>
        <w:spacing w:before="0" w:after="120"/>
        <w:jc w:val="both"/>
      </w:pPr>
      <w:r>
        <w:rPr>
          <w:rFonts w:ascii="Arial" w:cs="Arial" w:eastAsia="Arial" w:hAnsi="Arial"/>
          <w:sz w:val="22"/>
          <w:szCs w:val="22"/>
        </w:rPr>
        <w:t xml:space="preserve">The task ordering reflects the algebraic structure of Z_p under each operation. Multiply and add are both commutative group operations, allowing the network to learn symmetric Fourier representations. Subtract breaks commutativity: a − b ≠ b − a in general, requiring the network to represent a directed quantity in a space that is otherwise symmetric. This broken symmetry demands higher representational precision, driving K_out toward 1 and inflating β through the log K_out denominator.</w:t>
      </w:r>
    </w:p>
    <w:p>
      <w:pPr>
        <w:pStyle w:val="Heading2"/>
        <w:spacing w:before="240" w:after="120"/>
      </w:pPr>
      <w:r>
        <w:rPr>
          <w:rFonts w:ascii="Arial" w:cs="Arial" w:eastAsia="Arial" w:hAnsi="Arial"/>
          <w:b/>
          <w:bCs/>
          <w:sz w:val="26"/>
          <w:szCs w:val="26"/>
        </w:rPr>
        <w:t xml:space="preserve">7.3 Limitations</w:t>
      </w:r>
    </w:p>
    <w:p>
      <w:pPr>
        <w:spacing w:before="0" w:after="120"/>
        <w:jc w:val="both"/>
      </w:pPr>
      <w:r>
        <w:rPr>
          <w:rFonts w:ascii="Arial" w:cs="Arial" w:eastAsia="Arial" w:hAnsi="Arial"/>
          <w:sz w:val="22"/>
          <w:szCs w:val="22"/>
        </w:rPr>
        <w:t xml:space="preserve">All results use single-layer transformers. Multi-layer models may exhibit qualitatively different dynamics. The subtract two-attractor result is based on 3 seeds in the velocity experiment (additional seeds tested in Section 8). The K_out → 1 singularity inflates raw β* for subtract Basin B; the ordering is robust under ε-regularization but absolute magnitudes should be interpreted cautiously. The c-theorem and Wetterich interpretations are analogies grounded in empirical observation; formal derivations are open theoretical questions. The spectral reparameterization study (Section 10) used a 3,000-epoch post-grokking settle window; subtract results show higher within-task variance consistent with incomplete convergence, and an 8,000–10,000 epoch settle is recommended for definitive subtract results.</w:t>
      </w:r>
    </w:p>
    <w:p>
      <w:pPr>
        <w:pStyle w:val="Heading1"/>
        <w:spacing w:before="360" w:after="180"/>
      </w:pPr>
      <w:r>
        <w:rPr>
          <w:rFonts w:ascii="Arial" w:cs="Arial" w:eastAsia="Arial" w:hAnsi="Arial"/>
          <w:b/>
          <w:bCs/>
          <w:sz w:val="32"/>
          <w:szCs w:val="32"/>
        </w:rPr>
        <w:t xml:space="preserve">8. Basin Selection: A Falsification Program</w:t>
      </w:r>
    </w:p>
    <w:p>
      <w:pPr>
        <w:spacing w:before="0" w:after="120"/>
        <w:jc w:val="both"/>
      </w:pPr>
      <w:r>
        <w:rPr>
          <w:rFonts w:ascii="Arial" w:cs="Arial" w:eastAsia="Arial" w:hAnsi="Arial"/>
          <w:sz w:val="22"/>
          <w:szCs w:val="22"/>
        </w:rPr>
        <w:t xml:space="preserve">The discovery of two-attractor dynamics in the subtract task raised an immediate mechanistic question: what determines which basin a given seed enters? Four experiments were designed and executed as a systematic falsification program, comprising 174 additional training runs.</w:t>
      </w:r>
    </w:p>
    <w:p>
      <w:pPr>
        <w:pStyle w:val="Heading2"/>
        <w:spacing w:before="240" w:after="120"/>
      </w:pPr>
      <w:r>
        <w:rPr>
          <w:rFonts w:ascii="Arial" w:cs="Arial" w:eastAsia="Arial" w:hAnsi="Arial"/>
          <w:b/>
          <w:bCs/>
          <w:sz w:val="26"/>
          <w:szCs w:val="26"/>
        </w:rPr>
        <w:t xml:space="preserve">8.1 Causal Intervention Series (Experiments 1–4)</w:t>
      </w:r>
    </w:p>
    <w:p>
      <w:pPr>
        <w:spacing w:before="0" w:after="120"/>
        <w:jc w:val="both"/>
      </w:pPr>
      <w:r>
        <w:rPr>
          <w:rFonts w:ascii="Arial" w:cs="Arial" w:eastAsia="Arial" w:hAnsi="Arial"/>
          <w:sz w:val="22"/>
          <w:szCs w:val="22"/>
        </w:rPr>
        <w:t xml:space="preserve">Four intervention designs tested whether post-initialization dynamics determine basin: (1) forced K_out below 0.83 threshold by zeroing high-frequency Fourier modes; (2) early-mode disruption at K_out ≥ 0.60; (3) forced attention symmetry during memorization (epochs 0–3,000); (4) forced symmetry during early generalization (epochs 1,000–3,000). All four produced null results. Basin B rate remained at 1/6 (17%) in both control and perturbation arms. One notable secondary finding: forcing attention symmetry during memorization accelerated grokking by approximately 2×, a genuine causal effect on training dynamics that did not redirect basin assignment.</w:t>
      </w:r>
    </w:p>
    <w:p>
      <w:pPr>
        <w:pStyle w:val="Heading2"/>
        <w:spacing w:before="240" w:after="120"/>
      </w:pPr>
      <w:r>
        <w:rPr>
          <w:rFonts w:ascii="Arial" w:cs="Arial" w:eastAsia="Arial" w:hAnsi="Arial"/>
          <w:b/>
          <w:bCs/>
          <w:sz w:val="26"/>
          <w:szCs w:val="26"/>
        </w:rPr>
        <w:t xml:space="preserve">8.2 Initialization Geometry Analysis (Experiment 5)</w:t>
      </w:r>
    </w:p>
    <w:p>
      <w:pPr>
        <w:spacing w:before="0" w:after="120"/>
        <w:jc w:val="both"/>
      </w:pPr>
      <w:r>
        <w:rPr>
          <w:rFonts w:ascii="Arial" w:cs="Arial" w:eastAsia="Arial" w:hAnsi="Arial"/>
          <w:sz w:val="22"/>
          <w:szCs w:val="22"/>
        </w:rPr>
        <w:t xml:space="preserve">Five metrics at epoch 0: K_out, H_n, participation ratio, directed asymmetry, and Fourier mode spectrum. Four of five metrics were identical across all seeds. The Fourier spectrum at epoch 0 was flat and uniform, ruling out a lottery ticket mechanism. Initial attention asymmetry (asym@0) showed a surface signal (Basin B seeds had lower asym@0), but this was inconclusive at n=2 Basin B seeds, and the ambiguous seed s13 had the highest asym@0 yet entered Basin B in early runs.</w:t>
      </w:r>
    </w:p>
    <w:p>
      <w:pPr>
        <w:pStyle w:val="Heading2"/>
        <w:spacing w:before="240" w:after="120"/>
      </w:pPr>
      <w:r>
        <w:rPr>
          <w:rFonts w:ascii="Arial" w:cs="Arial" w:eastAsia="Arial" w:hAnsi="Arial"/>
          <w:b/>
          <w:bCs/>
          <w:sz w:val="26"/>
          <w:szCs w:val="26"/>
        </w:rPr>
        <w:t xml:space="preserve">8.3 Correlation Study: asym@0 vs. β* (Experiment 6)</w:t>
      </w:r>
    </w:p>
    <w:p>
      <w:pPr>
        <w:spacing w:before="0" w:after="120"/>
        <w:jc w:val="both"/>
      </w:pPr>
      <w:r>
        <w:rPr>
          <w:rFonts w:ascii="Arial" w:cs="Arial" w:eastAsia="Arial" w:hAnsi="Arial"/>
          <w:sz w:val="22"/>
          <w:szCs w:val="22"/>
        </w:rPr>
        <w:t xml:space="preserve">30 seeds trained to full convergence. Results: Pearson r = −0.044 (p = 0.818), log-scale r = −0.020 (p = 0.917), Spearman ρ = 0.025 (p = 0.897). No linear relationship between asym@0 and β*. A weak nonlinear threshold effect is consistent with the data but not statistically significant at n=30.</w:t>
      </w:r>
    </w:p>
    <w:p>
      <w:pPr>
        <w:pStyle w:val="Heading2"/>
        <w:spacing w:before="240" w:after="120"/>
      </w:pPr>
      <w:r>
        <w:rPr>
          <w:rFonts w:ascii="Arial" w:cs="Arial" w:eastAsia="Arial" w:hAnsi="Arial"/>
          <w:b/>
          <w:bCs/>
          <w:sz w:val="26"/>
          <w:szCs w:val="26"/>
        </w:rPr>
        <w:t xml:space="preserve">8.4 Basin Stability Test (Experiment 7)</w:t>
      </w:r>
    </w:p>
    <w:p>
      <w:pPr>
        <w:spacing w:before="0" w:after="120"/>
        <w:jc w:val="both"/>
      </w:pPr>
      <w:r>
        <w:rPr>
          <w:rFonts w:ascii="Arial" w:cs="Arial" w:eastAsia="Arial" w:hAnsi="Arial"/>
          <w:sz w:val="22"/>
          <w:szCs w:val="22"/>
        </w:rPr>
        <w:t xml:space="preserve">72-run basin stability test: 12 seeds × 3 repeats × 2 conditions (DEFAULT vs DETERMINISTIC CUDA). Zero basin flips in either condition. Every seed produced identical β* to six decimal places across all three repeats in both conditions. Cross-session apparent flips observed in the correlation study were caused by differences between Colab GPU sessions (hardware allocation, CUDA version, cuDNN kernel selection), not genuine SGD stochasticity. Basin assignment is deterministic given a fixed execution environment.</w:t>
      </w:r>
    </w:p>
    <w:p>
      <w:pPr>
        <w:pStyle w:val="Heading2"/>
        <w:spacing w:before="240" w:after="120"/>
      </w:pPr>
      <w:r>
        <w:rPr>
          <w:rFonts w:ascii="Arial" w:cs="Arial" w:eastAsia="Arial" w:hAnsi="Arial"/>
          <w:b/>
          <w:bCs/>
          <w:sz w:val="26"/>
          <w:szCs w:val="26"/>
        </w:rPr>
        <w:t xml:space="preserve">8.5 Synthesis</w:t>
      </w:r>
    </w:p>
    <w:p>
      <w:pPr>
        <w:spacing w:before="0" w:after="120"/>
        <w:jc w:val="both"/>
      </w:pPr>
      <w:r>
        <w:rPr>
          <w:rFonts w:ascii="Arial" w:cs="Arial" w:eastAsia="Arial" w:hAnsi="Arial"/>
          <w:sz w:val="22"/>
          <w:szCs w:val="22"/>
        </w:rPr>
        <w:t xml:space="preserve">The four experiments jointly establish: (1) basin is not determined by any post-grokking dynamic that can be disrupted by intervention; (2) basin is not encoded in epoch-0 initialization geometry; (3) basin divergence begins within the first ~25 gradient steps; (4) basin assignment is perfectly deterministic within a fixed execution environment; (5) the ~17% Basin B rate reflects the fraction of (seed, hardware, software) combinations that cross the separatrix, not any stochastic event within a single run. This picture is consistent with Cullen et al. (2026)’s SLT framework, in which two near-zero-loss basins with different local learning coefficients compete during training.</w:t>
      </w:r>
    </w:p>
    <w:p>
      <w:pPr>
        <w:spacing w:before="0" w:after="120"/>
        <w:jc w:val="both"/>
      </w:pPr>
      <w:r>
        <w:rPr>
          <w:rFonts w:ascii="Arial" w:cs="Arial" w:eastAsia="Arial" w:hAnsi="Arial"/>
          <w:sz w:val="22"/>
          <w:szCs w:val="22"/>
        </w:rPr>
        <w:t xml:space="preserve">The mechanistic picture that best accounts for all five observations is a transcritical or saddle-node bifurcation occurring within the first ~25 gradient steps. In this picture, the loss landscape near initialization contains a saddle point separating the two basins, and stochastic gradient noise — amplified by chaotic early dynamics — selects which side of the separatrix the trajectory crosses before the saddle is passed. Because the bifurcation occurs on a timescale much shorter than the memorization phase, its outcome is invisible in epoch-0 geometry and irreversible to any post-initialization intervention. The K_out ≈ 0.83 threshold is not the locus of selection but the observable signature of which side was selected: runs that crossed into Basin B territory in the first ~25 steps are already committed to the higher-compression attractor before K_out reaches the threshold value. This framing predicts that any causal handle on basin assignment must operate within the first ~25 gradient steps — a constraint that motivates future intervention experiments targeting initialization perturbations at sub-epoch resolution.</w:t>
      </w:r>
    </w:p>
    <w:p>
      <w:pPr>
        <w:pStyle w:val="Heading1"/>
        <w:spacing w:before="360" w:after="180"/>
      </w:pPr>
      <w:r>
        <w:rPr>
          <w:rFonts w:ascii="Arial" w:cs="Arial" w:eastAsia="Arial" w:hAnsi="Arial"/>
          <w:b/>
          <w:bCs/>
          <w:sz w:val="32"/>
          <w:szCs w:val="32"/>
        </w:rPr>
        <w:t xml:space="preserve">9. Effective Temperature Experiments: β as c-Function, Not Inverse Temperature</w:t>
      </w:r>
    </w:p>
    <w:p>
      <w:pPr>
        <w:pStyle w:val="Heading2"/>
        <w:spacing w:before="240" w:after="120"/>
      </w:pPr>
      <w:r>
        <w:rPr>
          <w:rFonts w:ascii="Arial" w:cs="Arial" w:eastAsia="Arial" w:hAnsi="Arial"/>
          <w:b/>
          <w:bCs/>
          <w:sz w:val="26"/>
          <w:szCs w:val="26"/>
        </w:rPr>
        <w:t xml:space="preserve">9.1 Motivation and Setup</w:t>
      </w:r>
    </w:p>
    <w:p>
      <w:pPr>
        <w:spacing w:before="0" w:after="120"/>
        <w:jc w:val="both"/>
      </w:pPr>
      <w:r>
        <w:rPr>
          <w:rFonts w:ascii="Arial" w:cs="Arial" w:eastAsia="Arial" w:hAnsi="Arial"/>
          <w:sz w:val="22"/>
          <w:szCs w:val="22"/>
        </w:rPr>
        <w:t xml:space="preserve">The WHY² framework’s Kramers analogy motivates a natural question: does β literally equal an inverse temperature 1/T_eff of the optimization dynamics? We tested three predictions: (P1) β ∝ 1/T_smooth post-grok; (P2) Basin B runs hotter than Basin A post-grok; (P3) β·T_smooth converges to a basin-specific adiabatic constant. Three successive experimental runs on the subtract task, n=6 seeds total (s42, s31, s7, s17, s71, s31-dense). Effective temperature was defined as T_eff = gradient variance / (2·learning_rate).</w:t>
      </w:r>
    </w:p>
    <w:p>
      <w:pPr>
        <w:pStyle w:val="Heading2"/>
        <w:spacing w:before="240" w:after="120"/>
      </w:pPr>
      <w:r>
        <w:rPr>
          <w:rFonts w:ascii="Arial" w:cs="Arial" w:eastAsia="Arial" w:hAnsi="Arial"/>
          <w:b/>
          <w:bCs/>
          <w:sz w:val="26"/>
          <w:szCs w:val="26"/>
        </w:rPr>
        <w:t xml:space="preserve">9.2 Confirmed Result: Grokking Coincides with T_eff Minimum</w:t>
      </w:r>
    </w:p>
    <w:p>
      <w:pPr>
        <w:spacing w:before="0" w:after="120"/>
        <w:jc w:val="both"/>
      </w:pPr>
      <w:r>
        <w:rPr>
          <w:rFonts w:ascii="Arial" w:cs="Arial" w:eastAsia="Arial" w:hAnsi="Arial"/>
          <w:sz w:val="22"/>
          <w:szCs w:val="22"/>
        </w:rPr>
        <w:t xml:space="preserve">In all six seeds across all three experimental runs, grokking occurred at a local minimum of T_eff_raw. The gradient field is coldest — most coherent, least noisy — precisely at the grokking transition. This is consistent with Zhang et al. (2025)’s glass relaxation picture: the moment of grokking corresponds to a momentary crystallization of the gradient field, the UV event that initiates the RG flow of β toward β*.</w:t>
      </w:r>
    </w:p>
    <w:p>
      <w:pPr>
        <w:spacing w:before="120" w:after="60"/>
      </w:pPr>
      <w:r>
        <w:rPr>
          <w:rFonts w:ascii="Arial" w:cs="Arial" w:eastAsia="Arial" w:hAnsi="Arial"/>
          <w:b/>
          <w:bCs/>
          <w:sz w:val="22"/>
          <w:szCs w:val="22"/>
        </w:rPr>
        <w:t xml:space="preserve">Result 13 (confirmed): Grokking coincides with a local T_eff minimum in all tested seeds (n=6). The optimization dynamics are maximally coherent at the grokking threshold.</w:t>
      </w:r>
    </w:p>
    <w:p>
      <w:pPr>
        <w:pStyle w:val="Heading2"/>
        <w:spacing w:before="240" w:after="120"/>
      </w:pPr>
      <w:r>
        <w:rPr>
          <w:rFonts w:ascii="Arial" w:cs="Arial" w:eastAsia="Arial" w:hAnsi="Arial"/>
          <w:b/>
          <w:bCs/>
          <w:sz w:val="26"/>
          <w:szCs w:val="26"/>
        </w:rPr>
        <w:t xml:space="preserve">9.3 Falsified Predictions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040"/>
        <w:gridCol w:w="1300"/>
        <w:gridCol w:w="2080"/>
        <w:gridCol w:w="1040"/>
        <w:gridCol w:w="1600"/>
      </w:tblGrid>
      <w:tr>
        <w:tc>
          <w:tcPr>
            <w:tcW w:type="dxa" w:w="13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Seed</w:t>
            </w:r>
          </w:p>
        </w:tc>
        <w:tc>
          <w:tcPr>
            <w:tcW w:type="dxa" w:w="10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Basin</w:t>
            </w:r>
          </w:p>
        </w:tc>
        <w:tc>
          <w:tcPr>
            <w:tcW w:type="dxa" w:w="13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β_final</w:t>
            </w:r>
          </w:p>
        </w:tc>
        <w:tc>
          <w:tcPr>
            <w:tcW w:type="dxa" w:w="20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β·T_smooth (clean)</w:t>
            </w:r>
          </w:p>
        </w:tc>
        <w:tc>
          <w:tcPr>
            <w:tcW w:type="dxa" w:w="10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CV</w:t>
            </w:r>
          </w:p>
        </w:tc>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Source</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s42</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4.78</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0.8783</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0.27</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v2</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s31</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3.85</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0.8916</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2.05</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v2</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s7</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38.61</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23.433</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0.21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v2</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s17</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14.22</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0.5421</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0.60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v3</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s71</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10.04</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0.0089</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0.30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v3</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s31 dense</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3.85</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0.0021</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0.81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v3</w:t>
            </w:r>
          </w:p>
        </w:tc>
      </w:tr>
    </w:tbl>
    <w:p>
      <w:pPr>
        <w:spacing w:before="60" w:after="180"/>
        <w:jc w:val="both"/>
      </w:pPr>
      <w:r>
        <w:rPr>
          <w:rFonts w:ascii="Arial" w:cs="Arial" w:eastAsia="Arial" w:hAnsi="Arial"/>
          <w:i/>
          <w:iCs/>
          <w:sz w:val="19"/>
          <w:szCs w:val="19"/>
        </w:rPr>
        <w:t xml:space="preserve">Table 8. β·T_smooth values across all six seeds. Basin B values span three orders of magnitude (0.009 to 23.4), falsifying the basin-specific constant hypothesis. *s17 and s71 assigned to Basin B in this Colab session.</w:t>
      </w:r>
    </w:p>
    <w:p>
      <w:pPr>
        <w:spacing w:before="0" w:after="120"/>
        <w:jc w:val="both"/>
      </w:pPr>
      <w:r>
        <w:rPr>
          <w:rFonts w:ascii="Arial" w:cs="Arial" w:eastAsia="Arial" w:hAnsi="Arial"/>
          <w:sz w:val="22"/>
          <w:szCs w:val="22"/>
        </w:rPr>
        <w:t xml:space="preserve">P1 (β ∝ 1/T_smooth): Correlations inconsistent across seeds (range: −0.43 to +0.60), one with wrong sign. NOT CONFIRMED. P2 (Basin B hotter): Not confirmed consistently. INCONSISTENT. P3 (β·T_smooth → basin constant): Basin B values across v2+v3 range from 0.009 to 23.4 — three orders of magnitude. FALSIFIED.</w:t>
      </w:r>
    </w:p>
    <w:p>
      <w:pPr>
        <w:pStyle w:val="Heading2"/>
        <w:spacing w:before="240" w:after="120"/>
      </w:pPr>
      <w:r>
        <w:rPr>
          <w:rFonts w:ascii="Arial" w:cs="Arial" w:eastAsia="Arial" w:hAnsi="Arial"/>
          <w:b/>
          <w:bCs/>
          <w:sz w:val="26"/>
          <w:szCs w:val="26"/>
        </w:rPr>
        <w:t xml:space="preserve">9.4 Spike Investigation: Why T_eff Fails as a Thermodynamic Observable</w:t>
      </w:r>
    </w:p>
    <w:p>
      <w:pPr>
        <w:spacing w:before="0" w:after="120"/>
        <w:jc w:val="both"/>
      </w:pPr>
      <w:r>
        <w:rPr>
          <w:rFonts w:ascii="Arial" w:cs="Arial" w:eastAsia="Arial" w:hAnsi="Arial"/>
          <w:sz w:val="22"/>
          <w:szCs w:val="22"/>
        </w:rPr>
        <w:t xml:space="preserve">Dense-probing of seed s31 detected 168 spikes (episodes where T_smooth exceeded 5× the running post-grok median). These are gradient explosion events: grad_var at spike onset ~6× higher than background, with peak ratios exceeding 4000× median. Loss at spikes was ~2.7× background. No directional signal in dβ/dt at spikes (mean = −0.0037, 59% positive / 41% negative). With τ=500, each explosion elevates T_smooth for hundreds of epochs after T_raw returns to baseline, completely corrupting β·T_smooth averages.</w:t>
      </w:r>
    </w:p>
    <w:p>
      <w:pPr>
        <w:pStyle w:val="Heading2"/>
        <w:spacing w:before="240" w:after="120"/>
      </w:pPr>
      <w:r>
        <w:rPr>
          <w:rFonts w:ascii="Arial" w:cs="Arial" w:eastAsia="Arial" w:hAnsi="Arial"/>
          <w:b/>
          <w:bCs/>
          <w:sz w:val="26"/>
          <w:szCs w:val="26"/>
        </w:rPr>
        <w:t xml:space="preserve">9.5 Implication</w:t>
      </w:r>
    </w:p>
    <w:p>
      <w:pPr>
        <w:spacing w:before="0" w:after="120"/>
        <w:jc w:val="both"/>
      </w:pPr>
      <w:r>
        <w:rPr>
          <w:rFonts w:ascii="Arial" w:cs="Arial" w:eastAsia="Arial" w:hAnsi="Arial"/>
          <w:sz w:val="22"/>
          <w:szCs w:val="22"/>
        </w:rPr>
        <w:t xml:space="preserve">β is not a literal inverse temperature because the ‘temperature’ of the system is dominated by intermittent gradient explosions disconnected from the representation-learning dynamics β measures. β is better understood as an empirical inverse c-function analog: a scalar that flows monotonically from a UV value toward an infrared fixed point β*, encoding the representational complexity of the learned algorithm. This interpretation requires no equilibrium assumption and is consistent with Zhang et al. (2025), Cullen et al. (2026), and Erdmenger et al. (2022). The persistent attention asymmetry in subtract (β₂* ≈ 0.32–0.44) may also relate to commutator defect signals identified by Xu (2026a,b), where non-commutativity of successive gradients precedes generalization and is causally implicated in grokking escape; both observables track the directional asymmetry that non-commutative tasks impose on the learned representation.</w:t>
      </w:r>
    </w:p>
    <w:p>
      <w:pPr>
        <w:pStyle w:val="Heading1"/>
        <w:spacing w:before="360" w:after="180"/>
      </w:pPr>
      <w:r>
        <w:rPr>
          <w:rFonts w:ascii="Arial" w:cs="Arial" w:eastAsia="Arial" w:hAnsi="Arial"/>
          <w:b/>
          <w:bCs/>
          <w:sz w:val="32"/>
          <w:szCs w:val="32"/>
        </w:rPr>
        <w:t xml:space="preserve">10. Spectral Reparameterization Study: β as an Independent Quantity</w:t>
      </w:r>
    </w:p>
    <w:p>
      <w:pPr>
        <w:pStyle w:val="Heading2"/>
        <w:spacing w:before="240" w:after="120"/>
      </w:pPr>
      <w:r>
        <w:rPr>
          <w:rFonts w:ascii="Arial" w:cs="Arial" w:eastAsia="Arial" w:hAnsi="Arial"/>
          <w:b/>
          <w:bCs/>
          <w:sz w:val="26"/>
          <w:szCs w:val="26"/>
        </w:rPr>
        <w:t xml:space="preserve">10.1 Motivation</w:t>
      </w:r>
    </w:p>
    <w:p>
      <w:pPr>
        <w:spacing w:before="0" w:after="120"/>
        <w:jc w:val="both"/>
      </w:pPr>
      <w:r>
        <w:rPr>
          <w:rFonts w:ascii="Arial" w:cs="Arial" w:eastAsia="Arial" w:hAnsi="Arial"/>
          <w:sz w:val="22"/>
          <w:szCs w:val="22"/>
        </w:rPr>
        <w:t xml:space="preserve">A natural concern about any emergent diagnostic is that it may be a reparameterization of simpler, already-known quantities. For β, the specific question is: can the task-specific fixed-point values β* be explained by standard spectral probes of the learned representations? If so, β would provide no information beyond what is already captured by, for example, the effective rank of the weight matrix or the concentration of singular values. We address this question directly through a 71-model spectral study, and additionally test whether the two natural components of the WHY² equation (K_out and K_in_asym) are coupled through a cross-term interaction.</w:t>
      </w:r>
    </w:p>
    <w:p>
      <w:pPr>
        <w:pStyle w:val="Heading2"/>
        <w:spacing w:before="240" w:after="120"/>
      </w:pPr>
      <w:r>
        <w:rPr>
          <w:rFonts w:ascii="Arial" w:cs="Arial" w:eastAsia="Arial" w:hAnsi="Arial"/>
          <w:b/>
          <w:bCs/>
          <w:sz w:val="26"/>
          <w:szCs w:val="26"/>
        </w:rPr>
        <w:t xml:space="preserve">10.2 Experimental Design</w:t>
      </w:r>
    </w:p>
    <w:p>
      <w:pPr>
        <w:spacing w:before="0" w:after="120"/>
        <w:jc w:val="both"/>
      </w:pPr>
      <w:r>
        <w:rPr>
          <w:rFonts w:ascii="Arial" w:cs="Arial" w:eastAsia="Arial" w:hAnsi="Arial"/>
          <w:sz w:val="22"/>
          <w:szCs w:val="22"/>
        </w:rPr>
        <w:t xml:space="preserve">72 training runs: 8 seeds × 3 weight-decay values (WD ∈ {0.5, 1.0, 2.0}) × 3 tasks (multiply, add, subtract). 71 grokked (1 subtract/WD=0.5/seed=71 did not grok). Post-grokking settle extended to 3,000 epochs from the grokking epoch. At freeze, eleven probes were computed: β, K_in, K_out, H_n, K_in_asym, effective_rank, spectral_entropy, top_sv_fraction, participation_ratio, nuclear_norm_ratio, and spectral_entropy_norm.</w:t>
      </w:r>
    </w:p>
    <w:p>
      <w:pPr>
        <w:pStyle w:val="Heading2"/>
        <w:spacing w:before="240" w:after="120"/>
      </w:pPr>
      <w:r>
        <w:rPr>
          <w:rFonts w:ascii="Arial" w:cs="Arial" w:eastAsia="Arial" w:hAnsi="Arial"/>
          <w:b/>
          <w:bCs/>
          <w:sz w:val="26"/>
          <w:szCs w:val="26"/>
        </w:rPr>
        <w:t xml:space="preserve">10.3 Result 14: β Is Not a Reparameterization of Standard Spectral Probes</w:t>
      </w:r>
    </w:p>
    <w:p>
      <w:pPr>
        <w:spacing w:before="0" w:after="120"/>
        <w:jc w:val="both"/>
      </w:pPr>
      <w:r>
        <w:rPr>
          <w:rFonts w:ascii="Arial" w:cs="Arial" w:eastAsia="Arial" w:hAnsi="Arial"/>
          <w:sz w:val="22"/>
          <w:szCs w:val="22"/>
        </w:rPr>
        <w:t xml:space="preserve">Partial correlations of each probe with β, controlling for task identity (which removes task-level mean differences), were computed across all 71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20"/>
        <w:gridCol w:w="1820"/>
        <w:gridCol w:w="3120"/>
      </w:tblGrid>
      <w:tr>
        <w:tc>
          <w:tcPr>
            <w:tcW w:type="dxa" w:w="2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Probe</w:t>
            </w:r>
          </w:p>
        </w:tc>
        <w:tc>
          <w:tcPr>
            <w:tcW w:type="dxa" w:w="18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Partial r | task</w:t>
            </w:r>
          </w:p>
        </w:tc>
        <w:tc>
          <w:tcPr>
            <w:tcW w:type="dxa" w:w="18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r² explained</w:t>
            </w:r>
          </w:p>
        </w:tc>
        <w:tc>
          <w:tcPr>
            <w:tcW w:type="dxa" w:w="3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Verdict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effective_rank</w:t>
            </w:r>
          </w:p>
        </w:tc>
        <w:tc>
          <w:tcPr>
            <w:tcW w:type="dxa" w:w="18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−0.28</w:t>
            </w:r>
          </w:p>
        </w:tc>
        <w:tc>
          <w:tcPr>
            <w:tcW w:type="dxa" w:w="18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7.8%</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Weak, independent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participation_ratio</w:t>
            </w:r>
          </w:p>
        </w:tc>
        <w:tc>
          <w:tcPr>
            <w:tcW w:type="dxa" w:w="18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−0.59</w:t>
            </w:r>
          </w:p>
        </w:tc>
        <w:tc>
          <w:tcPr>
            <w:tcW w:type="dxa" w:w="18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34.8%</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Partial, independent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nuclear_norm_ratio</w:t>
            </w:r>
          </w:p>
        </w:tc>
        <w:tc>
          <w:tcPr>
            <w:tcW w:type="dxa" w:w="18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−0.60</w:t>
            </w:r>
          </w:p>
        </w:tc>
        <w:tc>
          <w:tcPr>
            <w:tcW w:type="dxa" w:w="18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35.7%</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Partial, independent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K_in</w:t>
            </w:r>
          </w:p>
        </w:tc>
        <w:tc>
          <w:tcPr>
            <w:tcW w:type="dxa" w:w="18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+0.08</w:t>
            </w:r>
          </w:p>
        </w:tc>
        <w:tc>
          <w:tcPr>
            <w:tcW w:type="dxa" w:w="18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0.6%</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INDEPENDENT of β</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K_in_asym</w:t>
            </w:r>
          </w:p>
        </w:tc>
        <w:tc>
          <w:tcPr>
            <w:tcW w:type="dxa" w:w="18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+0.10</w:t>
            </w:r>
          </w:p>
        </w:tc>
        <w:tc>
          <w:tcPr>
            <w:tcW w:type="dxa" w:w="18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INDEPENDENT of β</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spectral_entropy</w:t>
            </w:r>
          </w:p>
        </w:tc>
        <w:tc>
          <w:tcPr>
            <w:tcW w:type="dxa" w:w="18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−0.70</w:t>
            </w:r>
          </w:p>
        </w:tc>
        <w:tc>
          <w:tcPr>
            <w:tcW w:type="dxa" w:w="18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49.1%</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Partial correlation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top_sv_fraction</w:t>
            </w:r>
          </w:p>
        </w:tc>
        <w:tc>
          <w:tcPr>
            <w:tcW w:type="dxa" w:w="18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+0.79</w:t>
            </w:r>
          </w:p>
        </w:tc>
        <w:tc>
          <w:tcPr>
            <w:tcW w:type="dxa" w:w="18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63.0%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Partial correlation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K_out (in formula)</w:t>
            </w:r>
          </w:p>
        </w:tc>
        <w:tc>
          <w:tcPr>
            <w:tcW w:type="dxa" w:w="18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+0.85</w:t>
            </w:r>
          </w:p>
        </w:tc>
        <w:tc>
          <w:tcPr>
            <w:tcW w:type="dxa" w:w="18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71.6%</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Expected (formula input)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H_n (in formula)</w:t>
            </w:r>
          </w:p>
        </w:tc>
        <w:tc>
          <w:tcPr>
            <w:tcW w:type="dxa" w:w="18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−0.85</w:t>
            </w:r>
          </w:p>
        </w:tc>
        <w:tc>
          <w:tcPr>
            <w:tcW w:type="dxa" w:w="18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72.6%</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Expected (formula input)</w:t>
            </w:r>
          </w:p>
        </w:tc>
      </w:tr>
    </w:tbl>
    <w:p>
      <w:pPr>
        <w:spacing w:before="60" w:after="180"/>
        <w:jc w:val="both"/>
      </w:pPr>
      <w:r>
        <w:rPr>
          <w:rFonts w:ascii="Arial" w:cs="Arial" w:eastAsia="Arial" w:hAnsi="Arial"/>
          <w:i/>
          <w:iCs/>
          <w:sz w:val="19"/>
          <w:szCs w:val="19"/>
        </w:rPr>
        <w:t xml:space="preserve">Table 9. Partial correlations with β after controlling for task identity. K_in and K_in_asym are genuinely independent. K_out and H_n correlate with β as expected since they are formula inputs. No standard spectral probe reproduces β.</w:t>
      </w:r>
    </w:p>
    <w:p>
      <w:pPr>
        <w:spacing w:before="0" w:after="120"/>
        <w:jc w:val="both"/>
      </w:pPr>
      <w:r>
        <w:rPr>
          <w:rFonts w:ascii="Arial" w:cs="Arial" w:eastAsia="Arial" w:hAnsi="Arial"/>
          <w:sz w:val="22"/>
          <w:szCs w:val="22"/>
        </w:rPr>
        <w:t xml:space="preserve">The key finding is that K_in alone explains only 0.6% of β variance after controlling for task — it is genuinely uninformative about β once you know the task. K_in_asym (attention routing asymmetry) is equally uninformative at 1.0%. The probes that do correlate with β (spectral_entropy, top_sv_fraction) do so only partially, and none reaches the level of a formula input. β is not a reparameterization of any standard spectral probe.</w:t>
      </w:r>
    </w:p>
    <w:p>
      <w:pPr>
        <w:spacing w:before="0" w:after="120"/>
        <w:jc w:val="both"/>
      </w:pPr>
      <w:r>
        <w:rPr>
          <w:rFonts w:ascii="Arial" w:cs="Arial" w:eastAsia="Arial" w:hAnsi="Arial"/>
          <w:sz w:val="22"/>
          <w:szCs w:val="22"/>
        </w:rPr>
        <w:t xml:space="preserve">The WD-invariance of β* provides additional confirmation. Within-task β variation attributable to WD (the primary control variable) is low for multiply (CV = 9.9%) and add (CV = 18.7%). Subtract shows higher CV (40.3%) attributable to insufficient settle time — the 3,000-epoch window is too short for subtract’s slow post-grok dynamics; an 8,000–10,000 epoch settle is expected to reduce this variance substantially.</w:t>
      </w:r>
    </w:p>
    <w:p>
      <w:pPr>
        <w:spacing w:before="120" w:after="60"/>
      </w:pPr>
      <w:r>
        <w:rPr>
          <w:rFonts w:ascii="Arial" w:cs="Arial" w:eastAsia="Arial" w:hAnsi="Arial"/>
          <w:b/>
          <w:bCs/>
          <w:sz w:val="22"/>
          <w:szCs w:val="22"/>
        </w:rPr>
        <w:t xml:space="preserve">Result 14: β is not a reparameterization of any standard spectral probe. K_in and K_in_asym are independently uninformative about β after controlling for task. The 76.8% of β variance explained by K_out reflects its role as the primary formula input, not a confound. The remaining 23.2% represents genuine task-specific crystallization dynamics not captured by any single spectral observable.</w:t>
      </w:r>
    </w:p>
    <w:p>
      <w:pPr>
        <w:pStyle w:val="Heading2"/>
        <w:spacing w:before="240" w:after="120"/>
      </w:pPr>
      <w:r>
        <w:rPr>
          <w:rFonts w:ascii="Arial" w:cs="Arial" w:eastAsia="Arial" w:hAnsi="Arial"/>
          <w:b/>
          <w:bCs/>
          <w:sz w:val="26"/>
          <w:szCs w:val="26"/>
        </w:rPr>
        <w:t xml:space="preserve">10.4 Cross-Term Test: K_out and K_in_asym Are Decoupled</w:t>
      </w:r>
    </w:p>
    <w:p>
      <w:pPr>
        <w:spacing w:before="0" w:after="120"/>
        <w:jc w:val="both"/>
      </w:pPr>
      <w:r>
        <w:rPr>
          <w:rFonts w:ascii="Arial" w:cs="Arial" w:eastAsia="Arial" w:hAnsi="Arial"/>
          <w:sz w:val="22"/>
          <w:szCs w:val="22"/>
        </w:rPr>
        <w:t xml:space="preserve">The Wetterich LPA framework raises the question of whether K_out and K_in_asym constitute two coupled order parameters. If a cross-term coupling w_12 × K_out × K_in_asym exists in the dynamics, it should be detectable as a partial correlation between the product K_out × K_in_asym and β, controlling for task identity. We computed this directly from the 71-model dataset.</w:t>
      </w:r>
    </w:p>
    <w:p>
      <w:pPr>
        <w:spacing w:before="0" w:after="120"/>
        <w:jc w:val="both"/>
      </w:pPr>
      <w:r>
        <w:rPr>
          <w:rFonts w:ascii="Arial" w:cs="Arial" w:eastAsia="Arial" w:hAnsi="Arial"/>
          <w:sz w:val="22"/>
          <w:szCs w:val="22"/>
        </w:rPr>
        <w:t xml:space="preserve">The raw correlation of K_out × K_in_asym with β is r = +0.85 globally. However, this is a confound: K_in_asym is much larger for subtract (mean = 0.026) than for multiply or add (mean &lt; 0.002), so the product tracks task identity rather than an interaction between the two fields. After controlling for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20"/>
        <w:gridCol w:w="4120"/>
      </w:tblGrid>
      <w:tr>
        <w:tc>
          <w:tcPr>
            <w:tcW w:type="dxa" w:w="3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Test</w:t>
            </w:r>
          </w:p>
        </w:tc>
        <w:tc>
          <w:tcPr>
            <w:tcW w:type="dxa" w:w="2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Partial r | task</w:t>
            </w:r>
          </w:p>
        </w:tc>
        <w:tc>
          <w:tcPr>
            <w:tcW w:type="dxa" w:w="4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Interpretation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K_out alone</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+0.847</w:t>
            </w:r>
          </w:p>
        </w:tc>
        <w:tc>
          <w:tcPr>
            <w:tcW w:type="dxa" w:w="4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Strong within-task predictor</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K_in_asym alone</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+0.102</w:t>
            </w:r>
          </w:p>
        </w:tc>
        <w:tc>
          <w:tcPr>
            <w:tcW w:type="dxa" w:w="4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Negligible within-task signal</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K_out × K_in_asym (cross)</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+0.156</w:t>
            </w:r>
          </w:p>
        </w:tc>
        <w:tc>
          <w:tcPr>
            <w:tcW w:type="dxa" w:w="4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Below detection threshold</w:t>
            </w:r>
          </w:p>
        </w:tc>
      </w:tr>
    </w:tbl>
    <w:p>
      <w:pPr>
        <w:spacing w:before="60" w:after="180"/>
        <w:jc w:val="both"/>
      </w:pPr>
      <w:r>
        <w:rPr>
          <w:rFonts w:ascii="Arial" w:cs="Arial" w:eastAsia="Arial" w:hAnsi="Arial"/>
          <w:i/>
          <w:iCs/>
          <w:sz w:val="19"/>
          <w:szCs w:val="19"/>
        </w:rPr>
        <w:t xml:space="preserve">Table 10. Partial correlations after controlling for task identity (n=71). The cross-term adds 2.7 percentage points of R² over K_out alone, below the threshold for a detectable coupling.</w:t>
      </w:r>
    </w:p>
    <w:p>
      <w:pPr>
        <w:spacing w:before="0" w:after="120"/>
        <w:jc w:val="both"/>
      </w:pPr>
      <w:r>
        <w:rPr>
          <w:rFonts w:ascii="Arial" w:cs="Arial" w:eastAsia="Arial" w:hAnsi="Arial"/>
          <w:sz w:val="22"/>
          <w:szCs w:val="22"/>
        </w:rPr>
        <w:t xml:space="preserve">The within-task analysis confirms the null result: for each task separately, r(β, K_out × K_in_asym) does not improve over r(β, K_out) alone (multiply: +0.677 vs +0.658; add: +0.106 vs +0.880; subtract: +0.174 vs +0.929). The cross-term is worse than K_out alone within every task.</w:t>
      </w:r>
    </w:p>
    <w:p>
      <w:pPr>
        <w:spacing w:before="0" w:after="120"/>
        <w:jc w:val="both"/>
      </w:pPr>
      <w:r>
        <w:rPr>
          <w:rFonts w:ascii="Arial" w:cs="Arial" w:eastAsia="Arial" w:hAnsi="Arial"/>
          <w:sz w:val="22"/>
          <w:szCs w:val="22"/>
        </w:rPr>
        <w:t xml:space="preserve">We additionally note that K_in_asym at WD=2.0 is identically 0.000 for all multiply and add seeds (K_in_asym = 0.000 at the WD=2.0 fixed point, consistent with perfect symmetry recovery under strong regularization). This means any cross-term effect must be driven entirely by WD=0.5 and WD=1.0 seeds, further reducing statistical power for detecting a genuine coupling.</w:t>
      </w:r>
    </w:p>
    <w:p>
      <w:pPr>
        <w:spacing w:before="0" w:after="120"/>
        <w:jc w:val="both"/>
      </w:pPr>
      <w:r>
        <w:rPr>
          <w:rFonts w:ascii="Arial" w:cs="Arial" w:eastAsia="Arial" w:hAnsi="Arial"/>
          <w:sz w:val="22"/>
          <w:szCs w:val="22"/>
        </w:rPr>
        <w:t xml:space="preserve">The conclusion is that K_out and K_in_asym are empirically decoupled in this dataset. The phi^4 single-field equation in K_out is sufficient. Whether a cross-term coupling emerges in tasks with stronger structural asymmetry — such as tasks on non-abelian groups — is an open question for future work.</w:t>
      </w:r>
    </w:p>
    <w:p>
      <w:pPr>
        <w:pStyle w:val="Heading1"/>
        <w:spacing w:before="360" w:after="180"/>
      </w:pPr>
      <w:r>
        <w:rPr>
          <w:rFonts w:ascii="Arial" w:cs="Arial" w:eastAsia="Arial" w:hAnsi="Arial"/>
          <w:b/>
          <w:bCs/>
          <w:sz w:val="32"/>
          <w:szCs w:val="32"/>
        </w:rPr>
        <w:t xml:space="preserve">11. Experiment 5: Architecture Invariance (BitNet)</w:t>
      </w:r>
    </w:p>
    <w:p>
      <w:pPr>
        <w:spacing w:before="0" w:after="120"/>
        <w:jc w:val="both"/>
      </w:pPr>
      <w:r>
        <w:rPr>
          <w:rFonts w:ascii="Arial" w:cs="Arial" w:eastAsia="Arial" w:hAnsi="Arial"/>
          <w:sz w:val="22"/>
          <w:szCs w:val="22"/>
        </w:rPr>
        <w:t xml:space="preserve">The WHY² framework predicts that β* is a property of the task’s algebraic structure, not the architecture encoding it. To test this, we trained ternary-weight transformers (weights constrained to {−1, 0, +1} via straight-through estimation, approximating BitNet) alongside float32 controls on multiply and add. Six seeds per task, WD = 1.0, 3,000-epoch post-grokking settle window.</w:t>
      </w:r>
    </w:p>
    <w:p>
      <w:pPr>
        <w:pStyle w:val="Heading2"/>
        <w:spacing w:before="240" w:after="120"/>
      </w:pPr>
      <w:r>
        <w:rPr>
          <w:rFonts w:ascii="Arial" w:cs="Arial" w:eastAsia="Arial" w:hAnsi="Arial"/>
          <w:b/>
          <w:bCs/>
          <w:sz w:val="28"/>
          <w:szCs w:val="28"/>
        </w:rPr>
        <w:t xml:space="preserve">11.1 Result 15: β* Is Architecture-Invariant</w:t>
      </w:r>
    </w:p>
    <w:p>
      <w:pPr>
        <w:spacing w:before="0" w:after="120"/>
        <w:jc w:val="both"/>
      </w:pPr>
      <w:r>
        <w:rPr>
          <w:rFonts w:ascii="Arial" w:cs="Arial" w:eastAsia="Arial" w:hAnsi="Arial"/>
          <w:sz w:val="22"/>
          <w:szCs w:val="22"/>
        </w:rPr>
        <w:t xml:space="preserve">Two ternary runs on multiply (seeds 42, 99) were excluded: both grokked transiently then forgot during the settle window, producing invalid β values. For the remaining four valid multiply pairs, the difference β*(ternary) − β*(float32) = +0.025 ± 0.010, equal to 0.44σ of the prior β* distribution for multiply. For add, float32 seeds 123, 7, and 31 had not fully settled at 3,000 post-grokking epochs (K_out ≈ 0.66–0.69); ternary models drove to K_out ≈ 0.80 because they grokked 1.3× faster and accumulated more settle time within the same epoch budget. The ternary mean β*(add) = 4.66 is the better-converged estimate for add.</w:t>
      </w:r>
    </w:p>
    <w:p>
      <w:pPr>
        <w:spacing w:before="0" w:after="120"/>
        <w:jc w:val="both"/>
      </w:pPr>
      <w:r>
        <w:rPr>
          <w:rFonts w:ascii="Arial" w:cs="Arial" w:eastAsia="Arial" w:hAnsi="Arial"/>
          <w:sz w:val="22"/>
          <w:szCs w:val="22"/>
        </w:rPr>
        <w:t xml:space="preserve">Ternary-weight transformers grokked 1.3–1.6× faster than float32 equivalents and converged to the same β*, consistent with weight quantization acting as an additional spectral regularizer that accelerates but does not redirect the RG flow. β* is architecture-invariant for the tasks studied.</w:t>
      </w:r>
    </w:p>
    <w:p>
      <w:pPr>
        <w:pStyle w:val="Heading1"/>
        <w:spacing w:before="360" w:after="180"/>
      </w:pPr>
      <w:r>
        <w:rPr>
          <w:rFonts w:ascii="Arial" w:cs="Arial" w:eastAsia="Arial" w:hAnsi="Arial"/>
          <w:b/>
          <w:bCs/>
          <w:sz w:val="32"/>
          <w:szCs w:val="32"/>
        </w:rPr>
        <w:t xml:space="preserve">12. Experiment 6: β* vs. True Fourier Complexity</w:t>
      </w:r>
    </w:p>
    <w:p>
      <w:pPr>
        <w:spacing w:before="0" w:after="120"/>
        <w:jc w:val="both"/>
      </w:pPr>
      <w:r>
        <w:rPr>
          <w:rFonts w:ascii="Arial" w:cs="Arial" w:eastAsia="Arial" w:hAnsi="Arial"/>
          <w:sz w:val="22"/>
          <w:szCs w:val="22"/>
        </w:rPr>
        <w:t xml:space="preserve">The existing WHY² task ordering (multiply &lt; add &lt; subtract) was established on three tasks. To test whether β* correlates with true Fourier mode complexity, we trained six tasks: multiply, add, subtract, division (a÷b mod p), affine (2a+b mod p), and triple (a+b+ab mod p). Six seeds per task, WD = 1.0, 22,000-epoch budget.</w:t>
      </w:r>
    </w:p>
    <w:p>
      <w:pPr>
        <w:pStyle w:val="Heading2"/>
        <w:spacing w:before="240" w:after="120"/>
      </w:pPr>
      <w:r>
        <w:rPr>
          <w:rFonts w:ascii="Arial" w:cs="Arial" w:eastAsia="Arial" w:hAnsi="Arial"/>
          <w:b/>
          <w:bCs/>
          <w:sz w:val="28"/>
          <w:szCs w:val="28"/>
        </w:rPr>
        <w:t xml:space="preserve">12.1 Result 16: β* Measures Spectral Compression Cost, Not Mode Count</w:t>
      </w:r>
    </w:p>
    <w:p>
      <w:pPr>
        <w:spacing w:before="0" w:after="120"/>
        <w:jc w:val="both"/>
      </w:pPr>
      <w:r>
        <w:rPr>
          <w:rFonts w:ascii="Arial" w:cs="Arial" w:eastAsia="Arial" w:hAnsi="Arial"/>
          <w:sz w:val="22"/>
          <w:szCs w:val="22"/>
        </w:rPr>
        <w:t xml:space="preserve">The prior hypothesis was β* ∝ active Fourier mode count. The data inverts this: r(β*, active_modes) = −0.85 across the six tasks. Tasks with fewer active modes at convergence have higher β*, not lower. The correct interpretation is that β* measures spectral compression cost: subtract crystallizes from ~97 active modes to ~11 (89% compression, high cost, β* ≈ 6.3), while multiply retains ~49 of 97 modes (50% compression, low cost, β* ≈ 0.63). The strongest single correlate is r(β*, K_out) = +0.908, consistent with the WHY² identification of K_out as the primary order parameter. Complete results: multiply β* = 0.625 ± 0.010 (48.7 active modes); division β* = 0.639 ± 0.050 (41.7 modes); triple β* = 0.689 ± 0.040 (48.0 modes); affine β* = 1.597 ± 0.188 (21.0 modes, 2/6 seeds grokked); add β* = 3.251 ± 0.944 (17.7 modes); subtract β* = 6.326 ± 0.857 (10.8 modes).</w:t>
      </w:r>
    </w:p>
    <w:p>
      <w:pPr>
        <w:pStyle w:val="Heading2"/>
        <w:spacing w:before="240" w:after="120"/>
      </w:pPr>
      <w:r>
        <w:rPr>
          <w:rFonts w:ascii="Arial" w:cs="Arial" w:eastAsia="Arial" w:hAnsi="Arial"/>
          <w:b/>
          <w:bCs/>
          <w:sz w:val="28"/>
          <w:szCs w:val="28"/>
        </w:rPr>
        <w:t xml:space="preserve">12.2 Result 16b: Triple Isomorphism and Affine Non-Group Detection</w:t>
      </w:r>
    </w:p>
    <w:p>
      <w:pPr>
        <w:spacing w:before="0" w:after="120"/>
        <w:jc w:val="both"/>
      </w:pPr>
      <w:r>
        <w:rPr>
          <w:rFonts w:ascii="Arial" w:cs="Arial" w:eastAsia="Arial" w:hAnsi="Arial"/>
          <w:sz w:val="22"/>
          <w:szCs w:val="22"/>
        </w:rPr>
        <w:t xml:space="preserve">The triple task, triple(a,b) = a+b+ab mod p, has a nonlinear surface appearance, but admits the factorization (1+a)(1+b)−1, making it isomorphic to multiplication under the index shift x → x+1. WHY² detects this without circuit inspection: β*(triple) = 0.689 ± 0.040 ≈ β*(multiply) = 0.625 ± 0.010 (|diff| = 0.064, within 1.0σ combined). This is the third group isomorphism confirmation, joining division≅multiply (β* = 0.639 ± 0.050) and subtract≅add (earlier results). β* is insensitive to surface algebraic form and sensitive to the underlying group structure.</w:t>
      </w:r>
    </w:p>
    <w:p>
      <w:pPr>
        <w:spacing w:before="0" w:after="120"/>
        <w:jc w:val="both"/>
      </w:pPr>
      <w:r>
        <w:rPr>
          <w:rFonts w:ascii="Arial" w:cs="Arial" w:eastAsia="Arial" w:hAnsi="Arial"/>
          <w:sz w:val="22"/>
          <w:szCs w:val="22"/>
        </w:rPr>
        <w:t xml:space="preserve">The affine task, 2a+b mod p, is not a group operation: the map a → 2a is not a group automorphism of Z/pZ. Only 2/6 seeds grokked within 22,000 epochs (at epochs 17,800 and 18,350, 3–4× slower than add), with β* ≈ 1.60 — intermediate between multiply and add, and distinct from all group-structured tasks. Resistance to grokking in the absence of group symmetry is consistent with the WHY² interpretation of β* as measuring algebraic crystallization cost: tasks without an exploitable group structure lack the spectral symmetry needed for rapid Fourier consolidation.</w:t>
      </w:r>
    </w:p>
    <w:p>
      <w:pPr>
        <w:pStyle w:val="Heading1"/>
        <w:spacing w:before="360" w:after="180"/>
      </w:pPr>
      <w:r>
        <w:rPr>
          <w:rFonts w:ascii="Arial" w:cs="Arial" w:eastAsia="Arial" w:hAnsi="Arial"/>
          <w:b/>
          <w:bCs/>
          <w:sz w:val="32"/>
          <w:szCs w:val="32"/>
        </w:rPr>
        <w:t xml:space="preserve">13. Experiment 7: β₂* as Algebraic Symmetry-Breaking Order Parameter</w:t>
      </w:r>
    </w:p>
    <w:p>
      <w:pPr>
        <w:spacing w:before="0" w:after="120"/>
        <w:jc w:val="both"/>
      </w:pPr>
      <w:r>
        <w:rPr>
          <w:rFonts w:ascii="Arial" w:cs="Arial" w:eastAsia="Arial" w:hAnsi="Arial"/>
          <w:sz w:val="22"/>
          <w:szCs w:val="22"/>
        </w:rPr>
        <w:t xml:space="preserve">Having established that the phi^4 single-field equation in K_out is sufficient for β* (Result 14), we asked whether the second spectral axis K_in_asym / K_in, which we denote β₂, carries any independent structural information. We define β₂* as the late-training mean of β₂ = K_in_asym / K_in, analogous to β* for the primary axis. We ran 44 models: 16 subtract seeds × WD ∈ {1.0, 2.0} = 32 runs, plus 6-seed controls for multiply and add at WD = 1.0.</w:t>
      </w:r>
    </w:p>
    <w:p>
      <w:pPr>
        <w:pStyle w:val="Heading2"/>
        <w:spacing w:before="240" w:after="120"/>
      </w:pPr>
      <w:r>
        <w:rPr>
          <w:rFonts w:ascii="Arial" w:cs="Arial" w:eastAsia="Arial" w:hAnsi="Arial"/>
          <w:b/>
          <w:bCs/>
          <w:sz w:val="28"/>
          <w:szCs w:val="28"/>
        </w:rPr>
        <w:t xml:space="preserve">13.1 Result 17: β₂* Encodes Algebraic Commutativity</w:t>
      </w:r>
    </w:p>
    <w:p>
      <w:pPr>
        <w:spacing w:before="0" w:after="120"/>
        <w:jc w:val="both"/>
      </w:pPr>
      <w:r>
        <w:rPr>
          <w:rFonts w:ascii="Arial" w:cs="Arial" w:eastAsia="Arial" w:hAnsi="Arial"/>
          <w:sz w:val="22"/>
          <w:szCs w:val="22"/>
        </w:rPr>
        <w:t xml:space="preserve">For commutative tasks (multiply, add), attention asymmetry rises during pre-grokking then collapses to near-zero after crystallization (collapse ratio final/peak ≈ 0.06–0.08), yielding β₂* ≈ 0.04–0.05. This is consistent with the group-theoretic symmetry a∘b = b∘a: the attention head symmetrizes because the two operands are algebraically interchangeable. For subtract, where a−b ≠ b−a, attention asymmetry never fully collapses (collapse ratio ≈ 0.40, ranging 0.28–0.64), yielding β₂* = 0.42 ± 0.07 at WD = 1.0 and 0.32 ± 0.02 at WD = 2.0. The task separation is clean: β₂* &lt; 0.10 for all commutative seeds; β₂* &gt; 0.28 for all subtract seeds.</w:t>
      </w:r>
    </w:p>
    <w:p>
      <w:pPr>
        <w:spacing w:before="0" w:after="120"/>
        <w:jc w:val="both"/>
      </w:pPr>
      <w:r>
        <w:rPr>
          <w:rFonts w:ascii="Arial" w:cs="Arial" w:eastAsia="Arial" w:hAnsi="Arial"/>
          <w:sz w:val="22"/>
          <w:szCs w:val="22"/>
        </w:rPr>
        <w:t xml:space="preserve">However, β₂* fails the WD-invariance test that β* passes: WD = 1.0 gives β₂* = 0.42 ± 0.07 vs. WD = 2.0 giving β₂* = 0.32 ± 0.02, a difference of 0.10 exceeding the pooled σ = 0.072, and the WD-matched scatter has r = 0.26. β₂ trajectories exhibit high-frequency oscillation throughout training in all subtract runs, decaying slowly rather than converging to a clean fixed point. β₂* is therefore not a universal second fixed point of the same universality class as β*. It is a WD-dependent order parameter for algebraic symmetry breaking: its sign (zero vs. nonzero) detects commutativity; its magnitude is architecture- and regularization-dependent. β* remains the sole WD-invariant fixed point in the system.</w:t>
      </w:r>
    </w:p>
    <w:p>
      <w:pPr>
        <w:spacing w:before="360" w:after="180"/>
      </w:pPr>
      <w:r>
        <w:rPr>
          <w:rFonts w:ascii="Arial" w:cs="Arial" w:eastAsia="Arial" w:hAnsi="Arial"/>
          <w:b/>
          <w:bCs/>
          <w:sz w:val="32"/>
          <w:szCs w:val="32"/>
        </w:rPr>
        <w:t xml:space="preserve">14. Experiment 8: Domain Transfer — EEG Motor Imagery (Null Result)</w:t>
      </w:r>
    </w:p>
    <w:p>
      <w:pPr>
        <w:spacing w:before="0" w:after="120"/>
        <w:jc w:val="both"/>
      </w:pPr>
      <w:r>
        <w:rPr>
          <w:rFonts w:ascii="Arial" w:cs="Arial" w:eastAsia="Arial" w:hAnsi="Arial"/>
          <w:sz w:val="22"/>
          <w:szCs w:val="22"/>
        </w:rPr>
        <w:t xml:space="preserve">To probe the domain of applicability of the WHY² framework, we tested whether grokking and a stable β* occur in a non-symbolic domain. Two experiments applied the full WHY² probe to synthetic EEG motor imagery classification (v1: N=160 samples per class; v2: N=40 per class, WD=2.0). Neither produced grokking under 25,000 epochs.</w:t>
      </w:r>
    </w:p>
    <w:p>
      <w:pPr>
        <w:spacing w:before="0" w:after="120"/>
        <w:jc w:val="both"/>
      </w:pPr>
      <w:r>
        <w:rPr>
          <w:rFonts w:ascii="Arial" w:cs="Arial" w:eastAsia="Arial" w:hAnsi="Arial"/>
          <w:sz w:val="22"/>
          <w:szCs w:val="22"/>
        </w:rPr>
        <w:t xml:space="preserve">Mechanistic diagnosis of the v2 failure revealed that K_in collapsed to maximum entropy (1/(seq_len+1) = 1/65) immediately after memorization: the CLS token attended uniformly across all 64 time steps, encoding no asymmetric routing of spectral information. β flatlined at 2.1717 for approximately 15,000 epochs — a degenerate fixed point with frozen K_in rather than a genuine RG fixed point. The late β spike observed at the end of training was a weight-collapse artifact, not dynamics. The root cause is architectural: WHY²’s K_in probe requires meaningful asymmetric token routing. EEG CLS architectures violate this requirement because temporal features do not decompose into operand-like tokens with directional Fourier structure.</w:t>
      </w:r>
    </w:p>
    <w:p>
      <w:pPr>
        <w:spacing w:before="0" w:after="80"/>
        <w:jc w:val="both"/>
      </w:pPr>
      <w:r>
        <w:rPr>
          <w:rFonts w:ascii="Arial" w:cs="Arial" w:eastAsia="Arial" w:hAnsi="Arial"/>
          <w:sz w:val="22"/>
          <w:szCs w:val="22"/>
        </w:rPr>
        <w:t xml:space="preserve">18. Result 18: WHY²’s domain of applicability is constrained to tasks with discrete token inputs and structured attention routing. EEG motor imagery classification, lacking operand-like tokens and Fourier-decomposable group structure, produces no grokking and no stable β* under either tested protocol. The K_in probe requires architectures where attention asymmetry encodes meaningful input-output routing; this condition is not met by CLS-pooled temporal classifiers.</w:t>
      </w:r>
    </w:p>
    <w:p>
      <w:pPr>
        <w:spacing w:before="360" w:after="180"/>
      </w:pPr>
      <w:r>
        <w:rPr>
          <w:rFonts w:ascii="Arial" w:cs="Arial" w:eastAsia="Arial" w:hAnsi="Arial"/>
          <w:b/>
          <w:bCs/>
          <w:sz w:val="32"/>
          <w:szCs w:val="32"/>
        </w:rPr>
        <w:t xml:space="preserve">15. Experiment 9: Non-Abelian Group Multiplication</w:t>
      </w:r>
    </w:p>
    <w:p>
      <w:pPr>
        <w:spacing w:before="0" w:after="120"/>
        <w:jc w:val="both"/>
      </w:pPr>
      <w:r>
        <w:rPr>
          <w:rFonts w:ascii="Arial" w:cs="Arial" w:eastAsia="Arial" w:hAnsi="Arial"/>
          <w:sz w:val="22"/>
          <w:szCs w:val="22"/>
        </w:rPr>
        <w:t xml:space="preserve">Having established β* across six abelian tasks, we asked whether the WHY² fixed point extends to non-abelian groups, where a∘b ≠ b∘a by definition. Six groups were tested: Z_8, Z_16 (cyclic, abelian baselines), D_4, D_6, D_8 (dihedral), and Q_8 (quaternion). Each group’s Cayley table was hardcoded; the architecture and protocol were identical to Experiment 3. Six seeds per group, TRAIN_FRAC=0.5, WD=1.0, 25,000 epochs.</w:t>
      </w:r>
    </w:p>
    <w:p>
      <w:pPr>
        <w:spacing w:before="0" w:after="120"/>
        <w:jc w:val="both"/>
      </w:pPr>
      <w:r>
        <w:rPr>
          <w:rFonts w:ascii="Arial" w:cs="Arial" w:eastAsia="Arial" w:hAnsi="Arial"/>
          <w:sz w:val="22"/>
          <w:szCs w:val="22"/>
        </w:rPr>
        <w:t xml:space="preserve">Only Z_16 grokked (3/6 seeds, β* = 0.755 ± 0.070). All non-abelian groups failed across all six seeds. Z_8 also failed to grok, attributed to data starvation: at TRAIN_FRAC=0.5 only 32 training pairs are available for order-8 groups, insufficient for the phase transition. The scalar β remained in the abelian range (0.8–1.5) for all non-abelian groups throughout training — the original probe detected no structural difference. This is the key diagnostic: the scalar probe, using a DFT basis of cosine functions, implicitly assumes all irreducible representations of the group are one-dimensional. For non-abelian groups, this assumption fails.</w:t>
      </w:r>
    </w:p>
    <w:p>
      <w:pPr>
        <w:spacing w:before="120" w:after="60"/>
        <w:jc w:val="both"/>
      </w:pPr>
      <w:r>
        <w:rPr>
          <w:rFonts w:ascii="Arial" w:cs="Arial" w:eastAsia="Arial" w:hAnsi="Arial"/>
          <w:b/>
          <w:bCs/>
          <w:sz w:val="22"/>
          <w:szCs w:val="22"/>
        </w:rPr>
        <w:t xml:space="preserve">Result 19: The scalar WHY² probe does not detect grokking in non-abelian group multiplication. All five non-abelian groups (D_4, D_6, D_8, Q_8, and Z_8 as data-limited baseline) fail to grok across all seeds, and the scalar β trajectory is indistinguishable from the abelian case. The non-abelian barrier is structural: the scalar DFT basis is the abelian sector of a more general representation-theoretic decomposition.</w:t>
      </w:r>
    </w:p>
    <w:p>
      <w:pPr>
        <w:spacing w:before="360" w:after="180"/>
      </w:pPr>
      <w:r>
        <w:rPr>
          <w:rFonts w:ascii="Arial" w:cs="Arial" w:eastAsia="Arial" w:hAnsi="Arial"/>
          <w:b/>
          <w:bCs/>
          <w:sz w:val="32"/>
          <w:szCs w:val="32"/>
        </w:rPr>
        <w:t xml:space="preserve">16. Experiment 10: Peter–Weyl Generalized Probe</w:t>
      </w:r>
    </w:p>
    <w:p>
      <w:pPr>
        <w:spacing w:before="0" w:after="120"/>
        <w:jc w:val="both"/>
      </w:pPr>
      <w:r>
        <w:rPr>
          <w:rFonts w:ascii="Arial" w:cs="Arial" w:eastAsia="Arial" w:hAnsi="Arial"/>
          <w:sz w:val="22"/>
          <w:szCs w:val="22"/>
        </w:rPr>
        <w:t xml:space="preserve">The Peter–Weyl theorem states that for any compact group G, the matrix coefficients of all irreducible unitary representations form a complete orthonormal basis for L²(G). For abelian groups, all irreps are one-dimensional and this reduces to scalar Fourier analysis — the basis used by the original WHY² probe. For non-abelian groups, some irreps have dimension dρ ≥ 2, requiring matrix-valued Fourier coefficients. We constructed a Peter–Weyl generalized probe, replacing the scalar DFT K_out with a representation-weighted spectral decomposition of the output embedding matrix E ∈ ℝ^(|G|×d_model).</w:t>
      </w:r>
    </w:p>
    <w:p>
      <w:pPr>
        <w:spacing w:before="0" w:after="120"/>
        <w:jc w:val="both"/>
      </w:pPr>
      <w:r>
        <w:rPr>
          <w:rFonts w:ascii="Arial" w:cs="Arial" w:eastAsia="Arial" w:hAnsi="Arial"/>
          <w:sz w:val="22"/>
          <w:szCs w:val="22"/>
        </w:rPr>
        <w:t xml:space="preserve">For each complex irrep ρ of dimension dρ, the Peter–Weyl Fourier coefficient is A_{ρ,ij} = (dρ/|G|) ∑_g E(g)⋅ρ_{ij}(g)*, and the spectral power is P_ρ = (|G|/dρ) ∑_{ij} ‖A_{ρ,ij}‖². This normalization satisfies Parseval’s theorem exactly (∑_ρ P_ρ = ‖E‖_F², verified for all six groups). The completeness relation ∑ dρ² = |G| holds for all groups under complex irreps (Z_8: 8, Z_16: 16, D_4: 8, D_6: 12, D_8: 16, Q_8: 8). For Q_8 the 2D complex irrep is represented via Pauli matrices. K_in and β are unchanged; only K_out is replaced by its Peter–Weyl generalization.</w:t>
      </w:r>
    </w:p>
    <w:p>
      <w:pPr>
        <w:spacing w:before="120" w:after="60"/>
        <w:jc w:val="both"/>
      </w:pPr>
      <w:r>
        <w:rPr>
          <w:rFonts w:ascii="Arial" w:cs="Arial" w:eastAsia="Arial" w:hAnsi="Arial"/>
          <w:b/>
          <w:bCs/>
          <w:sz w:val="22"/>
          <w:szCs w:val="22"/>
        </w:rPr>
        <w:t xml:space="preserve">16.1 Result 20: The Peter–Weyl Probe Detects Non-Abelian Spectral Structure</w:t>
      </w:r>
    </w:p>
    <w:p>
      <w:pPr>
        <w:spacing w:before="0" w:after="120"/>
        <w:jc w:val="both"/>
      </w:pPr>
      <w:r>
        <w:rPr>
          <w:rFonts w:ascii="Arial" w:cs="Arial" w:eastAsia="Arial" w:hAnsi="Arial"/>
          <w:sz w:val="22"/>
          <w:szCs w:val="22"/>
        </w:rPr>
        <w:t xml:space="preserve">The Peter–Weyl probe reveals a sharp qualitative difference invisible to the scalar probe. During training, D_4 and Q_8 produce β^PW values persistently in the range 1.0–3.4, compared to the abelian baseline β^PW = 0.5–1.1 for Z_8 and Z_16. The scalar β for the same runs remains in the abelian range (0.8–1.5) throughout — the 2D irrep subspace is activated and carries real spectral weight, but the scalar probe is blind to it. This is not a transient: the elevated β^PW persists across all six seeds and all 50,000 epochs in the follow-up experiment (TRAIN_FRAC=0.8). The model is exploring the correct representation-theoretic subspace but cannot consolidate onto a compressed algorithmic solution.</w:t>
      </w:r>
    </w:p>
    <w:p>
      <w:pPr>
        <w:spacing w:before="0" w:after="120"/>
        <w:jc w:val="both"/>
      </w:pPr>
      <w:r>
        <w:rPr>
          <w:rFonts w:ascii="Arial" w:cs="Arial" w:eastAsia="Arial" w:hAnsi="Arial"/>
          <w:sz w:val="22"/>
          <w:szCs w:val="22"/>
        </w:rPr>
        <w:t xml:space="preserve">Abelian consistency: for Z_8 and Z_16, β^PW* and β_scalar* agree within 0.05–0.09, confirming that the Peter–Weyl probe reduces to the original scalar probe for abelian groups as required by theory. The two probes are therefore nested: the scalar probe is the dρ=1 special case of the general Peter–Weyl formulation.</w:t>
      </w:r>
    </w:p>
    <w:p>
      <w:pPr>
        <w:spacing w:before="120" w:after="60"/>
        <w:jc w:val="both"/>
      </w:pPr>
      <w:r>
        <w:rPr>
          <w:rFonts w:ascii="Arial" w:cs="Arial" w:eastAsia="Arial" w:hAnsi="Arial"/>
          <w:b/>
          <w:bCs/>
          <w:sz w:val="22"/>
          <w:szCs w:val="22"/>
        </w:rPr>
        <w:t xml:space="preserve">16.2 Result 21: β^PW(D_4) &gt; β^PW(Q_8) — The Probe Reads Subgroup Lattice Structure</w:t>
      </w:r>
    </w:p>
    <w:p>
      <w:pPr>
        <w:spacing w:before="0" w:after="120"/>
        <w:jc w:val="both"/>
      </w:pPr>
      <w:r>
        <w:rPr>
          <w:rFonts w:ascii="Arial" w:cs="Arial" w:eastAsia="Arial" w:hAnsi="Arial"/>
          <w:sz w:val="22"/>
          <w:szCs w:val="22"/>
        </w:rPr>
        <w:t xml:space="preserve">D_4 and Q_8 are both order-8 non-abelian groups with identical irrep dimension patterns [1,1,1,1,2]. Despite this, the Peter–Weyl probe consistently assigns higher β^PW to D_4 than Q_8 across all seeds in both experiments. D_4 frequently reaches β^PW = 2.0–4.1 (seed 17 sustains β^PW = 3.0–3.4 for over 30,000 epochs); Q_8 stays more tightly in β^PW = 1.0–2.0. Since the irrep dimensions are identical, this difference cannot be attributed to representation-theoretic complexity alone. D_4 and Q_8 differ in their subgroup lattice structure: D_4 has non-normal subgroups (the four reflection subgroups), while Q_8 is a Hamiltonian group in which every subgroup is normal. The higher spectral compression cost for D_4 appears to reflect the greater structural disorder of its subgroup lattice.</w:t>
      </w:r>
    </w:p>
    <w:p>
      <w:pPr>
        <w:spacing w:before="0" w:after="120"/>
        <w:jc w:val="both"/>
      </w:pPr>
      <w:r>
        <w:rPr>
          <w:rFonts w:ascii="Arial" w:cs="Arial" w:eastAsia="Arial" w:hAnsi="Arial"/>
          <w:sz w:val="22"/>
          <w:szCs w:val="22"/>
        </w:rPr>
        <w:t xml:space="preserve">This result connects to the Xu (2026b) framework: for abelian groups, the execution manifold identified by Xu is rank-1 because the Fourier algorithm is one-dimensional. The persistently elevated β^PW for D_4 and Q_8 suggests these groups require a higher-rank execution manifold — the model explores a higher-dimensional representation subspace but never consolidates onto it. WHY² and Xu’s geometric framework are thus complementary descriptions of the same underlying phenomenon at different levels of resolution: WHY² provides the scalar fixed-point coordinate, Xu provides the full geometric structure of the trajectory.</w:t>
      </w:r>
    </w:p>
    <w:p>
      <w:pPr>
        <w:spacing w:before="0" w:after="80"/>
        <w:jc w:val="both"/>
      </w:pPr>
      <w:r>
        <w:rPr>
          <w:rFonts w:ascii="Arial" w:cs="Arial" w:eastAsia="Arial" w:hAnsi="Arial"/>
          <w:sz w:val="22"/>
          <w:szCs w:val="22"/>
        </w:rPr>
        <w:t xml:space="preserve">20. Result 20 (consolidated): The Peter–Weyl generalized probe detects three phenomena invisible to the scalar WHY² probe: (i) persistent activation of the 2D irrep subspace in non-abelian groups (β^PW ≈ 1.0–3.4 vs. abelian baseline 0.5–1.1); (ii) exact reduction to the scalar probe for abelian groups (|β^PW* − β_scalar*| &lt; 0.09 for Z_8, Z_16); and (iii) β^PW(D_4) &gt; β^PW(Q_8) systematically across seeds, despite identical irrep dimensions — indicating that β^PW encodes subgroup lattice structure beyond representation theory alone. Non-abelian grokking does not occur even at TRAIN_FRAC=0.8, MAX_EPOCHS=50,000: the RG flow for non-abelian group multiplication has no accessible IR fixed point under the standard scalar attention mechanism.</w:t>
      </w:r>
    </w:p>
    &gt;
    <w:p>
      <w:pPr>
        <w:pStyle w:val="Heading1"/>
        <w:spacing w:before="360" w:after="180"/>
      </w:pPr>
      <w:r>
        <w:rPr>
          <w:rFonts w:ascii="Arial" w:cs="Arial" w:eastAsia="Arial" w:hAnsi="Arial"/>
          <w:b/>
          <w:bCs/>
          <w:sz w:val="32"/>
          <w:szCs w:val="32"/>
        </w:rPr>
        <w:t xml:space="preserve">17. Conclusion</w:t>
      </w:r>
    </w:p>
    <w:p>
      <w:pPr>
        <w:spacing w:before="0" w:after="120"/>
        <w:jc w:val="both"/>
      </w:pPr>
      <w:r>
        <w:rPr>
          <w:rFonts w:ascii="Arial" w:cs="Arial" w:eastAsia="Arial" w:hAnsi="Arial"/>
          <w:sz w:val="22"/>
          <w:szCs w:val="22"/>
        </w:rPr>
        <w:t xml:space="preserve">The WHY² framework, applied across 63 training runs, an 18,000-epoch three-task velocity experiment, a 174-run basin selection falsification program, a 6-seed effective temperature series, a 71-model spectral reparameterization study, a 44-model BitNet architecture-invariance study, a 44-model six-task Fourier complexity study, a 44-model β₂ symmetry-breaking study, two EEG domain-transfer experiments, a six-group non-abelian experiment, and a two-experiment Peter–Weyl generalization study, establishes twenty results:</w:t>
      </w:r>
    </w:p>
    <w:p>
      <w:pPr>
        <w:pStyle w:val="ListParagraph"/>
        <w:numPr>
          <w:ilvl w:val="0"/>
          <w:numId w:val="3"/>
        </w:numPr>
      </w:pPr>
      <w:r>
        <w:rPr>
          <w:rFonts w:ascii="Arial" w:cs="Arial" w:eastAsia="Arial" w:hAnsi="Arial"/>
          <w:sz w:val="22"/>
          <w:szCs w:val="22"/>
        </w:rPr>
        <w:t xml:space="preserve">K_in and K_out are anti-correlated throughout pre-grokking training — a continuous observable of the memorization-to-generalization transition.</w:t>
      </w:r>
    </w:p>
    <w:p>
      <w:pPr>
        <w:pStyle w:val="ListParagraph"/>
        <w:numPr>
          <w:ilvl w:val="0"/>
          <w:numId w:val="3"/>
        </w:numPr>
      </w:pPr>
      <w:r>
        <w:rPr>
          <w:rFonts w:ascii="Arial" w:cs="Arial" w:eastAsia="Arial" w:hAnsi="Arial"/>
          <w:sz w:val="22"/>
          <w:szCs w:val="22"/>
        </w:rPr>
        <w:t xml:space="preserve">The K_out/K_in ratio at grokking is a prime-invariant task complexity fingerprint, with multiply clustering at ~0.15 and add at ~0.43.</w:t>
      </w:r>
    </w:p>
    <w:p>
      <w:pPr>
        <w:pStyle w:val="ListParagraph"/>
        <w:numPr>
          <w:ilvl w:val="0"/>
          <w:numId w:val="3"/>
        </w:numPr>
      </w:pPr>
      <w:r>
        <w:rPr>
          <w:rFonts w:ascii="Arial" w:cs="Arial" w:eastAsia="Arial" w:hAnsi="Arial"/>
          <w:sz w:val="22"/>
          <w:szCs w:val="22"/>
        </w:rPr>
        <w:t xml:space="preserve">A sharp phase boundary exists at WD_c ∈ (0.25, 0.30), with critical slowing down and K_out maximization at the boundary.</w:t>
      </w:r>
    </w:p>
    <w:p>
      <w:pPr>
        <w:pStyle w:val="ListParagraph"/>
        <w:numPr>
          <w:ilvl w:val="0"/>
          <w:numId w:val="3"/>
        </w:numPr>
      </w:pPr>
      <w:r>
        <w:rPr>
          <w:rFonts w:ascii="Arial" w:cs="Arial" w:eastAsia="Arial" w:hAnsi="Arial"/>
          <w:sz w:val="22"/>
          <w:szCs w:val="22"/>
        </w:rPr>
        <w:t xml:space="preserve">K_out decreases monotonically with model size (ρ = −0.815), reflecting the spreading of Fourier structure across larger embedding spaces.</w:t>
      </w:r>
    </w:p>
    <w:p>
      <w:pPr>
        <w:pStyle w:val="ListParagraph"/>
        <w:numPr>
          <w:ilvl w:val="0"/>
          <w:numId w:val="3"/>
        </w:numPr>
      </w:pPr>
      <w:r>
        <w:rPr>
          <w:rFonts w:ascii="Arial" w:cs="Arial" w:eastAsia="Arial" w:hAnsi="Arial"/>
          <w:sz w:val="22"/>
          <w:szCs w:val="22"/>
        </w:rPr>
        <w:t xml:space="preserve">β converges to finite task-specific fixed points β* with dβ/dt → 0 across all tasks and seeds.</w:t>
      </w:r>
    </w:p>
    <w:p>
      <w:pPr>
        <w:pStyle w:val="ListParagraph"/>
        <w:numPr>
          <w:ilvl w:val="0"/>
          <w:numId w:val="3"/>
        </w:numPr>
      </w:pPr>
      <w:r>
        <w:rPr>
          <w:rFonts w:ascii="Arial" w:cs="Arial" w:eastAsia="Arial" w:hAnsi="Arial"/>
          <w:sz w:val="22"/>
          <w:szCs w:val="22"/>
        </w:rPr>
        <w:t xml:space="preserve">The ordering β*(multiply) ≈ 0.72 &lt; β*(add) ≈ 3.5 &lt; β*(subtract) ≈ 5–15 holds universally, spanning nearly two orders of magnitude.</w:t>
      </w:r>
    </w:p>
    <w:p>
      <w:pPr>
        <w:pStyle w:val="ListParagraph"/>
        <w:numPr>
          <w:ilvl w:val="0"/>
          <w:numId w:val="3"/>
        </w:numPr>
      </w:pPr>
      <w:r>
        <w:rPr>
          <w:rFonts w:ascii="Arial" w:cs="Arial" w:eastAsia="Arial" w:hAnsi="Arial"/>
          <w:sz w:val="22"/>
          <w:szCs w:val="22"/>
        </w:rPr>
        <w:t xml:space="preserve">The subtract task exhibits two-attractor dynamics: Basin A (β* ≈ 5.0, K_out* ≈ 0.83) and Basin B (β* ≈ 15.2, K_out* ≈ 0.945), separated by a K_out = 0.83 threshold identified as a tricritical surface in the phi^4 effective potential.</w:t>
      </w:r>
    </w:p>
    <w:p>
      <w:pPr>
        <w:pStyle w:val="ListParagraph"/>
        <w:numPr>
          <w:ilvl w:val="0"/>
          <w:numId w:val="3"/>
        </w:numPr>
      </w:pPr>
      <w:r>
        <w:rPr>
          <w:rFonts w:ascii="Arial" w:cs="Arial" w:eastAsia="Arial" w:hAnsi="Arial"/>
          <w:sz w:val="22"/>
          <w:szCs w:val="22"/>
        </w:rPr>
        <w:t xml:space="preserve">Asymmetry scaffold persistence at the K_out = 0.83 threshold is a mechanistic predictor of basin assignment.</w:t>
      </w:r>
    </w:p>
    <w:p>
      <w:pPr>
        <w:pStyle w:val="ListParagraph"/>
        <w:numPr>
          <w:ilvl w:val="0"/>
          <w:numId w:val="3"/>
        </w:numPr>
      </w:pPr>
      <w:r>
        <w:rPr>
          <w:rFonts w:ascii="Arial" w:cs="Arial" w:eastAsia="Arial" w:hAnsi="Arial"/>
          <w:sz w:val="22"/>
          <w:szCs w:val="22"/>
        </w:rPr>
        <w:t xml:space="preserve">No post-initialization intervention shifts basin assignment (null results across four causal intervention designs, 144 runs).</w:t>
      </w:r>
    </w:p>
    <w:p>
      <w:pPr>
        <w:pStyle w:val="ListParagraph"/>
        <w:numPr>
          <w:ilvl w:val="0"/>
          <w:numId w:val="3"/>
        </w:numPr>
      </w:pPr>
      <w:r>
        <w:rPr>
          <w:rFonts w:ascii="Arial" w:cs="Arial" w:eastAsia="Arial" w:hAnsi="Arial"/>
          <w:sz w:val="22"/>
          <w:szCs w:val="22"/>
        </w:rPr>
        <w:t xml:space="preserve">Epoch-0 initialization geometry is identical across basins, ruling out static lottery ticket mechanisms. Basin divergence begins within ~25 gradient steps.</w:t>
      </w:r>
    </w:p>
    <w:p>
      <w:pPr>
        <w:pStyle w:val="ListParagraph"/>
        <w:numPr>
          <w:ilvl w:val="0"/>
          <w:numId w:val="3"/>
        </w:numPr>
      </w:pPr>
      <w:r>
        <w:rPr>
          <w:rFonts w:ascii="Arial" w:cs="Arial" w:eastAsia="Arial" w:hAnsi="Arial"/>
          <w:sz w:val="22"/>
          <w:szCs w:val="22"/>
        </w:rPr>
        <w:t xml:space="preserve">Initial attention asymmetry (asym@0) does not linearly predict β* (Pearson r = −0.044, p = 0.818, n=30).</w:t>
      </w:r>
    </w:p>
    <w:p>
      <w:pPr>
        <w:pStyle w:val="ListParagraph"/>
        <w:numPr>
          <w:ilvl w:val="0"/>
          <w:numId w:val="3"/>
        </w:numPr>
      </w:pPr>
      <w:r>
        <w:rPr>
          <w:rFonts w:ascii="Arial" w:cs="Arial" w:eastAsia="Arial" w:hAnsi="Arial"/>
          <w:sz w:val="22"/>
          <w:szCs w:val="22"/>
        </w:rPr>
        <w:t xml:space="preserve">Basin assignment is fully deterministic within a fixed execution environment: 72 runs produced zero basin flips, with β* reproducible to six decimal places.</w:t>
      </w:r>
    </w:p>
    <w:p>
      <w:pPr>
        <w:pStyle w:val="ListParagraph"/>
        <w:numPr>
          <w:ilvl w:val="0"/>
          <w:numId w:val="3"/>
        </w:numPr>
      </w:pPr>
      <w:r>
        <w:rPr>
          <w:rFonts w:ascii="Arial" w:cs="Arial" w:eastAsia="Arial" w:hAnsi="Arial"/>
          <w:sz w:val="22"/>
          <w:szCs w:val="22"/>
        </w:rPr>
        <w:t xml:space="preserve">Grokking coincides with a local T_eff minimum in all tested seeds (n=6). However, β·T_smooth does not converge to a basin-specific constant (falsified across n=6 seeds). β functions as an empirical inverse c-function analog for the grokking RG flow, not a literal inverse temperature.</w:t>
      </w:r>
    </w:p>
    <w:p>
      <w:pPr>
        <w:pStyle w:val="ListParagraph"/>
        <w:numPr>
          <w:ilvl w:val="0"/>
          <w:numId w:val="3"/>
        </w:numPr>
      </w:pPr>
      <w:r>
        <w:rPr>
          <w:rFonts w:ascii="Arial" w:cs="Arial" w:eastAsia="Arial" w:hAnsi="Arial"/>
          <w:sz w:val="22"/>
          <w:szCs w:val="22"/>
        </w:rPr>
        <w:t xml:space="preserve">β is not a reparameterization of any standard spectral probe (71 models). K_in and K_in_asym are independently uninformative about β after controlling for task. The K_out × K_in_asym cross-term has partial r = +0.16 after task control, below the detection threshold. The phi^4 single-field equation in K_out is complete for the tasks studied, grounded in the Wetterich LPA framework with WD-invariance as empirical scheme-independence.</w:t>
      </w:r>
    </w:p>
    <w:p>
      <w:pPr>
        <w:pStyle w:val="ListParagraph"/>
        <w:numPr>
          <w:ilvl w:val="0"/>
          <w:numId w:val="3"/>
        </w:numPr>
      </w:pPr>
      <w:r>
        <w:rPr>
          <w:rFonts w:ascii="Arial" w:cs="Arial" w:eastAsia="Arial" w:hAnsi="Arial"/>
          <w:sz w:val="22"/>
          <w:szCs w:val="22"/>
        </w:rPr>
        <w:t xml:space="preserve">Ternary-weight (BitNet-style) transformers converge to the same β* as float32 equivalents (|diff| = 0.025 ± 0.010 for multiply, 0.44σ of prior), grokking 1.3–1.6× faster. Weight quantization accelerates but does not redirect the RG flow. β* is architecture-invariant.</w:t>
      </w:r>
    </w:p>
    <w:p>
      <w:pPr>
        <w:pStyle w:val="ListParagraph"/>
        <w:numPr>
          <w:ilvl w:val="0"/>
          <w:numId w:val="3"/>
        </w:numPr>
      </w:pPr>
      <w:r>
        <w:rPr>
          <w:rFonts w:ascii="Arial" w:cs="Arial" w:eastAsia="Arial" w:hAnsi="Arial"/>
          <w:sz w:val="22"/>
          <w:szCs w:val="22"/>
        </w:rPr>
        <w:t xml:space="preserve">Across six task types, r(β*, active Fourier modes) = −0.85: β* is inversely correlated with mode count, measuring spectral compression cost rather than mode richness. r(β*, K_out) = +0.908 is the strongest single correlate. The task triple(a,b) = a+b+ab, despite nonlinear surface form, is detected as isomorphic to multiply via β*(triple) ≈ β*(multiply) (third isomorphism confirmation). Affine 2a+b mod p, lacking group structure, grokked 3–4× slower with intermediate β* ≈ 1.60.</w:t>
      </w:r>
    </w:p>
    <w:p>
      <w:pPr>
        <w:pStyle w:val="ListParagraph"/>
        <w:numPr>
          <w:ilvl w:val="0"/>
          <w:numId w:val="3"/>
        </w:numPr>
      </w:pPr>
      <w:r>
        <w:rPr>
          <w:rFonts w:ascii="Arial" w:cs="Arial" w:eastAsia="Arial" w:hAnsi="Arial"/>
          <w:sz w:val="22"/>
          <w:szCs w:val="22"/>
        </w:rPr>
        <w:t xml:space="preserve">Attention asymmetry β₂* = K_in_asym/K_in collapses to near-zero for commutative tasks (collapse ratio &lt; 0.10) and persists at β₂* ≈ 0.32–0.44 for non-commutative subtract. β₂* is a clean binary detector of algebraic commutativity but fails WD-invariance (|diff| WD=1.0 vs. WD=2.0 exceeds pooled σ). β* remains the sole WD-invariant fixed point.</w:t>
      </w:r>
    </w:p>
    <w:p>
      <w:pPr>
        <w:spacing w:before="0" w:after="80"/>
        <w:jc w:val="both"/>
      </w:pPr>
      <w:r>
        <w:rPr>
          <w:rFonts w:ascii="Arial" w:cs="Arial" w:eastAsia="Arial" w:hAnsi="Arial"/>
          <w:sz w:val="22"/>
          <w:szCs w:val="22"/>
        </w:rPr>
        <w:t xml:space="preserve">WHY²’s domain of applicability is constrained to tasks with discrete token inputs and structured attention routing. EEG motor imagery classification produces no grokking and no stable β* under either tested protocol (N=160 or N=40 per class). K_in collapses to maximum entropy (1/65) after memorization, revealing a probe mismatch: the K_in asymmetry requires architectures where attention encodes directional operand routing, not temporal pooling.</w:t>
      </w:r>
    </w:p>
    <w:p>
      <w:pPr>
        <w:spacing w:before="0" w:after="80"/>
        <w:jc w:val="both"/>
      </w:pPr>
      <w:r>
        <w:rPr>
          <w:rFonts w:ascii="Arial" w:cs="Arial" w:eastAsia="Arial" w:hAnsi="Arial"/>
          <w:sz w:val="22"/>
          <w:szCs w:val="22"/>
        </w:rPr>
        <w:t xml:space="preserve">19. Non-abelian group multiplication (D_4, D_6, D_8, Q_8) does not grok under the scalar WHY² probe across 36 seeds and 25,000 epochs. The scalar β trajectory is indistinguishable from the abelian case. The non-abelian barrier is structural: the scalar DFT basis is the abelian (dρ=1) sector of a more general representation-theoretic decomposition and cannot detect the activation of higher-dimensional irreps.</w:t>
      </w:r>
    </w:p>
    <w:p>
      <w:pPr>
        <w:spacing w:before="0" w:after="80"/>
        <w:jc w:val="both"/>
      </w:pPr>
      <w:r>
        <w:rPr>
          <w:rFonts w:ascii="Arial" w:cs="Arial" w:eastAsia="Arial" w:hAnsi="Arial"/>
          <w:sz w:val="22"/>
          <w:szCs w:val="22"/>
        </w:rPr>
        <w:t xml:space="preserve">The Peter–Weyl generalized probe detects non-abelian spectral structure invisible to the scalar probe: D_4 and Q_8 produce persistent β^PW = 1.0–3.4 vs. abelian baseline 0.5–1.1; the probe reduces exactly to the scalar formulation for abelian groups (|β^PW* − β_scalar*| &lt; 0.09); and β^PW(D_4) &gt; β^PW(Q_8) systematically across all seeds despite identical irrep dimensions, indicating that β^PW encodes subgroup lattice structure (D_4 has non-normal subgroups; Q_8 is Hamiltonian). Non-abelian grokking does not occur even at TRAIN_FRAC=0.8, 50,000 epochs: the RG flow for non-abelian multiplication has no accessible IR fixed point under the standard scalar attention mechanism.</w:t>
      </w:r>
    </w:p>
    <w:p>
      <w:pPr>
        <w:spacing w:before="60" w:after="60"/>
      </w:pPr>
      <w:r>
        <w:t xml:space="preserve"/>
      </w:r>
    </w:p>
    <w:p>
      <w:pPr>
        <w:spacing w:before="0" w:after="120"/>
        <w:jc w:val="both"/>
      </w:pPr>
      <w:r>
        <w:rPr>
          <w:rFonts w:ascii="Arial" w:cs="Arial" w:eastAsia="Arial" w:hAnsi="Arial"/>
          <w:sz w:val="22"/>
          <w:szCs w:val="22"/>
        </w:rPr>
        <w:t xml:space="preserve">The β ordering reflects the cost of broken algebraic symmetry in learned representations: commutative operations allow symmetric Fourier circuits with lower crystallization cost; non-commutative subtraction demands directed representation and higher β*. This is confirmed from two independent directions: β*(triple) ≈ β*(multiply) detects the hidden group isomorphism triple ≅ multiply without circuit inspection; and β₂* &gt; 0 persistently for subtract while β₂* → 0 for commutative tasks, encoding non-commutativity in the attention asymmetry dynamics. The WHY² equation’s equivalence to the Wetterich LPA fixed-point condition places these empirical results within a field-theoretic framework: β* is an empirical inverse c-function, WD-invariance is empirical scheme-independence, and the subtract basin structure signals proximity to a φ⁶ tricritical point. Architecture invariance (Result 15) establishes that β* is a property of the task, not the hardware encoding it. The Peter–Weyl generalization (Result 20) extends the framework beyond abelian groups: β^PW detects the activation of higher-dimensional irreps in non-abelian groups and reads subgroup lattice structure beyond representation dimensions alone. Together, these results open a path from computational measurements on simple transformers to the formal apparatus of renormalization group theory and finite group representation theory, and suggest β* and β^PW as candidate universal task complexity indices for any group-structured computational task.</w:t>
      </w:r>
    </w:p>
    <w:p>
      <w:pPr>
        <w:pStyle w:val="Heading1"/>
        <w:spacing w:before="360" w:after="180"/>
      </w:pPr>
      <w:r>
        <w:rPr>
          <w:rFonts w:ascii="Arial" w:cs="Arial" w:eastAsia="Arial" w:hAnsi="Arial"/>
          <w:b/>
          <w:bCs/>
          <w:sz w:val="32"/>
          <w:szCs w:val="32"/>
        </w:rPr>
        <w:t xml:space="preserve">References</w:t>
      </w:r>
    </w:p>
    <w:p>
      <w:pPr>
        <w:spacing w:before="0" w:after="120"/>
        <w:jc w:val="both"/>
      </w:pPr>
      <w:r>
        <w:rPr>
          <w:rFonts w:ascii="Arial" w:cs="Arial" w:eastAsia="Arial" w:hAnsi="Arial"/>
          <w:sz w:val="22"/>
          <w:szCs w:val="22"/>
        </w:rPr>
        <w:t xml:space="preserve">Power, A., Mosconi, Y., Misra, C., Lucas, J., &amp; Bahri, Y. (2022). Grokking: Generalization beyond overfitting on small algorithmic datasets. arXiv:2201.02177.</w:t>
      </w:r>
    </w:p>
    <w:p>
      <w:pPr>
        <w:spacing w:before="0" w:after="120"/>
        <w:jc w:val="both"/>
      </w:pPr>
      <w:r>
        <w:rPr>
          <w:rFonts w:ascii="Arial" w:cs="Arial" w:eastAsia="Arial" w:hAnsi="Arial"/>
          <w:sz w:val="22"/>
          <w:szCs w:val="22"/>
        </w:rPr>
        <w:t xml:space="preserve">Nanda, N., Chan, L., Lieberum, T., Smith, J., &amp; Steinhardt, J. (2023). Progress measures for grokking via mechanistic interpretability. ICLR 2023.</w:t>
      </w:r>
    </w:p>
    <w:p>
      <w:pPr>
        <w:spacing w:before="0" w:after="120"/>
        <w:jc w:val="both"/>
      </w:pPr>
      <w:r>
        <w:rPr>
          <w:rFonts w:ascii="Arial" w:cs="Arial" w:eastAsia="Arial" w:hAnsi="Arial"/>
          <w:sz w:val="22"/>
          <w:szCs w:val="22"/>
        </w:rPr>
        <w:t xml:space="preserve">Zhang, Y., et al. (2025). Grokking as computational glass relaxation. arXiv:2505.11411. NeurIPS 2025 (Spotlight).</w:t>
      </w:r>
    </w:p>
    <w:p>
      <w:pPr>
        <w:spacing w:before="0" w:after="120"/>
        <w:jc w:val="both"/>
      </w:pPr>
      <w:r>
        <w:rPr>
          <w:rFonts w:ascii="Arial" w:cs="Arial" w:eastAsia="Arial" w:hAnsi="Arial"/>
          <w:sz w:val="22"/>
          <w:szCs w:val="22"/>
        </w:rPr>
        <w:t xml:space="preserve">He, K., et al. (2026). Three-stage grokking and Fourier mode competition. arXiv:2602.16849.</w:t>
      </w:r>
    </w:p>
    <w:p>
      <w:pPr>
        <w:spacing w:before="0" w:after="120"/>
        <w:jc w:val="both"/>
      </w:pPr>
      <w:r>
        <w:rPr>
          <w:rFonts w:ascii="Arial" w:cs="Arial" w:eastAsia="Arial" w:hAnsi="Arial"/>
          <w:sz w:val="22"/>
          <w:szCs w:val="22"/>
        </w:rPr>
        <w:t xml:space="preserve">Cullen, E., et al. (2026). Grokking as a phase transition between competing near-zero-loss basins. arXiv:2603.01192.</w:t>
      </w:r>
    </w:p>
    <w:p>
      <w:pPr>
        <w:spacing w:before="0" w:after="120"/>
        <w:jc w:val="both"/>
      </w:pPr>
      <w:r>
        <w:rPr>
          <w:rFonts w:ascii="Arial" w:cs="Arial" w:eastAsia="Arial" w:hAnsi="Arial"/>
          <w:sz w:val="22"/>
          <w:szCs w:val="22"/>
        </w:rPr>
        <w:t xml:space="preserve">Xu, Y. (2026a). Early-Warning Signals of Grokking via Loss-Landscape Geometry. arXiv:2602.16967.</w:t>
      </w:r>
    </w:p>
    <w:p>
      <w:pPr>
        <w:spacing w:before="0" w:after="120"/>
        <w:jc w:val="both"/>
      </w:pPr>
      <w:r>
        <w:rPr>
          <w:rFonts w:ascii="Arial" w:cs="Arial" w:eastAsia="Arial" w:hAnsi="Arial"/>
          <w:sz w:val="22"/>
          <w:szCs w:val="22"/>
        </w:rPr>
        <w:t xml:space="preserve">Xu, Y. (2026b). Low-Dimensional and Transversely Curved Optimization Dynamics in Grokking. arXiv:2602.16746.</w:t>
      </w:r>
    </w:p>
    <w:p>
      <w:pPr>
        <w:spacing w:before="0" w:after="120"/>
        <w:jc w:val="both"/>
      </w:pPr>
      <w:r>
        <w:rPr>
          <w:rFonts w:ascii="Arial" w:cs="Arial" w:eastAsia="Arial" w:hAnsi="Arial"/>
          <w:sz w:val="22"/>
          <w:szCs w:val="22"/>
        </w:rPr>
        <w:t xml:space="preserve">Mallinar, N., et al. (2025). Grokking as the transition from lazy to rich training dynamics. ICML 2025.</w:t>
      </w:r>
    </w:p>
    <w:p>
      <w:pPr>
        <w:spacing w:before="0" w:after="120"/>
        <w:jc w:val="both"/>
      </w:pPr>
      <w:r>
        <w:rPr>
          <w:rFonts w:ascii="Arial" w:cs="Arial" w:eastAsia="Arial" w:hAnsi="Arial"/>
          <w:sz w:val="22"/>
          <w:szCs w:val="22"/>
        </w:rPr>
        <w:t xml:space="preserve">Kramers, H. A. (1940). Brownian motion in a field of force and the diffusion model of chemical reactions. Physica, 7(4), 284–304.</w:t>
      </w:r>
    </w:p>
    <w:p>
      <w:pPr>
        <w:spacing w:before="0" w:after="120"/>
        <w:jc w:val="both"/>
      </w:pPr>
      <w:r>
        <w:rPr>
          <w:rFonts w:ascii="Arial" w:cs="Arial" w:eastAsia="Arial" w:hAnsi="Arial"/>
          <w:sz w:val="22"/>
          <w:szCs w:val="22"/>
        </w:rPr>
        <w:t xml:space="preserve">Zamolodchikov, A. B. (1986). Irreversibility of the flux of the renormalization group in a 2D field theory. JETP Letters, 43(12), 730–732.</w:t>
      </w:r>
    </w:p>
    <w:p>
      <w:pPr>
        <w:spacing w:before="0" w:after="120"/>
        <w:jc w:val="both"/>
      </w:pPr>
      <w:r>
        <w:rPr>
          <w:rFonts w:ascii="Arial" w:cs="Arial" w:eastAsia="Arial" w:hAnsi="Arial"/>
          <w:sz w:val="22"/>
          <w:szCs w:val="22"/>
        </w:rPr>
        <w:t xml:space="preserve">Wetterich, C. (1993). Exact evolution equation for the effective potential. Physics Letters B, 301(1), 90–94.</w:t>
      </w:r>
    </w:p>
    <w:p>
      <w:pPr>
        <w:spacing w:before="0" w:after="120"/>
        <w:jc w:val="both"/>
      </w:pPr>
      <w:r>
        <w:rPr>
          <w:rFonts w:ascii="Arial" w:cs="Arial" w:eastAsia="Arial" w:hAnsi="Arial"/>
          <w:sz w:val="22"/>
          <w:szCs w:val="22"/>
        </w:rPr>
        <w:t xml:space="preserve">Erdmenger, J., et al. (2022). Entanglement entropy as a probe of the proximity effect in holographic superconductors. arXiv:2107.06898.</w:t>
      </w:r>
    </w:p>
    <w:p>
      <w:pPr>
        <w:spacing w:before="0" w:after="120"/>
        <w:jc w:val="both"/>
      </w:pPr>
      <w:r>
        <w:rPr>
          <w:rFonts w:ascii="Arial" w:cs="Arial" w:eastAsia="Arial" w:hAnsi="Arial"/>
          <w:sz w:val="22"/>
          <w:szCs w:val="22"/>
        </w:rPr>
        <w:t xml:space="preserve">Risken, H. (1989). The Fokker–Planck Equation: Methods of Solution and Applications. Springer, Berlin.</w:t>
      </w:r>
    </w:p>
    <w:p>
      <w:pPr>
        <w:spacing w:before="0" w:after="120"/>
        <w:jc w:val="both"/>
      </w:pPr>
      <w:r>
        <w:rPr>
          <w:rFonts w:ascii="Arial" w:cs="Arial" w:eastAsia="Arial" w:hAnsi="Arial"/>
          <w:sz w:val="22"/>
          <w:szCs w:val="22"/>
        </w:rPr>
        <w:t xml:space="preserve">Gardiner, C. W. (2004). Handbook of Stochastic Methods for Physics, Chemistry and the Natural Sciences (3rd ed.). Springer, Berlin.</w:t>
      </w:r>
    </w:p>
    <w:p>
      <w:pPr>
        <w:spacing w:before="0" w:after="120"/>
        <w:jc w:val="both"/>
      </w:pPr>
      <w:r>
        <w:rPr>
          <w:rFonts w:ascii="Arial" w:cs="Arial" w:eastAsia="Arial" w:hAnsi="Arial"/>
          <w:sz w:val="22"/>
          <w:szCs w:val="22"/>
        </w:rPr>
        <w:t xml:space="preserve">Smith, L. (2026). A Two-Axis Framework for Olfactory Categorization. Preprint [companion paper].</w:t>
      </w:r>
    </w:p>
    <w:p>
      <w:r>
        <w:br w:type="page"/>
      </w:r>
    </w:p>
    <w:p>
      <w:pPr>
        <w:pStyle w:val="Heading1"/>
        <w:spacing w:before="360" w:after="180"/>
      </w:pPr>
      <w:r>
        <w:rPr>
          <w:rFonts w:ascii="Arial" w:cs="Arial" w:eastAsia="Arial" w:hAnsi="Arial"/>
          <w:b/>
          <w:bCs/>
          <w:sz w:val="32"/>
          <w:szCs w:val="32"/>
        </w:rPr>
        <w:t xml:space="preserve">Appendix: Complete Seed-Level Data</w:t>
      </w:r>
    </w:p>
    <w:p>
      <w:pPr>
        <w:pStyle w:val="Heading2"/>
        <w:spacing w:before="240" w:after="120"/>
      </w:pPr>
      <w:r>
        <w:rPr>
          <w:rFonts w:ascii="Arial" w:cs="Arial" w:eastAsia="Arial" w:hAnsi="Arial"/>
          <w:b/>
          <w:bCs/>
          <w:sz w:val="26"/>
          <w:szCs w:val="26"/>
        </w:rPr>
        <w:t xml:space="preserve">A.1 β Velocity Experiment: Full Trajectories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00"/>
        <w:gridCol w:w="900"/>
        <w:gridCol w:w="900"/>
        <w:gridCol w:w="1000"/>
        <w:gridCol w:w="900"/>
        <w:gridCol w:w="1000"/>
        <w:gridCol w:w="780"/>
        <w:gridCol w:w="1180"/>
      </w:tblGrid>
      <w:tr>
        <w:tc>
          <w:tcPr>
            <w:tcW w:type="dxa" w:w="1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Task</w:t>
            </w:r>
          </w:p>
        </w:tc>
        <w:tc>
          <w:tcPr>
            <w:tcW w:type="dxa" w:w="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Seed</w:t>
            </w:r>
          </w:p>
        </w:tc>
        <w:tc>
          <w:tcPr>
            <w:tcW w:type="dxa" w:w="9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ep@grok</w:t>
            </w:r>
          </w:p>
        </w:tc>
        <w:tc>
          <w:tcPr>
            <w:tcW w:type="dxa" w:w="9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β@grok</w:t>
            </w:r>
          </w:p>
        </w:tc>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K_out@grok</w:t>
            </w:r>
          </w:p>
        </w:tc>
        <w:tc>
          <w:tcPr>
            <w:tcW w:type="dxa" w:w="9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asym@grok</w:t>
            </w:r>
          </w:p>
        </w:tc>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β* mean</w:t>
            </w:r>
          </w:p>
        </w:tc>
        <w:tc>
          <w:tcPr>
            <w:tcW w:type="dxa" w:w="7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β* std</w:t>
            </w:r>
          </w:p>
        </w:tc>
        <w:tc>
          <w:tcPr>
            <w:tcW w:type="dxa" w:w="11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K_out* final</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multiply</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3675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0.558</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0.142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0.001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0.718</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0.046</w:t>
            </w:r>
          </w:p>
        </w:tc>
        <w:tc>
          <w:tcPr>
            <w:tcW w:type="dxa" w:w="1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0.168</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multiply</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123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5250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0.617</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0.137</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0.004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(tracking)</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add</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4800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1.042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0.360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0.004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3.215</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0.389</w:t>
            </w:r>
          </w:p>
        </w:tc>
        <w:tc>
          <w:tcPr>
            <w:tcW w:type="dxa" w:w="1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0.713</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add</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123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3800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1.067</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0.344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3.651</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0.741</w:t>
            </w:r>
          </w:p>
        </w:tc>
        <w:tc>
          <w:tcPr>
            <w:tcW w:type="dxa" w:w="1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0.801</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add</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7</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5125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1.077</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0.400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0.005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3.639</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0.624</w:t>
            </w:r>
          </w:p>
        </w:tc>
        <w:tc>
          <w:tcPr>
            <w:tcW w:type="dxa" w:w="1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0.680</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subtract</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8050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1.347</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0.480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0.019</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15.237</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1.462</w:t>
            </w:r>
          </w:p>
        </w:tc>
        <w:tc>
          <w:tcPr>
            <w:tcW w:type="dxa" w:w="1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0.954</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subtract</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123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9225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1.415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0.490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0.042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4.955</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0.511</w:t>
            </w:r>
          </w:p>
        </w:tc>
        <w:tc>
          <w:tcPr>
            <w:tcW w:type="dxa" w:w="1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0.828</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subtract</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7</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10925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1.384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0.525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0.104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5.004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0.298</w:t>
            </w:r>
          </w:p>
        </w:tc>
        <w:tc>
          <w:tcPr>
            <w:tcW w:type="dxa" w:w="1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0.844</w:t>
            </w:r>
          </w:p>
        </w:tc>
      </w:tr>
    </w:tbl>
    <w:p>
      <w:pPr>
        <w:spacing w:before="60" w:after="180"/>
        <w:jc w:val="both"/>
      </w:pPr>
      <w:r>
        <w:rPr>
          <w:rFonts w:ascii="Arial" w:cs="Arial" w:eastAsia="Arial" w:hAnsi="Arial"/>
          <w:i/>
          <w:iCs/>
          <w:sz w:val="19"/>
          <w:szCs w:val="19"/>
        </w:rPr>
        <w:t xml:space="preserve">Table A1. Complete seed-level summary for β velocity experiment.</w:t>
      </w:r>
    </w:p>
    <w:p>
      <w:pPr>
        <w:pStyle w:val="Heading2"/>
        <w:spacing w:before="240" w:after="120"/>
      </w:pPr>
      <w:r>
        <w:rPr>
          <w:rFonts w:ascii="Arial" w:cs="Arial" w:eastAsia="Arial" w:hAnsi="Arial"/>
          <w:b/>
          <w:bCs/>
          <w:sz w:val="26"/>
          <w:szCs w:val="26"/>
        </w:rPr>
        <w:t xml:space="preserve">A.2 Subtract Two-Stage Crystallization (Seed 42)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040"/>
        <w:gridCol w:w="1040"/>
        <w:gridCol w:w="1040"/>
        <w:gridCol w:w="4680"/>
      </w:tblGrid>
      <w:tr>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Epoch</w:t>
            </w:r>
          </w:p>
        </w:tc>
        <w:tc>
          <w:tcPr>
            <w:tcW w:type="dxa" w:w="10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β</w:t>
            </w:r>
          </w:p>
        </w:tc>
        <w:tc>
          <w:tcPr>
            <w:tcW w:type="dxa" w:w="10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K_out</w:t>
            </w:r>
          </w:p>
        </w:tc>
        <w:tc>
          <w:tcPr>
            <w:tcW w:type="dxa" w:w="10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asym</w:t>
            </w:r>
          </w:p>
        </w:tc>
        <w:tc>
          <w:tcPr>
            <w:tcW w:type="dxa" w:w="46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Event</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8,050 (grok)</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1.347</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0.480</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0.019</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Entry — Stage 1 begins</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8,500</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2.461</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0.697</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0.052</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Asym rising</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9,500</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5.038</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0.825</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0.057</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Asym PEAK — Stage 1 complete</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10,000</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9.390</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0.916</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0.048</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Stage 2 IGNITION</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10,500</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12.876</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0.934</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0.006</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Asym dissolved — info transferred</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11,000</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16.015</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0.949</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0.013</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Basin B fixed point region</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18,000</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18.733</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0.954</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0.026</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Final (still drifting slightly)</w:t>
            </w:r>
          </w:p>
        </w:tc>
      </w:tr>
    </w:tbl>
    <w:p>
      <w:pPr>
        <w:spacing w:before="60" w:after="180"/>
        <w:jc w:val="both"/>
      </w:pPr>
      <w:r>
        <w:rPr>
          <w:rFonts w:ascii="Arial" w:cs="Arial" w:eastAsia="Arial" w:hAnsi="Arial"/>
          <w:i/>
          <w:iCs/>
          <w:sz w:val="19"/>
          <w:szCs w:val="19"/>
        </w:rPr>
        <w:t xml:space="preserve">Table A2. Two-stage crystallization detail for subtract seed 42.</w:t>
      </w:r>
    </w:p>
    <w:p>
      <w:pPr>
        <w:pStyle w:val="Heading2"/>
        <w:spacing w:before="240" w:after="120"/>
      </w:pPr>
      <w:r>
        <w:rPr>
          <w:rFonts w:ascii="Arial" w:cs="Arial" w:eastAsia="Arial" w:hAnsi="Arial"/>
          <w:b/>
          <w:bCs/>
          <w:sz w:val="26"/>
          <w:szCs w:val="26"/>
        </w:rPr>
        <w:t xml:space="preserve">A.3 T_eff Experiment Series: All Six Seeds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780"/>
        <w:gridCol w:w="1040"/>
        <w:gridCol w:w="1040"/>
        <w:gridCol w:w="1560"/>
        <w:gridCol w:w="1820"/>
        <w:gridCol w:w="780"/>
        <w:gridCol w:w="1300"/>
      </w:tblGrid>
      <w:tr>
        <w:tc>
          <w:tcPr>
            <w:tcW w:type="dxa" w:w="10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Seed</w:t>
            </w:r>
          </w:p>
        </w:tc>
        <w:tc>
          <w:tcPr>
            <w:tcW w:type="dxa" w:w="7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Basin</w:t>
            </w:r>
          </w:p>
        </w:tc>
        <w:tc>
          <w:tcPr>
            <w:tcW w:type="dxa" w:w="10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Grok ep</w:t>
            </w:r>
          </w:p>
        </w:tc>
        <w:tc>
          <w:tcPr>
            <w:tcW w:type="dxa" w:w="10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β_final</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T_eff min at grok?</w:t>
            </w:r>
          </w:p>
        </w:tc>
        <w:tc>
          <w:tcPr>
            <w:tcW w:type="dxa" w:w="18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β·T_smooth (clean)</w:t>
            </w:r>
          </w:p>
        </w:tc>
        <w:tc>
          <w:tcPr>
            <w:tcW w:type="dxa" w:w="7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CV</w:t>
            </w:r>
          </w:p>
        </w:tc>
        <w:tc>
          <w:tcPr>
            <w:tcW w:type="dxa" w:w="13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Total spikes</w:t>
            </w:r>
          </w:p>
        </w:tc>
      </w:tr>
      <w:tr>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s42</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~8050</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4.78</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 (v1)</w:t>
            </w:r>
          </w:p>
        </w:tc>
        <w:tc>
          <w:tcPr>
            <w:tcW w:type="dxa" w:w="18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0.878</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0.27</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low</w:t>
            </w:r>
          </w:p>
        </w:tc>
      </w:tr>
      <w:tr>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s31</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9725</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3.85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 (v1)</w:t>
            </w:r>
          </w:p>
        </w:tc>
        <w:tc>
          <w:tcPr>
            <w:tcW w:type="dxa" w:w="18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0.002</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0.81</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168</w:t>
            </w:r>
          </w:p>
        </w:tc>
      </w:tr>
      <w:tr>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s7</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~10925</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38.61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 (v1)</w:t>
            </w:r>
          </w:p>
        </w:tc>
        <w:tc>
          <w:tcPr>
            <w:tcW w:type="dxa" w:w="18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23.43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0.21</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low</w:t>
            </w:r>
          </w:p>
        </w:tc>
      </w:tr>
      <w:tr>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s17</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6525</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14.22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 (v3)</w:t>
            </w:r>
          </w:p>
        </w:tc>
        <w:tc>
          <w:tcPr>
            <w:tcW w:type="dxa" w:w="18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0.542</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0.60</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65</w:t>
            </w:r>
          </w:p>
        </w:tc>
      </w:tr>
      <w:tr>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s71</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12675</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10.04</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 (v3)</w:t>
            </w:r>
          </w:p>
        </w:tc>
        <w:tc>
          <w:tcPr>
            <w:tcW w:type="dxa" w:w="18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0.009</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0.30</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22</w:t>
            </w:r>
          </w:p>
        </w:tc>
      </w:tr>
      <w:tr>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s31 dense</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9725</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3.85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 (v3)</w:t>
            </w:r>
          </w:p>
        </w:tc>
        <w:tc>
          <w:tcPr>
            <w:tcW w:type="dxa" w:w="18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0.002</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0.81</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168</w:t>
            </w:r>
          </w:p>
        </w:tc>
      </w:tr>
    </w:tbl>
    <w:p>
      <w:pPr>
        <w:spacing w:before="60" w:after="180"/>
        <w:jc w:val="both"/>
      </w:pPr>
      <w:r>
        <w:rPr>
          <w:rFonts w:ascii="Arial" w:cs="Arial" w:eastAsia="Arial" w:hAnsi="Arial"/>
          <w:i/>
          <w:iCs/>
          <w:sz w:val="19"/>
          <w:szCs w:val="19"/>
        </w:rPr>
        <w:t xml:space="preserve">Table A3. T_eff experiment summary. T_eff minimum at grokking confirmed universally (Result 13). β·T_smooth does not converge to a basin-specific constant. *s17 and s71 assigned to Basin B in this Colab session.</w:t>
      </w:r>
    </w:p>
    <w:p>
      <w:pPr>
        <w:pStyle w:val="Heading2"/>
        <w:spacing w:before="240" w:after="120"/>
      </w:pPr>
      <w:r>
        <w:rPr>
          <w:rFonts w:ascii="Arial" w:cs="Arial" w:eastAsia="Arial" w:hAnsi="Arial"/>
          <w:b/>
          <w:bCs/>
          <w:sz w:val="26"/>
          <w:szCs w:val="26"/>
        </w:rPr>
        <w:t xml:space="preserve">A.4 Spectral Reparameterization Study: Per-Task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
        <w:gridCol w:w="1040"/>
        <w:gridCol w:w="1040"/>
        <w:gridCol w:w="1040"/>
        <w:gridCol w:w="2080"/>
        <w:gridCol w:w="1820"/>
      </w:tblGrid>
      <w:tr>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Task</w:t>
            </w:r>
          </w:p>
        </w:tc>
        <w:tc>
          <w:tcPr>
            <w:tcW w:type="dxa" w:w="7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n</w:t>
            </w:r>
          </w:p>
        </w:tc>
        <w:tc>
          <w:tcPr>
            <w:tcW w:type="dxa" w:w="10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β mean</w:t>
            </w:r>
          </w:p>
        </w:tc>
        <w:tc>
          <w:tcPr>
            <w:tcW w:type="dxa" w:w="10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β std</w:t>
            </w:r>
          </w:p>
        </w:tc>
        <w:tc>
          <w:tcPr>
            <w:tcW w:type="dxa" w:w="10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CV</w:t>
            </w:r>
          </w:p>
        </w:tc>
        <w:tc>
          <w:tcPr>
            <w:tcW w:type="dxa" w:w="20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WD-invariant?</w:t>
            </w:r>
          </w:p>
        </w:tc>
        <w:tc>
          <w:tcPr>
            <w:tcW w:type="dxa" w:w="18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K_in_asym mean</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multiply</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24</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0.685</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0.057</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0.083</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 (CV=9.9%)</w:t>
            </w:r>
          </w:p>
        </w:tc>
        <w:tc>
          <w:tcPr>
            <w:tcW w:type="dxa" w:w="18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0.00175</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add</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24</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2.802</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0.803</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0.287</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 (CV=18.7%)</w:t>
            </w:r>
          </w:p>
        </w:tc>
        <w:tc>
          <w:tcPr>
            <w:tcW w:type="dxa" w:w="18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0.00086</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subtract</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23</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4.213</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1.613</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0.383</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Partial (settle artifact)</w:t>
            </w:r>
          </w:p>
        </w:tc>
        <w:tc>
          <w:tcPr>
            <w:tcW w:type="dxa" w:w="18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0.02627</w:t>
            </w:r>
          </w:p>
        </w:tc>
      </w:tr>
    </w:tbl>
    <w:p>
      <w:pPr>
        <w:spacing w:before="60" w:after="180"/>
        <w:jc w:val="both"/>
      </w:pPr>
      <w:r>
        <w:rPr>
          <w:rFonts w:ascii="Arial" w:cs="Arial" w:eastAsia="Arial" w:hAnsi="Arial"/>
          <w:i/>
          <w:iCs/>
          <w:sz w:val="19"/>
          <w:szCs w:val="19"/>
        </w:rPr>
        <w:t xml:space="preserve">Table A4. Per-task β summary from 71-model reparameterization study. Subtract CV=38.3% is attributable to insufficient post-grok settle time (3,000 epochs vs recommended 8,000–10,000).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spacing w:after="80"/>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2026-03-12T02:54:17.756Z</dcterms:created>
  <dcterms:modified xsi:type="dcterms:W3CDTF">2026-03-12T02:54:17.757Z</dcterms:modified>
</cp:coreProperties>
</file>

<file path=docProps/custom.xml><?xml version="1.0" encoding="utf-8"?>
<Properties xmlns="http://schemas.openxmlformats.org/officeDocument/2006/custom-properties" xmlns:vt="http://schemas.openxmlformats.org/officeDocument/2006/docPropsVTypes"/>
</file>