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0B2C3" w14:textId="338F73EC" w:rsidR="00796C3D" w:rsidRDefault="00796C3D" w:rsidP="00A96411">
      <w:pPr>
        <w:spacing w:line="480" w:lineRule="auto"/>
        <w:jc w:val="center"/>
      </w:pPr>
    </w:p>
    <w:p w14:paraId="16C64BF4" w14:textId="77777777" w:rsidR="00796C3D" w:rsidRPr="00796C3D" w:rsidRDefault="00796C3D" w:rsidP="00796C3D"/>
    <w:p w14:paraId="0B5DA233" w14:textId="77777777" w:rsidR="00796C3D" w:rsidRPr="00796C3D" w:rsidRDefault="00796C3D" w:rsidP="00796C3D"/>
    <w:p w14:paraId="614BC5C9" w14:textId="77777777" w:rsidR="00796C3D" w:rsidRPr="00796C3D" w:rsidRDefault="00796C3D" w:rsidP="00796C3D"/>
    <w:p w14:paraId="2B20E7BE" w14:textId="77777777" w:rsidR="00796C3D" w:rsidRDefault="00796C3D" w:rsidP="00796C3D"/>
    <w:p w14:paraId="2768CFB0" w14:textId="77777777" w:rsidR="00585A08" w:rsidRDefault="00585A08" w:rsidP="00796C3D"/>
    <w:p w14:paraId="7AF462CF" w14:textId="77777777" w:rsidR="00585A08" w:rsidRDefault="00585A08" w:rsidP="00796C3D"/>
    <w:p w14:paraId="0C7F912B" w14:textId="77777777" w:rsidR="00585A08" w:rsidRDefault="00585A08" w:rsidP="00796C3D"/>
    <w:p w14:paraId="14F0DCBD" w14:textId="77777777" w:rsidR="00585A08" w:rsidRPr="00796C3D" w:rsidRDefault="00585A08" w:rsidP="00796C3D"/>
    <w:p w14:paraId="215EFA61" w14:textId="286722D1" w:rsidR="00796C3D" w:rsidRDefault="00796C3D" w:rsidP="00796C3D"/>
    <w:p w14:paraId="79C4B6DE" w14:textId="2D7FDFC0" w:rsidR="00796C3D" w:rsidRPr="00280913" w:rsidRDefault="00796C3D" w:rsidP="00796C3D">
      <w:pPr>
        <w:spacing w:line="480" w:lineRule="auto"/>
        <w:jc w:val="center"/>
      </w:pPr>
      <w:r>
        <w:tab/>
      </w:r>
      <w:r>
        <w:t xml:space="preserve">A Transdiagnostic Sleep and Circadian Intervention </w:t>
      </w:r>
      <w:r w:rsidR="00A05527">
        <w:t>for</w:t>
      </w:r>
      <w:r>
        <w:t xml:space="preserve"> </w:t>
      </w:r>
      <w:r w:rsidR="00067219">
        <w:t>Adolescents</w:t>
      </w:r>
      <w:r>
        <w:t>: 6-month Follow-up of a Randomized Controlled T</w:t>
      </w:r>
      <w:r w:rsidRPr="00280913">
        <w:t>rial</w:t>
      </w:r>
    </w:p>
    <w:p w14:paraId="17AF67A5" w14:textId="76A6D84B" w:rsidR="00796C3D" w:rsidRDefault="00796C3D" w:rsidP="00796C3D">
      <w:pPr>
        <w:tabs>
          <w:tab w:val="left" w:pos="3118"/>
        </w:tabs>
      </w:pPr>
    </w:p>
    <w:p w14:paraId="7A4986E7" w14:textId="77777777" w:rsidR="00796C3D" w:rsidRDefault="00796C3D" w:rsidP="00796C3D">
      <w:pPr>
        <w:tabs>
          <w:tab w:val="left" w:pos="3118"/>
        </w:tabs>
      </w:pPr>
    </w:p>
    <w:p w14:paraId="71C94659" w14:textId="77777777" w:rsidR="00796C3D" w:rsidRDefault="00796C3D" w:rsidP="00A469EA">
      <w:pPr>
        <w:tabs>
          <w:tab w:val="left" w:pos="3118"/>
        </w:tabs>
      </w:pPr>
    </w:p>
    <w:p w14:paraId="29FB9096" w14:textId="0DA2B5A8" w:rsidR="00A469EA" w:rsidRDefault="00A469EA" w:rsidP="00A469EA">
      <w:pPr>
        <w:widowControl w:val="0"/>
        <w:autoSpaceDE w:val="0"/>
        <w:autoSpaceDN w:val="0"/>
        <w:adjustRightInd w:val="0"/>
        <w:spacing w:line="480" w:lineRule="auto"/>
        <w:contextualSpacing/>
        <w:jc w:val="center"/>
        <w:outlineLvl w:val="0"/>
      </w:pPr>
      <w:r w:rsidRPr="00186BC1">
        <w:t xml:space="preserve">Lu Dong, </w:t>
      </w:r>
      <w:r>
        <w:t>Michael</w:t>
      </w:r>
      <w:r w:rsidR="00CB6E79">
        <w:t xml:space="preserve"> </w:t>
      </w:r>
      <w:r w:rsidR="00D5629C">
        <w:t xml:space="preserve">R. </w:t>
      </w:r>
      <w:r>
        <w:t>Dolsen,</w:t>
      </w:r>
      <w:r w:rsidRPr="00186BC1">
        <w:t xml:space="preserve"> Armando J. Martinez, </w:t>
      </w:r>
      <w:proofErr w:type="spellStart"/>
      <w:r w:rsidR="00003975">
        <w:t>Haruka</w:t>
      </w:r>
      <w:proofErr w:type="spellEnd"/>
      <w:r w:rsidR="00003975">
        <w:t xml:space="preserve"> </w:t>
      </w:r>
      <w:proofErr w:type="spellStart"/>
      <w:r w:rsidR="00003975">
        <w:t>Notsu</w:t>
      </w:r>
      <w:proofErr w:type="spellEnd"/>
      <w:r w:rsidR="00003975">
        <w:t xml:space="preserve">, </w:t>
      </w:r>
      <w:r w:rsidRPr="00186BC1">
        <w:t>Allison G. Harvey</w:t>
      </w:r>
      <w:r w:rsidR="005F101C">
        <w:t xml:space="preserve"> </w:t>
      </w:r>
      <w:r w:rsidR="005F101C" w:rsidRPr="005F101C">
        <w:rPr>
          <w:highlight w:val="yellow"/>
        </w:rPr>
        <w:t>[other authors?]</w:t>
      </w:r>
    </w:p>
    <w:p w14:paraId="32E69F03" w14:textId="77777777" w:rsidR="00A469EA" w:rsidRDefault="00A469EA" w:rsidP="00A469EA">
      <w:pPr>
        <w:widowControl w:val="0"/>
        <w:autoSpaceDE w:val="0"/>
        <w:autoSpaceDN w:val="0"/>
        <w:adjustRightInd w:val="0"/>
        <w:spacing w:line="480" w:lineRule="auto"/>
        <w:contextualSpacing/>
        <w:jc w:val="center"/>
      </w:pPr>
      <w:r>
        <w:t>Department of Psychology, University of California, Berkeley</w:t>
      </w:r>
    </w:p>
    <w:p w14:paraId="546F0BBB" w14:textId="77777777" w:rsidR="00A469EA" w:rsidRPr="00065E18" w:rsidRDefault="00A469EA" w:rsidP="00A469EA">
      <w:pPr>
        <w:pStyle w:val="Title"/>
        <w:outlineLvl w:val="0"/>
        <w:rPr>
          <w:rFonts w:ascii="Times New Roman" w:hAnsi="Times New Roman" w:cs="Times New Roman"/>
        </w:rPr>
      </w:pPr>
      <w:r w:rsidRPr="00065E18">
        <w:rPr>
          <w:rFonts w:ascii="Times New Roman" w:hAnsi="Times New Roman" w:cs="Times New Roman"/>
        </w:rPr>
        <w:t>Author Note</w:t>
      </w:r>
    </w:p>
    <w:p w14:paraId="4321F660" w14:textId="11DDB522" w:rsidR="00A469EA" w:rsidRDefault="00A469EA" w:rsidP="00A469EA">
      <w:pPr>
        <w:pStyle w:val="textbox"/>
        <w:shd w:val="clear" w:color="auto" w:fill="FFFFFF"/>
        <w:spacing w:before="0" w:beforeAutospacing="0" w:after="0" w:afterAutospacing="0" w:line="480" w:lineRule="auto"/>
        <w:contextualSpacing/>
      </w:pPr>
      <w:r w:rsidRPr="00CC5451">
        <w:rPr>
          <w:rFonts w:eastAsia="SimSun"/>
          <w:lang w:eastAsia="en-US"/>
        </w:rPr>
        <w:t xml:space="preserve">This research was supported by </w:t>
      </w:r>
      <w:r w:rsidRPr="004942A9">
        <w:rPr>
          <w:color w:val="222222"/>
          <w:shd w:val="clear" w:color="auto" w:fill="FFFFFF"/>
        </w:rPr>
        <w:t xml:space="preserve">National Institute of Child Health and Human </w:t>
      </w:r>
      <w:r w:rsidR="00DA5663" w:rsidRPr="004942A9">
        <w:rPr>
          <w:color w:val="222222"/>
          <w:shd w:val="clear" w:color="auto" w:fill="FFFFFF"/>
        </w:rPr>
        <w:t xml:space="preserve">Development </w:t>
      </w:r>
      <w:r w:rsidR="00DA5663" w:rsidRPr="00CC5451">
        <w:rPr>
          <w:rFonts w:eastAsia="SimSun"/>
          <w:lang w:eastAsia="en-US"/>
        </w:rPr>
        <w:t>R</w:t>
      </w:r>
      <w:r w:rsidRPr="00CC5451">
        <w:rPr>
          <w:rFonts w:eastAsia="SimSun"/>
          <w:lang w:eastAsia="en-US"/>
        </w:rPr>
        <w:t>01HD071065.</w:t>
      </w:r>
      <w:r>
        <w:rPr>
          <w:rFonts w:eastAsia="SimSun"/>
          <w:lang w:eastAsia="en-US"/>
        </w:rPr>
        <w:t xml:space="preserve"> </w:t>
      </w:r>
      <w:r w:rsidRPr="00824CFE">
        <w:rPr>
          <w:rFonts w:eastAsia="SimSun"/>
          <w:lang w:eastAsia="en-US"/>
        </w:rPr>
        <w:t>Clinical trial registration</w:t>
      </w:r>
      <w:r>
        <w:rPr>
          <w:rFonts w:eastAsia="SimSun"/>
          <w:lang w:eastAsia="en-US"/>
        </w:rPr>
        <w:t xml:space="preserve">: </w:t>
      </w:r>
      <w:r w:rsidRPr="00824CFE">
        <w:rPr>
          <w:rFonts w:eastAsia="SimSun"/>
          <w:lang w:eastAsia="en-US"/>
        </w:rPr>
        <w:t>NCT01828320</w:t>
      </w:r>
      <w:r>
        <w:rPr>
          <w:rFonts w:eastAsia="SimSun"/>
          <w:lang w:eastAsia="en-US"/>
        </w:rPr>
        <w:t xml:space="preserve"> </w:t>
      </w:r>
      <w:r w:rsidRPr="00824CFE">
        <w:rPr>
          <w:rFonts w:eastAsia="SimSun"/>
          <w:lang w:eastAsia="en-US"/>
        </w:rPr>
        <w:t>(https://clinicaltrials.gov/show/NCT01828320</w:t>
      </w:r>
      <w:r>
        <w:rPr>
          <w:rFonts w:eastAsia="SimSun"/>
          <w:lang w:eastAsia="en-US"/>
        </w:rPr>
        <w:t>)</w:t>
      </w:r>
      <w:r w:rsidRPr="00824CFE">
        <w:rPr>
          <w:rFonts w:eastAsia="SimSun"/>
          <w:lang w:eastAsia="en-US"/>
        </w:rPr>
        <w:t xml:space="preserve">. </w:t>
      </w:r>
      <w:r w:rsidRPr="00C92746">
        <w:rPr>
          <w:rFonts w:eastAsia="SimSun"/>
          <w:lang w:eastAsia="en-US"/>
        </w:rPr>
        <w:t>The authors declared no conflicts of interest.</w:t>
      </w:r>
      <w:r>
        <w:rPr>
          <w:rFonts w:eastAsia="SimSun"/>
          <w:lang w:eastAsia="en-US"/>
        </w:rPr>
        <w:t xml:space="preserve"> </w:t>
      </w:r>
      <w:r w:rsidRPr="00824CFE">
        <w:rPr>
          <w:rFonts w:eastAsia="SimSun"/>
          <w:lang w:eastAsia="en-US"/>
        </w:rPr>
        <w:t>Correspondence concerning this</w:t>
      </w:r>
      <w:r w:rsidRPr="00CC5451">
        <w:t xml:space="preserve"> article should be addressed to Allison G. Harvey, University of California, Berkeley, Department of Psychology, </w:t>
      </w:r>
      <w:r>
        <w:t>2121 Berkeley Way</w:t>
      </w:r>
      <w:r w:rsidRPr="00CC5451">
        <w:t>,</w:t>
      </w:r>
      <w:r w:rsidRPr="00A44255">
        <w:t xml:space="preserve"> Berkeley, CA 94720-1650. Email: aharvey@berkeley.edu</w:t>
      </w:r>
    </w:p>
    <w:p w14:paraId="5D716E13" w14:textId="43D8FE76" w:rsidR="00796C3D" w:rsidRPr="00796C3D" w:rsidRDefault="00796C3D" w:rsidP="00796C3D">
      <w:pPr>
        <w:tabs>
          <w:tab w:val="left" w:pos="3118"/>
        </w:tabs>
        <w:sectPr w:rsidR="00796C3D" w:rsidRPr="00796C3D" w:rsidSect="00585A08">
          <w:headerReference w:type="even" r:id="rId8"/>
          <w:headerReference w:type="default" r:id="rId9"/>
          <w:headerReference w:type="first" r:id="rId10"/>
          <w:pgSz w:w="12240" w:h="15840"/>
          <w:pgMar w:top="1440" w:right="1440" w:bottom="1440" w:left="1440" w:header="720" w:footer="720" w:gutter="0"/>
          <w:cols w:space="720"/>
          <w:titlePg/>
          <w:docGrid w:linePitch="360"/>
        </w:sectPr>
      </w:pPr>
    </w:p>
    <w:p w14:paraId="1CADF324" w14:textId="6B4DB573" w:rsidR="00A96411" w:rsidRPr="00280913" w:rsidRDefault="00280913" w:rsidP="00A96411">
      <w:pPr>
        <w:spacing w:line="480" w:lineRule="auto"/>
        <w:jc w:val="center"/>
      </w:pPr>
      <w:r>
        <w:lastRenderedPageBreak/>
        <w:t xml:space="preserve">A Transdiagnostic Sleep and Circadian Intervention </w:t>
      </w:r>
      <w:r w:rsidR="001F384E">
        <w:t>for</w:t>
      </w:r>
      <w:r w:rsidR="00FD55B0">
        <w:t xml:space="preserve"> </w:t>
      </w:r>
      <w:r w:rsidR="00424499">
        <w:t>Adolescents</w:t>
      </w:r>
      <w:r>
        <w:t>: 6-month Follow-up of a Randomized Controlled T</w:t>
      </w:r>
      <w:r w:rsidR="00A96411" w:rsidRPr="00280913">
        <w:t>rial</w:t>
      </w:r>
    </w:p>
    <w:p w14:paraId="2B7F7CF3" w14:textId="205130F9" w:rsidR="005A2DAA" w:rsidRDefault="00B11EB9" w:rsidP="005A2DAA">
      <w:pPr>
        <w:spacing w:line="480" w:lineRule="auto"/>
        <w:ind w:firstLine="720"/>
      </w:pPr>
      <w:r>
        <w:t>Eveningness increases</w:t>
      </w:r>
      <w:r w:rsidR="006F0FB9" w:rsidRPr="00292779">
        <w:t xml:space="preserve"> </w:t>
      </w:r>
      <w:r w:rsidR="0063500B">
        <w:t xml:space="preserve">and peaks </w:t>
      </w:r>
      <w:r w:rsidR="006F0FB9" w:rsidRPr="00292779">
        <w:t>during adolesce</w:t>
      </w:r>
      <w:r w:rsidR="00AF1657">
        <w:t>nce</w:t>
      </w:r>
      <w:r w:rsidR="0063500B">
        <w:t xml:space="preserve"> </w:t>
      </w:r>
      <w:r w:rsidR="00812CF7">
        <w:t xml:space="preserve">and remains stable until early adulthood </w:t>
      </w:r>
      <w:r w:rsidR="0063500B">
        <w:fldChar w:fldCharType="begin" w:fldLock="1"/>
      </w:r>
      <w:r w:rsidR="00960999">
        <w:instrText>ADDIN CSL_CITATION {"citationItems":[{"id":"ITEM-1","itemData":{"DOI":"10.1016/j.cub.2004.11.039","ISBN":"0960-9822","ISSN":"09609822","PMID":"15620633","abstract":"Between childhood and adulthood, we go through puberty and adolescence. While the end of puberty is defined as the point of cessation of bone growth (epiphyseal closure; girls: 16 y; boys: 17.5 y), the end of adolescence (</w:instrText>
      </w:r>
      <w:r w:rsidR="00960999">
        <w:rPr>
          <w:rFonts w:ascii="Cambria Math" w:hAnsi="Cambria Math" w:cs="Cambria Math"/>
        </w:rPr>
        <w:instrText>∼</w:instrText>
      </w:r>
      <w:r w:rsidR="00960999">
        <w:instrText>19 y) is defined less clearly, by a mixture of physical, psychological, social, and mental measures [1]. One conspicuous property of adolescence is the apparently unsaturable capacity to stay up late and to sleep in. Investigating ‘chronotypes’ we observed an abrupt change in the timing of sleep at around the age of 20 and propose this change as the first biological marker of the end of adolescence.","author":[{"dropping-particle":"","family":"Roenneberg","given":"Till","non-dropping-particle":"","parse-names":false,"suffix":""},{"dropping-particle":"","family":"Kuehnle","given":"Tim","non-dropping-particle":"","parse-names":false,"suffix":""},{"dropping-particle":"","family":"Pramstaller","given":"Peter P.","non-dropping-particle":"","parse-names":false,"suffix":""},{"dropping-particle":"","family":"Ricken","given":"Jan","non-dropping-particle":"","parse-names":false,"suffix":""},{"dropping-particle":"","family":"Havel","given":"Miriam","non-dropping-particle":"","parse-names":false,"suffix":""},{"dropping-particle":"","family":"Guth","given":"Angelika","non-dropping-particle":"","parse-names":false,"suffix":""},{"dropping-particle":"","family":"Merrow","given":"Martha","non-dropping-particle":"","parse-names":false,"suffix":""}],"container-title":"Current Biology","id":"ITEM-1","issue":"24","issued":{"date-parts":[["2004","12"]]},"page":"R1038-R1039","title":"A marker for the end of adolescence","type":"article-journal","volume":"14"},"uris":["http://www.mendeley.com/documents/?uuid=c27fe198-b56c-48be-b44a-6b9186cf2cf3"]},{"id":"ITEM-2","itemData":{"DOI":"10.1080/00221325.2010.535225","ISBN":"15283518","ISSN":"00221325","PMID":"21902008","abstract":"Morningness-eveningness was assessed in a large sample of adolescents and young adults. Morningness decreased from 12 to 15 years, and then remained on a stable level until about 20 years, when a turn back to morningness occurred. Boys and men were on average more evening-oriented than were girls and women. In detail, significant differences existed at the ages of 16, 18, and 19 years. A quadratic function explained more variance than a linear regression. Composite Scale of Morningness scores are related to puberty scores in boys and girls, and when combining data (i.e., higher pubertal development was related to eveningness).","author":[{"dropping-particle":"","family":"Randler","given":"Christoph","non-dropping-particle":"","parse-names":false,"suffix":""}],"container-title":"Journal of Genetic Psychology","id":"ITEM-2","issue":"3","issued":{"date-parts":[["2011"]]},"page":"302-308","title":"Age and gender differences in morningness-eveningness during adolescence","type":"article-journal","volume":"172"},"uris":["http://www.mendeley.com/documents/?uuid=1deeece4-0226-42f3-be7f-e195718a1e8b"]}],"mendeley":{"formattedCitation":"(Randler, 2011; Roenneberg et al., 2004)","plainTextFormattedCitation":"(Randler, 2011; Roenneberg et al., 2004)","previouslyFormattedCitation":"(Randler, 2011; Roenneberg et al., 2004)"},"properties":{"noteIndex":0},"schema":"https://github.com/citation-style-language/schema/raw/master/csl-citation.json"}</w:instrText>
      </w:r>
      <w:r w:rsidR="0063500B">
        <w:fldChar w:fldCharType="separate"/>
      </w:r>
      <w:r w:rsidR="00F61978" w:rsidRPr="00F61978">
        <w:rPr>
          <w:noProof/>
        </w:rPr>
        <w:t>(Randler, 2011; Roenneberg et al., 2004)</w:t>
      </w:r>
      <w:r w:rsidR="0063500B">
        <w:fldChar w:fldCharType="end"/>
      </w:r>
      <w:r w:rsidR="00932C5C" w:rsidRPr="00292779">
        <w:t xml:space="preserve">. </w:t>
      </w:r>
      <w:r w:rsidR="008C7E71">
        <w:t xml:space="preserve">Adolescents </w:t>
      </w:r>
      <w:r w:rsidR="00953F5B">
        <w:t>who exhibit</w:t>
      </w:r>
      <w:r w:rsidR="008C7E71">
        <w:t xml:space="preserve"> evening circadian chronotype</w:t>
      </w:r>
      <w:r w:rsidR="00652392">
        <w:t xml:space="preserve">, </w:t>
      </w:r>
      <w:r w:rsidR="00093EF5">
        <w:t>compared</w:t>
      </w:r>
      <w:r w:rsidR="00652392">
        <w:t xml:space="preserve"> to those with morning circadian chronotype,</w:t>
      </w:r>
      <w:r w:rsidR="00055918">
        <w:t xml:space="preserve"> follow</w:t>
      </w:r>
      <w:r w:rsidR="008C7E71">
        <w:t xml:space="preserve"> a delayed sleep schedule, with later bedtime </w:t>
      </w:r>
      <w:r w:rsidR="00D72E5D">
        <w:t xml:space="preserve">and wakeup time </w:t>
      </w:r>
      <w:r w:rsidR="005B03DF">
        <w:t>and increased</w:t>
      </w:r>
      <w:r w:rsidR="008C7E71">
        <w:t xml:space="preserve"> activities later in the day. </w:t>
      </w:r>
      <w:r w:rsidR="002F68C3">
        <w:t>Eveningness has been associated with greater sleep prob</w:t>
      </w:r>
      <w:r w:rsidR="008560B4">
        <w:t>lems in adolescents, most notably sleep deprivation</w:t>
      </w:r>
      <w:r w:rsidR="00745339">
        <w:t xml:space="preserve"> and </w:t>
      </w:r>
      <w:r w:rsidR="00C31FE5">
        <w:t xml:space="preserve">greater </w:t>
      </w:r>
      <w:r w:rsidR="00745339">
        <w:t>week</w:t>
      </w:r>
      <w:r w:rsidR="00937C2D">
        <w:t>day-weekend variability in sleep</w:t>
      </w:r>
      <w:r w:rsidR="00C006DF">
        <w:t xml:space="preserve"> or “social jetlag”</w:t>
      </w:r>
      <w:r w:rsidR="00E47E49">
        <w:t xml:space="preserve"> </w:t>
      </w:r>
      <w:r w:rsidR="00E47E49">
        <w:fldChar w:fldCharType="begin" w:fldLock="1"/>
      </w:r>
      <w:r w:rsidR="00A33BAE">
        <w:instrText>ADDIN CSL_CITATION {"citationItems":[{"id":"ITEM-1","itemData":{"DOI":"10.1080/07420520500545979","ISSN":"0742-0528","PMID":"16687322","abstract":"Humans show large differences in the preferred timing of their sleep and activity. This so-called \"chronotype\" is largely regulated by the circadian clock. Both genetic variations in clock genes and environmental influences contribute to the distribution of chronotypes in a given population, ranging from extreme early types to extreme late types with the majority falling between these extremes. Social (e.g., school and work) schedules interfere considerably with individual sleep preferences in the majority of the population. Late chronotypes show the largest differences in sleep timing between work and free days leading to a considerable sleep debt on work days, for which they compensate on free days. The discrepancy between work and free days, between social and biological time, can be described as 'social jetlag.' Here, we explore how sleep quality and psychological wellbeing are associated with individual chronotype and/or social jetlag. A total of 501 volunteers filled out the Munich ChronoType Questionnaire (MCTQ) as well as additional questionnaires on: (i) sleep quality (SF-A), (ii) current psychological wellbeing (Basler Befindlichkeitsbogen), (iii) retrospective psychological wellbeing over the past week (POMS), and (iv) consumption of stimulants (e.g., caffeine, nicotine, and alcohol). Associations of chronotype, wellbeing, and stimulant consumption are strongest in teenagers and young adults up to age 25 yrs. The most striking correlation exists between chronotype and smoking, which is significantly higher in late chronotypes of all ages (except for those in retirement). We show these correlations are most probably a consequence of social jetlag, i.e., the discrepancies between social and biological timing rather than a simple association to different chronotypes. Our results strongly suggest that work (and school) schedules should be adapted to chronotype whenever possible.","author":[{"dropping-particle":"","family":"Wittmann","given":"Marc","non-dropping-particle":"","parse-names":false,"suffix":""},{"dropping-particle":"","family":"Dinich","given":"Jenny","non-dropping-particle":"","parse-names":false,"suffix":""},{"dropping-particle":"","family":"Merrow","given":"Martha","non-dropping-particle":"","parse-names":false,"suffix":""},{"dropping-particle":"","family":"Roenneberg","given":"Till","non-dropping-particle":"","parse-names":false,"suffix":""}],"container-title":"Chronobiology International","id":"ITEM-1","issue":"1-2","issued":{"date-parts":[["2006","1","7"]]},"page":"497-509","title":"Social Jetlag: Misalignment of Biological and Social Time","type":"article-journal","volume":"23"},"uris":["http://www.mendeley.com/documents/?uuid=11053373-0f73-4e89-bf37-a049ae8cc2a8"]},{"id":"ITEM-2","itemData":{"DOI":"10.1016/j.sleep.2006.12.002","ISBN":"1389-9457 (Print)","ISSN":"13899457","PMID":"17383934","abstract":"Sleep/wake timing shifts later in young humans during the second decade of life. In this review we describe sleep/wake patterns, changes in these patterns across adolescence, and evidence for the role of environmental, psychosocial, and biological factors underlying these changes. A two-process model incorporating circadian (Process C) and sleep/wake homeostatic (Process S) components is outlined. This model may help us to understand how developmental changes translate to shifted sleep/wake patterns. Delayed sleep phase syndrome (DSPS), which has a typical onset during the second decade of life, may be an extreme manifestation of homeostatic and circadian changes in adolescence. We describe symptoms, prevalence, and possible etiology of DSPS, as well as treatment approaches in adolescents. ?? 2006 Elsevier B.V. All rights reserved.","author":[{"dropping-particle":"","family":"Crowley","given":"Stephanie J.","non-dropping-particle":"","parse-names":false,"suffix":""},{"dropping-particle":"","family":"Acebo","given":"Christine","non-dropping-particle":"","parse-names":false,"suffix":""},{"dropping-particle":"","family":"Carskadon","given":"Mary A.","non-dropping-particle":"","parse-names":false,"suffix":""}],"container-title":"Sleep Medicine","id":"ITEM-2","issue":"6","issued":{"date-parts":[["2007"]]},"page":"602-612","title":"Sleep, circadian rhythms, and delayed phase in adolescence","type":"article-journal","volume":"8"},"uris":["http://www.mendeley.com/documents/?uuid=8848fe08-465b-4e40-9617-8d009d08d82a"]},{"id":"ITEM-3","itemData":{"DOI":"10.5664/jcsm.3272","ISBN":"6416868385","ISSN":"15509389","PMID":"24340291","abstract":"STUDY OBJECTIVES: To describe the technology use and sleep quality of Americans, and the unique association between technology use and sleep disturbances.\\n\\nMETHODS: Interviews were conducted via random digit dialing (N = 750) or the Internet (N = 758). 1,508 Americans (13-64 years old, 50% males) matched to 2009 U.S. Census data provided complete interviews. The sample was further divided into adolescents (13-18 years, N = 171), young adults (19-29 years, N = 293), middle-aged adults (30-45 years, N = 469), and older adults (46-64 years, N = 565) to contrast different generations' technology use. Participants answered a 47-item semi-structured survey, including questions about their sleep habits, and the presence and use of technology in the hour before bed in the past 2 weeks.\\n\\nRESULTS: Nine of 10 Americans reported using a technological device in the hour before bed (e.g., TVs the most popular; 60%). However, those under 30 years of age were more likely to use cell phones (72% of adolescents, 67% of young adults) than those over 30 years (36% of middle-aged, and 16% of older adults). Young adults' sleep patterns were significantly later than other age groups on both weekdays and weekend nights. Unlike passive technological devices (e.g., TV, mp3 music players), the more interactive technological devices (i.e., computers/laptops, cell phones, video game consoles) used in the hour before bed, the more likely difficulties falling asleep (β = 9.4, p &lt; 0.0001) and unrefreshing sleep (β = 6.4, p &lt; 0.04) were reported.\\n\\nCONCLUSIONS: Technology use near bedtime is extremely prevalent in the United States. Among a range of technologies, interactive technological devices are most strongly associated with sleep complaints.","author":[{"dropping-particle":"","family":"Gradisar","given":"Michael","non-dropping-particle":"","parse-names":false,"suffix":""},{"dropping-particle":"","family":"Wolfson","given":"Amy R.","non-dropping-particle":"","parse-names":false,"suffix":""},{"dropping-particle":"","family":"Harvey","given":"Allison G.","non-dropping-particle":"","parse-names":false,"suffix":""},{"dropping-particle":"","family":"Hale","given":"Lauren","non-dropping-particle":"","parse-names":false,"suffix":""},{"dropping-particle":"","family":"Rosenberg","given":"Russell","non-dropping-particle":"","parse-names":false,"suffix":""},{"dropping-particle":"","family":"Czeisler","given":"Charles A.","non-dropping-particle":"","parse-names":false,"suffix":""}],"container-title":"Journal of Clinical Sleep Medicine","id":"ITEM-3","issue":"12","issued":{"date-parts":[["2013"]]},"page":"1291-1299","title":"The sleep and technology use of Americans: Findings from the National Sleep Foundation's 2011 sleep in America poll","type":"article-journal","volume":"9"},"uris":["http://www.mendeley.com/documents/?uuid=b7c8f868-3e00-43f0-9280-3d84f305d6dc"]}],"mendeley":{"formattedCitation":"(Crowley, Acebo, &amp; Carskadon, 2007; Gradisar et al., 2013; Wittmann, Dinich, Merrow, &amp; Roenneberg, 2006)","plainTextFormattedCitation":"(Crowley, Acebo, &amp; Carskadon, 2007; Gradisar et al., 2013; Wittmann, Dinich, Merrow, &amp; Roenneberg, 2006)","previouslyFormattedCitation":"(Crowley, Acebo, &amp; Carskadon, 2007; Gradisar et al., 2013; Wittmann, Dinich, Merrow, &amp; Roenneberg, 2006)"},"properties":{"noteIndex":0},"schema":"https://github.com/citation-style-language/schema/raw/master/csl-citation.json"}</w:instrText>
      </w:r>
      <w:r w:rsidR="00E47E49">
        <w:fldChar w:fldCharType="separate"/>
      </w:r>
      <w:r w:rsidR="00937C2D" w:rsidRPr="00937C2D">
        <w:rPr>
          <w:noProof/>
        </w:rPr>
        <w:t>(Crowley, Acebo, &amp; Carskadon, 2007; Gradisar et al., 2013; Wittmann, Dinich, Merrow, &amp; Roenneberg, 2006)</w:t>
      </w:r>
      <w:r w:rsidR="00E47E49">
        <w:fldChar w:fldCharType="end"/>
      </w:r>
      <w:r w:rsidR="00BF5736">
        <w:t xml:space="preserve">, as well as </w:t>
      </w:r>
      <w:r w:rsidR="002F68C3">
        <w:t>a wide range of psychological and physical problems</w:t>
      </w:r>
      <w:r w:rsidR="00A86D7D" w:rsidRPr="00A86D7D">
        <w:t xml:space="preserve"> </w:t>
      </w:r>
      <w:r w:rsidR="00A86D7D">
        <w:t>in adolescents</w:t>
      </w:r>
      <w:r w:rsidR="002F68C3">
        <w:t xml:space="preserve">, </w:t>
      </w:r>
      <w:r w:rsidR="00F41510">
        <w:t>including depression, anxiety</w:t>
      </w:r>
      <w:r w:rsidR="00B83EBA">
        <w:t xml:space="preserve">, substance use, </w:t>
      </w:r>
      <w:r w:rsidR="00A86D7D">
        <w:t xml:space="preserve">and </w:t>
      </w:r>
      <w:r w:rsidR="009E2AAA">
        <w:t>lack of physical exercise</w:t>
      </w:r>
      <w:r w:rsidR="00E47E49">
        <w:t xml:space="preserve"> </w:t>
      </w:r>
      <w:r w:rsidR="00E47E49">
        <w:fldChar w:fldCharType="begin" w:fldLock="1"/>
      </w:r>
      <w:r w:rsidR="002A300E">
        <w:instrText>ADDIN CSL_CITATION {"citationItems":[{"id":"ITEM-1","itemData":{"DOI":"10.3109/07420528.2012.719971","ISBN":"1525-6073 (Electronic)\\n0742-0528 (Linking)","ISSN":"0742-0528","PMID":"23004349","author":[{"dropping-particle":"","family":"Adan","given":"Ana","non-dropping-particle":"","parse-names":false,"suffix":""},{"dropping-particle":"","family":"Archer","given":"Simon N.","non-dropping-particle":"","parse-names":false,"suffix":""},{"dropping-particle":"","family":"Hidalgo","given":"Maria Paz","non-dropping-particle":"","parse-names":false,"suffix":""},{"dropping-particle":"","family":"Milia","given":"Lee","non-dropping-particle":"Di","parse-names":false,"suffix":""},{"dropping-particle":"","family":"Natale","given":"Vincenzo","non-dropping-particle":"","parse-names":false,"suffix":""},{"dropping-particle":"","family":"Randler","given":"Christoph","non-dropping-particle":"","parse-names":false,"suffix":""}],"container-title":"Chronobiology International","id":"ITEM-1","issue":"9","issued":{"date-parts":[["2012"]]},"page":"1153-1175","title":"Circadian Typology: A Comprehensive Review","type":"article-journal","volume":"29"},"uris":["http://www.mendeley.com/documents/?uuid=0d689f8e-a118-47c7-a442-1279796912be"]},{"id":"ITEM-2","itemData":{"DOI":"10.3109/07420528.2013.829846","ISBN":"1525-6073 (Electronic)\\r0742-0528 (Linking)","ISSN":"1525-6073","PMID":"24147657","abstract":"Eveningness has been found to negatively affect adolescents' sleep and daytime functioning. Furthermore, eveningness is associated with greater impulsivity than morningness. Externalizing behavior could be chronotype-related, implying that the alteration of the circadian rhythm itself is connected to aspects of emotion and emotion regulation. The present study investigated chronotype-related differences in emotional and behavioral problems, especially aggression and antisocial behavior in children and adolescents. We conducted a comprehensive search via web of knowledge (MEDLINE, web of science), EBSCO, Ovid, PubMed, Google Scholar and PsycINDEX using the keywords: chronotype, chronobiology, morningness, eveningness, owls and larks as well as diurnal preference to fully capture every aspect of chronotype. For aggression we used the search terms: aggression, anger, hostility, violence, anti-social behavior, conduct disorder, oppositional defiant disorder, delinquency, social adjustment and externalizing behavior. N = 13 studies were included concerning chronotype, childhood, adolescence and antisocial behavior. Results showed that children and adolescents being E-types were more affected by daytime impairments. Additionally, behavioral and emotional problems as aggression or antisocial behavior were more pronounced in E- than in M-types. Our findings support an association of eveningness and the impact of aggression on children and adolescents. Longitudinal investigations should be conducted in order to insure causality of the effects in question. In addition, the elevated vulnerability toward aggression in evening types demonstrates the need for prevention and intervention programs that educate youths in proper sleep hygiene and evoke an awareness of the consequences of a habitually diminished sleep quality.","author":[{"dropping-particle":"","family":"Schlarb","given":"Angelika a","non-dropping-particle":"","parse-names":false,"suffix":""},{"dropping-particle":"","family":"Sopp","given":"Roxanne","non-dropping-particle":"","parse-names":false,"suffix":""},{"dropping-particle":"","family":"Ambiel","given":"David","non-dropping-particle":"","parse-names":false,"suffix":""},{"dropping-particle":"","family":"Grünwald","given":"Julia","non-dropping-particle":"","parse-names":false,"suffix":""}],"container-title":"Chronobiology international","id":"ITEM-2","issue":"1","issued":{"date-parts":[["2014"]]},"page":"1-16","title":"Chronotype-related differences in childhood and adolescent aggression and antisocial behavior--a review of the literature.","type":"article-journal","volume":"31"},"uris":["http://www.mendeley.com/documents/?uuid=7bab2087-3ea4-48e5-b7e7-d31649048708"]},{"id":"ITEM-3","itemData":{"DOI":"10.1080/1612197X.2010.9671939","ISBN":"1612197X","ISSN":"1612-197X","abstract":"Physical activity is essential for a healthy development and for the well-being of young people. The present study is based upon the assumption that physical activity is influenced by psychological factors like the attribution of physical activity effects and self-efficacy, as well as by chronotype. Seven hundred and twenty-six adolescents participated in this study, and we applied the following scales: physical activity self-efficacy beliefs (PASE), positive attribution of physical activity (PAPA), and negative attribution of physical activity (NAPA), self-report physical activity level, and the Composite Scale of Morningness (CSM). PASE scores correlated with the positive attribution of physical activity effects but not with the negative attribution. Morning-oriented pupils were more physically active. Furthermore, there was a positive correlation between CSM and PASE. Also, morning-oriented pupils gave more positive attributes to the effects of physical activity. The results have an impact on programs devoted to increasing physical activity in adolescents. ABSTRACT FROM AUTHOR","author":[{"dropping-particle":"","family":"Schaal","given":"Steffen","non-dropping-particle":"","parse-names":false,"suffix":""},{"dropping-particle":"","family":"Peter","given":"Michaela","non-dropping-particle":"","parse-names":false,"suffix":""},{"dropping-particle":"","family":"Randler","given":"Christoph","non-dropping-particle":"","parse-names":false,"suffix":""}],"container-title":"International Journal of Sport and Exercise Psychology","id":"ITEM-3","issue":"2","issued":{"date-parts":[["2010","1"]]},"page":"147-159","title":"Morningness</w:instrText>
      </w:r>
      <w:r w:rsidR="002A300E">
        <w:rPr>
          <w:rFonts w:ascii="Cambria Math" w:hAnsi="Cambria Math" w:cs="Cambria Math"/>
        </w:rPr>
        <w:instrText>‐</w:instrText>
      </w:r>
      <w:r w:rsidR="002A300E">
        <w:instrText>eveningness and physical activity in adolescents","type":"article-journal","volume":"8"},"uris":["http://www.mendeley.com/documents/?uuid=30a1e963-9b57-4a61-9fc4-29ae6aab04e5"]}],"mendeley":{"formattedCitation":"(Adan et al., 2012; Schaal, Peter, &amp; Randler, 2010; Schlarb, Sopp, Ambiel, &amp; Grünwald, 2014)","plainTextFormattedCitation":"(Adan et al., 2012; Schaal, Peter, &amp; Randler, 2010; Schlarb, Sopp, Ambiel, &amp; Grünwald, 2014)","previouslyFormattedCitation":"(Adan et al., 2012; Schaal, Peter, &amp; Randler, 2010; Schlarb, Sopp, Ambiel, &amp; Grünwald, 2014)"},"properties":{"noteIndex":0},"schema":"https://github.com/citation-style-language/schema/raw/master/csl-citation.json"}</w:instrText>
      </w:r>
      <w:r w:rsidR="00E47E49">
        <w:fldChar w:fldCharType="separate"/>
      </w:r>
      <w:r w:rsidR="00E47E49" w:rsidRPr="00E47E49">
        <w:rPr>
          <w:noProof/>
        </w:rPr>
        <w:t>(Adan et al., 2012; Schaal, Peter, &amp; Randler, 2010; Schlarb, Sopp, Ambiel, &amp; Grünwald, 2014)</w:t>
      </w:r>
      <w:r w:rsidR="00E47E49">
        <w:fldChar w:fldCharType="end"/>
      </w:r>
      <w:r w:rsidR="00DA25BE">
        <w:t xml:space="preserve">. </w:t>
      </w:r>
      <w:r w:rsidR="009007F7">
        <w:t>Mounting evidence</w:t>
      </w:r>
      <w:r w:rsidR="00DA25BE">
        <w:t xml:space="preserve"> suggest</w:t>
      </w:r>
      <w:r w:rsidR="009007F7">
        <w:t>s</w:t>
      </w:r>
      <w:r w:rsidR="00DA25BE">
        <w:t xml:space="preserve"> that </w:t>
      </w:r>
      <w:r w:rsidR="002C7ADD">
        <w:t>sleep deprivation</w:t>
      </w:r>
      <w:r w:rsidR="009007F7">
        <w:t xml:space="preserve"> and social jetlag</w:t>
      </w:r>
      <w:r w:rsidR="008F4D27">
        <w:t xml:space="preserve"> are</w:t>
      </w:r>
      <w:r w:rsidR="00052B15">
        <w:t xml:space="preserve"> prevalent </w:t>
      </w:r>
      <w:r w:rsidR="008F4D27">
        <w:t>during</w:t>
      </w:r>
      <w:r w:rsidR="00052B15">
        <w:t xml:space="preserve"> adolescence</w:t>
      </w:r>
      <w:r w:rsidR="00AB0F6F">
        <w:t xml:space="preserve"> </w:t>
      </w:r>
      <w:r w:rsidR="00AB0F6F">
        <w:fldChar w:fldCharType="begin" w:fldLock="1"/>
      </w:r>
      <w:r w:rsidR="00937C2D">
        <w:instrText>ADDIN CSL_CITATION {"citationItems":[{"id":"ITEM-1","itemData":{"DOI":"10.1016/j.sleep.2010.11.008","ISBN":"1389-9457","ISSN":"13899457","PMID":"21257344","abstract":"Adolescent sleep health is becoming increasingly recognized internationally as a significant concern, with many countries reporting high incidences of sleep disturbance in our youth. Notwithstanding the value of findings obtained from each large-scale survey of adolescent sleep performed within individual countries, the field lacks synthesis and analysis of adolescent sleep studies into a single review. This review presents findings from a meta-analysis of 41 surveys of worldwide adolescent sleep patterns and problems published in the last decade (1999-2010). Sleep patterns tended to delay with increasing age, restricting school-night sleep. Notably, Asian adolescents' bedtimes were later than peers from North America and Europe, resulting in less total sleep time on school nights and a tendency for higher rates of daytime sleepiness. Weekend sleep data were generally consistent worldwide, with bedtimes 2+ hours later and more total sleep time obtained. We note a worldwide delayed sleep-wake behavior pattern exists consistent with symptoms of Delayed Sleep Phase Disorder, which may be exacerbated by cultural factors. Recommendations for future surveys of adolescent sleep patterns are discussed and provided in light of current methodological limitations and gaps in the literature. ?? 2010 Elsevier B.V.","author":[{"dropping-particle":"","family":"Gradisar","given":"Michael","non-dropping-particle":"","parse-names":false,"suffix":""},{"dropping-particle":"","family":"Gardner","given":"Greg","non-dropping-particle":"","parse-names":false,"suffix":""},{"dropping-particle":"","family":"Dohnt","given":"Hayley","non-dropping-particle":"","parse-names":false,"suffix":""}],"container-title":"Sleep Medicine","id":"ITEM-1","issue":"2","issued":{"date-parts":[["2011"]]},"page":"110-118","publisher":"Elsevier B.V.","title":"Recent worldwide sleep patterns and problems during adolescence: A review and meta-analysis of age, region, and sleep","type":"article-journal","volume":"12"},"uris":["http://www.mendeley.com/documents/?uuid=1071122f-9418-411f-9887-86b458ef24f4"]},{"id":"ITEM-2","itemData":{"DOI":"10.1016/j.sleep.2006.12.002","ISBN":"1389-9457 (Print)","ISSN":"13899457","PMID":"17383934","abstract":"Sleep/wake timing shifts later in young humans during the second decade of life. In this review we describe sleep/wake patterns, changes in these patterns across adolescence, and evidence for the role of environmental, psychosocial, and biological factors underlying these changes. A two-process model incorporating circadian (Process C) and sleep/wake homeostatic (Process S) components is outlined. This model may help us to understand how developmental changes translate to shifted sleep/wake patterns. Delayed sleep phase syndrome (DSPS), which has a typical onset during the second decade of life, may be an extreme manifestation of homeostatic and circadian changes in adolescence. We describe symptoms, prevalence, and possible etiology of DSPS, as well as treatment approaches in adolescents. ?? 2006 Elsevier B.V. All rights reserved.","author":[{"dropping-particle":"","family":"Crowley","given":"Stephanie J.","non-dropping-particle":"","parse-names":false,"suffix":""},{"dropping-particle":"","family":"Acebo","given":"Christine","non-dropping-particle":"","parse-names":false,"suffix":""},{"dropping-particle":"","family":"Carskadon","given":"Mary A.","non-dropping-particle":"","parse-names":false,"suffix":""}],"container-title":"Sleep Medicine","id":"ITEM-2","issue":"6","issued":{"date-parts":[["2007"]]},"page":"602-612","title":"Sleep, circadian rhythms, and delayed phase in adolescence","type":"article-journal","volume":"8"},"prefix":"e.g., ","uris":["http://www.mendeley.com/documents/?uuid=8848fe08-465b-4e40-9617-8d009d08d82a"]}],"mendeley":{"formattedCitation":"(e.g., Crowley et al., 2007; Gradisar, Gardner, &amp; Dohnt, 2011)","plainTextFormattedCitation":"(e.g., Crowley et al., 2007; Gradisar, Gardner, &amp; Dohnt, 2011)","previouslyFormattedCitation":"(e.g., Crowley et al., 2007; Gradisar, Gardner, &amp; Dohnt, 2011)"},"properties":{"noteIndex":0},"schema":"https://github.com/citation-style-language/schema/raw/master/csl-citation.json"}</w:instrText>
      </w:r>
      <w:r w:rsidR="00AB0F6F">
        <w:fldChar w:fldCharType="separate"/>
      </w:r>
      <w:r w:rsidR="00D2710B" w:rsidRPr="00D2710B">
        <w:rPr>
          <w:noProof/>
        </w:rPr>
        <w:t>(e.g., Crowley et al., 2007; Gradisar, Gardner, &amp; Dohnt, 2011)</w:t>
      </w:r>
      <w:r w:rsidR="00AB0F6F">
        <w:fldChar w:fldCharType="end"/>
      </w:r>
      <w:r w:rsidR="0037438C">
        <w:t xml:space="preserve">, which confer more </w:t>
      </w:r>
      <w:r w:rsidR="00052B15">
        <w:t>risk for psychopathology</w:t>
      </w:r>
      <w:r w:rsidR="008A36BE">
        <w:t xml:space="preserve"> and other heal</w:t>
      </w:r>
      <w:r w:rsidR="009F642F">
        <w:t>th problems</w:t>
      </w:r>
      <w:r w:rsidR="004B4542">
        <w:t xml:space="preserve"> </w:t>
      </w:r>
      <w:r w:rsidR="004B4542">
        <w:fldChar w:fldCharType="begin" w:fldLock="1"/>
      </w:r>
      <w:r w:rsidR="00E47E49">
        <w:instrText>ADDIN CSL_CITATION {"citationItems":[{"id":"ITEM-1","itemData":{"DOI":"10.1111/j.1469-7610.2011.02502.x","ISBN":"1469-7610 (Electronic)\\r0021-9630 (Linking)","ISSN":"00219630","PMID":"22188424","abstract":"BACKGROUND:   Two understudied risk factors that have been linked to emotional difficulties in adolescence are chronotype and sleep deprivation. This study extended past research by using an experimental design to investigate the role of sleep deprivation and chronotype on emotion in adolescents. It was hypothesized that sleep deprivation and an evening chronotype would be associated with decreased positive affect (PA), increased negative affect (NA), and lower positivity ratios.\\n\\nMETHODS:   Forty-seven healthy adolescents (aged 10-15 for girls, 11-16 for boys) participated in a sleep deprivation and a rested condition. A subsample of 24 adolescents was selected on the basis of extreme morningness or eveningness scores (based on outer quartiles of scores on the Children's Morningness-Eveningness Preferences Scale). PA and NA were measured using the Positive and Negative Affect Schedule for Children, and positivity ratios were calculated by dividing PA by NA.\\n\\nRESULTS:   Participants reported less positive affect and lower positivity ratios when sleep deprived, relative to when rested. Evening chronotypes reported less positive affect and lower positivity ratios than morning chronotypes in both rested and sleep deprivation conditions.\\n\\nCONCLUSIONS:   These findings extend previous research by suggesting that adolescents are adversely impacted by sleep deprivation, and that an evening chronotype might serve as a useful marker of emotional vulnerability. Early intervention and prevention strategies can focus on improving sleep and on using chronotherapy principles to reduce eveningness.","author":[{"dropping-particle":"","family":"Dagys","given":"Natasha","non-dropping-particle":"","parse-names":false,"suffix":""},{"dropping-particle":"","family":"McGlinchey","given":"Eleanor L.","non-dropping-particle":"","parse-names":false,"suffix":""},{"dropping-particle":"","family":"Talbot","given":"Lisa S.","non-dropping-particle":"","parse-names":false,"suffix":""},{"dropping-particle":"","family":"Kaplan","given":"Katherine A.","non-dropping-particle":"","parse-names":false,"suffix":""},{"dropping-particle":"","family":"Dahl","given":"Ronald E.","non-dropping-particle":"","parse-names":false,"suffix":""},{"dropping-particle":"","family":"Harvey","given":"Allison G.","non-dropping-particle":"","parse-names":false,"suffix":""}],"container-title":"Journal of Child Psychology and Psychiatry and Allied Disciplines","id":"ITEM-1","issue":"6","issued":{"date-parts":[["2012"]]},"page":"660-667","title":"Double trouble? The effects of sleep deprivation and chronotype on adolescent affect","type":"article-journal","volume":"53"},"prefix":"e.g., ","uris":["http://www.mendeley.com/documents/?uuid=804a4c0f-ed35-467f-a876-f520e4a89c1d"]},{"id":"ITEM-2","itemData":{"DOI":"10.1037/a0020138","ISBN":"1931-1516 (Electronic)\\r1528-3542 (Linking)","ISSN":"15283542","PMID":"21058849","abstract":"The present study investigated the impact of sleep deprivation on several aspects of affective functioning in healthy participants selected from three different developmental periods: early adolescence (ages 10-13), midadolescence (ages 13-16), and adulthood (ages 30-60). Participants completed an affective functioning battery under conditions of sleep deprivation (a maximum of 6.5 hours total sleep time on the first night followed by a maximum of 2 hours total sleep time on the second night) and rest (approximately 7-8 hours total sleep time each night for two consecutive nights). Less positive affect was observed in the sleep-deprived, compared to rested, condition. This effect held for 9 of the 12 positive affect items on the PANAS-C. Participants also reported a greater increase in anxiety during a catastrophizing task and rated the likelihood of potential catastrophes as higher when sleep deprived, relative to when rested. Early adolescents appraised their main worry as more threatening when sleep deprived, relative to when rested. These results support and extend previous research underscoring the adverse affective consequences of sleep deprivation.","author":[{"dropping-particle":"","family":"Talbot","given":"Lisa S.","non-dropping-particle":"","parse-names":false,"suffix":""},{"dropping-particle":"","family":"McGlinchey","given":"Eleanor L.","non-dropping-particle":"","parse-names":false,"suffix":""},{"dropping-particle":"","family":"Kaplan","given":"Katherine A.","non-dropping-particle":"","parse-names":false,"suffix":""},{"dropping-particle":"","family":"Dahl","given":"Ronald E.","non-dropping-particle":"","parse-names":false,"suffix":""},{"dropping-particle":"","family":"Harvey","given":"Allison G.","non-dropping-particle":"","parse-names":false,"suffix":""}],"container-title":"Emotion","id":"ITEM-2","issue":"6","issued":{"date-parts":[["2010"]]},"page":"831-841","title":"Sleep Deprivation in Adolescents and Adults: Changes in Affect","type":"article-journal","volume":"10"},"uris":["http://www.mendeley.com/documents/?uuid=806a88a0-6059-4564-bacb-3bc8c97dc352"]},{"id":"ITEM-3","itemData":{"DOI":"10.1542/peds.2014-1696","ISBN":"0031-4005","ISSN":"1098-4275","PMID":"25157012","abstract":"Chronic sleep loss and associated sleepiness and daytime impairments in adolescence are a serious threat to the academic success, health, and safety of our nation's youth and an important public health issue. Understanding the extent and potential short- and long-term repercussions of sleep restriction, as well as the unhealthy sleep practices and environmental factors that contribute to sleep loss in adolescents, is key in setting public policies to mitigate these effects and in counseling patients and families in the clinical setting. This report reviews the current literature on sleep patterns in adolescents, factors contributing to chronic sleep loss (ie, electronic media use, caffeine consumption), and health-related consequences, such as depression, increased obesity risk, and higher rates of drowsy driving accidents. The report also discusses the potential role of later school start times as a means of reducing adolescent sleepiness.","author":[{"dropping-particle":"","family":"Owens","given":"Judith","non-dropping-particle":"","parse-names":false,"suffix":""},{"dropping-particle":"","family":"Adolescent Sleep Working Group","given":"","non-dropping-particle":"","parse-names":false,"suffix":""},{"dropping-particle":"","family":"Committee on Adolescence","given":"","non-dropping-particle":"","parse-names":false,"suffix":""}],"container-title":"Pediatrics","id":"ITEM-3","issue":"3","issued":{"date-parts":[["2014","9","1"]]},"page":"e921-32","title":"Insufficient sleep in adolescents and young adults: an update on causes and consequences.","type":"article-journal","volume":"134"},"uris":["http://www.mendeley.com/documents/?uuid=924ce2cc-8ff2-489d-9b73-614a6a0c494b"]}],"mendeley":{"formattedCitation":"(e.g., Dagys et al., 2012; Owens, Adolescent Sleep Working Group, &amp; Committee on Adolescence, 2014; Talbot, McGlinchey, Kaplan, Dahl, &amp; Harvey, 2010)","plainTextFormattedCitation":"(e.g., Dagys et al., 2012; Owens, Adolescent Sleep Working Group, &amp; Committee on Adolescence, 2014; Talbot, McGlinchey, Kaplan, Dahl, &amp; Harvey, 2010)","previouslyFormattedCitation":"(e.g., Dagys et al., 2012; Owens, Adolescent Sleep Working Group, &amp; Committee on Adolescence, 2014; Talbot, McGlinchey, Kaplan, Dahl, &amp; Harvey, 2010)"},"properties":{"noteIndex":0},"schema":"https://github.com/citation-style-language/schema/raw/master/csl-citation.json"}</w:instrText>
      </w:r>
      <w:r w:rsidR="004B4542">
        <w:fldChar w:fldCharType="separate"/>
      </w:r>
      <w:r w:rsidR="009321B6" w:rsidRPr="009321B6">
        <w:rPr>
          <w:noProof/>
        </w:rPr>
        <w:t>(e.g., Dagys et al., 2012; Owens, Adolescent Sleep Working Group, &amp; Committee on Adolescence, 2014; Talbot, McGlinchey, Kaplan, Dahl, &amp; Harvey, 2010)</w:t>
      </w:r>
      <w:r w:rsidR="004B4542">
        <w:fldChar w:fldCharType="end"/>
      </w:r>
      <w:r w:rsidR="00052B15">
        <w:t xml:space="preserve">. </w:t>
      </w:r>
      <w:r w:rsidR="00150DBE">
        <w:t>I</w:t>
      </w:r>
      <w:r w:rsidR="006A0132">
        <w:t xml:space="preserve">n light of these evidence, </w:t>
      </w:r>
      <w:r w:rsidR="002B31F8">
        <w:t>a</w:t>
      </w:r>
      <w:r w:rsidR="006260E9">
        <w:t xml:space="preserve"> trans-diagnostic sleep and circadian intervention (TranS-C) was developed to target modifiable psychosocial, cognitive and behavioral factors associated with eveningness</w:t>
      </w:r>
      <w:r w:rsidR="00956A50">
        <w:t xml:space="preserve"> </w:t>
      </w:r>
      <w:r w:rsidR="00956A50">
        <w:fldChar w:fldCharType="begin" w:fldLock="1"/>
      </w:r>
      <w:r w:rsidR="00D2710B">
        <w:instrText>ADDIN CSL_CITATION {"citationItems":[{"id":"ITEM-1","itemData":{"DOI":"10.1016/j.cbpra.2015.06.001","ISSN":"10777229","abstract":"Abstract Sleep disturbance is an important contributor to, and maybe even cause of, vicious cycles of escalating vulnerability and increased risk among youth as they prepare to, and transition into, adulthood. The aim of this paper is to describe the scientific derivation of, and components of, the Youth version of the Transdiagnostic Sleep and Circadian Intervention (TranS-C-Youth) to improve sleep. TranS-C-Youth draws from sources that are informed by basic sleep/circadian principles and aims to help clinicians address the broad range of sleep disturbances that are often experienced during adolescence and the transition to adulthood years. The advantages of developing a transdiagnostic treatment are outlined and include that this approach may reduce the \"too many empirically supported treatments problem\" (Weisz, Ng, &amp;amp; Bearman, 2014, p. 68). TranS-C-Youth is comprised of both core and optional modules and thus promotes maximum flexibility as well as efficiency.","author":[{"dropping-particle":"","family":"Harvey","given":"Allison G","non-dropping-particle":"","parse-names":false,"suffix":""}],"container-title":"Cognitive and Behavioral Practice","id":"ITEM-1","issue":"3","issued":{"date-parts":[["2016","8"]]},"page":"341-355","title":"A Transdiagnostic Intervention for Youth Sleep and Circadian Problems","type":"article-journal","volume":"23"},"uris":["http://www.mendeley.com/documents/?uuid=b73b4ef3-3650-4b28-9c14-5046eb05cc8b"]}],"mendeley":{"formattedCitation":"(Harvey, 2016)","plainTextFormattedCitation":"(Harvey, 2016)","previouslyFormattedCitation":"(Harvey, 2016)"},"properties":{"noteIndex":0},"schema":"https://github.com/citation-style-language/schema/raw/master/csl-citation.json"}</w:instrText>
      </w:r>
      <w:r w:rsidR="00956A50">
        <w:fldChar w:fldCharType="separate"/>
      </w:r>
      <w:r w:rsidR="000112CA" w:rsidRPr="000112CA">
        <w:rPr>
          <w:noProof/>
        </w:rPr>
        <w:t>(Harvey, 2016)</w:t>
      </w:r>
      <w:r w:rsidR="00956A50">
        <w:fldChar w:fldCharType="end"/>
      </w:r>
      <w:r w:rsidR="006260E9">
        <w:t xml:space="preserve">. </w:t>
      </w:r>
    </w:p>
    <w:p w14:paraId="58A1CFFB" w14:textId="33DE8ACE" w:rsidR="003B6AAE" w:rsidRPr="00507A23" w:rsidRDefault="001A1163" w:rsidP="00507A23">
      <w:pPr>
        <w:spacing w:line="480" w:lineRule="auto"/>
        <w:ind w:firstLine="720"/>
      </w:pPr>
      <w:r w:rsidRPr="00292779">
        <w:t xml:space="preserve">In a randomized controlled trial for which the 6-month follow-up data are reported </w:t>
      </w:r>
      <w:r w:rsidR="00C6726D">
        <w:t xml:space="preserve">in the </w:t>
      </w:r>
      <w:r w:rsidR="00D11A9C">
        <w:t>current</w:t>
      </w:r>
      <w:r w:rsidR="00C6726D">
        <w:t xml:space="preserve"> study</w:t>
      </w:r>
      <w:r w:rsidRPr="00292779">
        <w:t xml:space="preserve">, </w:t>
      </w:r>
      <w:r w:rsidR="00CF084F">
        <w:t xml:space="preserve">we </w:t>
      </w:r>
      <w:r w:rsidR="000E3CF7">
        <w:t>tested</w:t>
      </w:r>
      <w:r w:rsidR="00CF084F">
        <w:t xml:space="preserve"> </w:t>
      </w:r>
      <w:r w:rsidR="000E3CF7">
        <w:t xml:space="preserve">whether </w:t>
      </w:r>
      <w:r w:rsidR="00AA25C9">
        <w:t xml:space="preserve">TranS-C </w:t>
      </w:r>
      <w:r w:rsidR="00D916C5">
        <w:t xml:space="preserve">modifies eveningness, </w:t>
      </w:r>
      <w:r w:rsidR="00AA25C9">
        <w:t xml:space="preserve">improves </w:t>
      </w:r>
      <w:r w:rsidR="00D916C5">
        <w:t>sleep, and</w:t>
      </w:r>
      <w:r w:rsidR="00807D9D">
        <w:t xml:space="preserve"> reduces</w:t>
      </w:r>
      <w:r w:rsidR="00A6396D">
        <w:t xml:space="preserve"> risk in</w:t>
      </w:r>
      <w:r w:rsidR="00782CB8">
        <w:t xml:space="preserve"> health-related </w:t>
      </w:r>
      <w:r w:rsidR="00BE3DD3">
        <w:t>domains</w:t>
      </w:r>
      <w:r w:rsidR="00782CB8">
        <w:t xml:space="preserve"> from pre</w:t>
      </w:r>
      <w:r w:rsidR="00C6726D">
        <w:t>-</w:t>
      </w:r>
      <w:r w:rsidR="00782CB8">
        <w:t xml:space="preserve"> to post</w:t>
      </w:r>
      <w:r w:rsidR="00C6726D">
        <w:t>-</w:t>
      </w:r>
      <w:r w:rsidR="001E0CEC">
        <w:t>treatment</w:t>
      </w:r>
      <w:r w:rsidR="00782CB8">
        <w:t xml:space="preserve">. </w:t>
      </w:r>
      <w:r w:rsidR="001E0039">
        <w:t xml:space="preserve">Relative to psychoeducation (PE), </w:t>
      </w:r>
      <w:r w:rsidR="000C503A">
        <w:t xml:space="preserve">TranS-C </w:t>
      </w:r>
      <w:r w:rsidR="000E354C" w:rsidRPr="00292779">
        <w:t xml:space="preserve">was associated with </w:t>
      </w:r>
      <w:r w:rsidR="00C4314B">
        <w:t>shifting away from extreme eveningness</w:t>
      </w:r>
      <w:r w:rsidR="00104D6C">
        <w:t xml:space="preserve">, </w:t>
      </w:r>
      <w:r w:rsidR="00AE7C1F" w:rsidRPr="005A2DAA">
        <w:rPr>
          <w:rFonts w:eastAsia="SimSun"/>
        </w:rPr>
        <w:t xml:space="preserve">earlier endogenous </w:t>
      </w:r>
      <w:r w:rsidR="00AE7C1F" w:rsidRPr="005A2DAA">
        <w:rPr>
          <w:rFonts w:eastAsia="SimSun"/>
        </w:rPr>
        <w:lastRenderedPageBreak/>
        <w:t>circadian phase, less weeknight-weekend</w:t>
      </w:r>
      <w:r w:rsidR="00AF331D" w:rsidRPr="005A2DAA">
        <w:rPr>
          <w:rFonts w:eastAsia="SimSun"/>
        </w:rPr>
        <w:t xml:space="preserve"> discrepancy in total sleep time</w:t>
      </w:r>
      <w:r w:rsidR="00AE7C1F" w:rsidRPr="005A2DAA">
        <w:rPr>
          <w:rFonts w:eastAsia="SimSun"/>
        </w:rPr>
        <w:t xml:space="preserve"> and wakeup time, less daytime sleepiness, and better self- </w:t>
      </w:r>
      <w:r w:rsidR="007167FD" w:rsidRPr="005A2DAA">
        <w:rPr>
          <w:rFonts w:eastAsia="SimSun"/>
        </w:rPr>
        <w:t xml:space="preserve">and parent-reported </w:t>
      </w:r>
      <w:r w:rsidR="00AE7C1F" w:rsidRPr="005A2DAA">
        <w:rPr>
          <w:rFonts w:eastAsia="SimSun"/>
        </w:rPr>
        <w:t>sleep</w:t>
      </w:r>
      <w:r w:rsidR="00275456" w:rsidRPr="005A2DAA">
        <w:rPr>
          <w:rFonts w:eastAsia="SimSun"/>
        </w:rPr>
        <w:t>.</w:t>
      </w:r>
      <w:r w:rsidR="00424162">
        <w:t xml:space="preserve"> </w:t>
      </w:r>
      <w:r w:rsidR="00157E50">
        <w:t>Tr</w:t>
      </w:r>
      <w:r w:rsidR="005C1F13">
        <w:t>anS-C was not directly associate</w:t>
      </w:r>
      <w:r w:rsidR="00157E50">
        <w:t>d with</w:t>
      </w:r>
      <w:r w:rsidR="00AB6AE2">
        <w:t xml:space="preserve"> </w:t>
      </w:r>
      <w:r w:rsidR="006B65D1">
        <w:t>primary</w:t>
      </w:r>
      <w:r w:rsidR="007026C6">
        <w:t xml:space="preserve"> </w:t>
      </w:r>
      <w:r w:rsidR="000569B3">
        <w:t xml:space="preserve">and secondary </w:t>
      </w:r>
      <w:r w:rsidR="007026C6">
        <w:t>outcomes in</w:t>
      </w:r>
      <w:r w:rsidR="00AB6AE2">
        <w:t xml:space="preserve"> health-</w:t>
      </w:r>
      <w:r w:rsidR="004148DE">
        <w:t>related domains</w:t>
      </w:r>
      <w:r w:rsidR="00D7711E" w:rsidRPr="00D7711E">
        <w:t xml:space="preserve"> </w:t>
      </w:r>
      <w:r w:rsidR="00D7711E">
        <w:t>relative to PE</w:t>
      </w:r>
      <w:r w:rsidR="004E515B">
        <w:t xml:space="preserve">, except for </w:t>
      </w:r>
      <w:r w:rsidR="00B3669C">
        <w:t>parent-reported risk in the cognitive domain</w:t>
      </w:r>
      <w:r w:rsidR="00C12CDB">
        <w:t xml:space="preserve"> </w:t>
      </w:r>
      <w:r w:rsidR="00A33BAE">
        <w:fldChar w:fldCharType="begin" w:fldLock="1"/>
      </w:r>
      <w:r w:rsidR="00782D4E">
        <w:instrText>ADDIN CSL_CITATION {"citationItems":[{"id":"ITEM-1","itemData":{"author":[{"dropping-particle":"","family":"Harvey","given":"Allison G.","non-dropping-particle":"","parse-names":false,"suffix":""},{"dropping-particle":"","family":"Hein","given":"Kerrie","non-dropping-particle":"","parse-names":false,"suffix":""},{"dropping-particle":"","family":"Dolsen","given":"Michael","non-dropping-particle":"","parse-names":false,"suffix":""},{"dropping-particle":"","family":"Dong","given":"Lu","non-dropping-particle":"","parse-names":false,"suffix":""},{"dropping-particle":"","family":"Rabe-Hesketh","given":"Sophia","non-dropping-particle":"","parse-names":false,"suffix":""},{"dropping-particle":"","family":"Gumport","given":"Nicole B.","non-dropping-particle":"","parse-names":false,"suffix":""},{"dropping-particle":"","family":"Kanady","given":"Jennifer","non-dropping-particle":"","parse-names":false,"suffix":""},{"dropping-particle":"","family":"Wyatt","given":"James K.","non-dropping-particle":"","parse-names":false,"suffix":""},{"dropping-particle":"","family":"Hinshaw","given":"Stephen P.","non-dropping-particle":"","parse-names":false,"suffix":""},{"dropping-particle":"","family":"Silk","given":"Jennifer S.","non-dropping-particle":"","parse-names":false,"suffix":""},{"dropping-particle":"","family":"Smith","given":"Rita L.","non-dropping-particle":"","parse-names":false,"suffix":""},{"dropping-particle":"","family":"Thompson","given":"Monique A.","non-dropping-particle":"","parse-names":false,"suffix":""},{"dropping-particle":"","family":"Zannone","given":"Nancee","non-dropping-particle":"","parse-names":false,"suffix":""},{"dropping-particle":"","family":"Blum","given":"Daniel Jin","non-dropping-particle":"","parse-names":false,"suffix":""}],"container-title":"Journal of the American Academy of Child and Adolescent Psychiatry","id":"ITEM-1","issued":{"date-parts":[["2018"]]},"title":"Modifying the impact of eveningness chronotype (‘night-owls’) in adolescence: A randomized controlled trial","type":"article-journal"},"uris":["http://www.mendeley.com/documents/?uuid=580c396e-1534-4e4a-b983-95ff357e82ce"]}],"mendeley":{"formattedCitation":"(Harvey et al., 2018)","manualFormatting":"(Harvey et al., in press)","plainTextFormattedCitation":"(Harvey et al., 2018)","previouslyFormattedCitation":"(Harvey et al., 2018)"},"properties":{"noteIndex":0},"schema":"https://github.com/citation-style-language/schema/raw/master/csl-citation.json"}</w:instrText>
      </w:r>
      <w:r w:rsidR="00A33BAE">
        <w:fldChar w:fldCharType="separate"/>
      </w:r>
      <w:r w:rsidR="00A33BAE" w:rsidRPr="00A33BAE">
        <w:rPr>
          <w:noProof/>
        </w:rPr>
        <w:t xml:space="preserve">(Harvey et al., </w:t>
      </w:r>
      <w:r w:rsidR="0027049A">
        <w:rPr>
          <w:noProof/>
        </w:rPr>
        <w:t>in press</w:t>
      </w:r>
      <w:r w:rsidR="00A33BAE" w:rsidRPr="00A33BAE">
        <w:rPr>
          <w:noProof/>
        </w:rPr>
        <w:t>)</w:t>
      </w:r>
      <w:r w:rsidR="00A33BAE">
        <w:fldChar w:fldCharType="end"/>
      </w:r>
      <w:r w:rsidR="005E1C13">
        <w:t xml:space="preserve">. However, </w:t>
      </w:r>
      <w:r w:rsidR="00150515">
        <w:t xml:space="preserve">mediation analysis suggests that </w:t>
      </w:r>
      <w:r w:rsidR="008D6CA2">
        <w:t>TranS-C exerts</w:t>
      </w:r>
      <w:r w:rsidR="00ED5DA2">
        <w:t xml:space="preserve"> indirect effects</w:t>
      </w:r>
      <w:r w:rsidR="00703D91">
        <w:t>,</w:t>
      </w:r>
      <w:r w:rsidR="00814A23">
        <w:t xml:space="preserve"> </w:t>
      </w:r>
      <w:r w:rsidR="00703D91">
        <w:t>relative to</w:t>
      </w:r>
      <w:r w:rsidR="00814A23">
        <w:t xml:space="preserve"> PE</w:t>
      </w:r>
      <w:r w:rsidR="00703D91">
        <w:t>,</w:t>
      </w:r>
      <w:r w:rsidR="00814A23">
        <w:t xml:space="preserve"> on </w:t>
      </w:r>
      <w:r w:rsidR="00AD5EB3">
        <w:t>reduc</w:t>
      </w:r>
      <w:r w:rsidR="00AD5EB3">
        <w:rPr>
          <w:rFonts w:hint="eastAsia"/>
        </w:rPr>
        <w:t>ing</w:t>
      </w:r>
      <w:r w:rsidR="00AD5EB3">
        <w:t xml:space="preserve"> </w:t>
      </w:r>
      <w:r w:rsidR="00AD5EB3">
        <w:rPr>
          <w:rFonts w:hint="eastAsia"/>
        </w:rPr>
        <w:t>risk</w:t>
      </w:r>
      <w:r w:rsidR="00AD5EB3">
        <w:t xml:space="preserve"> in multiple mental and physical health domains through improving sleep and circadian problems</w:t>
      </w:r>
      <w:r w:rsidR="008801AA">
        <w:t xml:space="preserve"> from pre- to post-treatment</w:t>
      </w:r>
      <w:r w:rsidR="00A33BAE">
        <w:t xml:space="preserve"> </w:t>
      </w:r>
      <w:r w:rsidR="00A33BAE">
        <w:fldChar w:fldCharType="begin" w:fldLock="1"/>
      </w:r>
      <w:r w:rsidR="006179AB">
        <w:instrText>ADDIN CSL_CITATION {"citationItems":[{"id":"ITEM-1","itemData":{"author":[{"dropping-particle":"","family":"Dong","given":"L.","non-dropping-particle":"","parse-names":false,"suffix":""},{"dropping-particle":"","family":"Gumport","given":"N. B.","non-dropping-particle":"","parse-names":false,"suffix":""},{"dropping-particle":"","family":"Martinez","given":"A. J.","non-dropping-particle":"","parse-names":false,"suffix":""},{"dropping-particle":"","family":"Harvey","given":"A. G.","non-dropping-particle":"","parse-names":false,"suffix":""}],"container-title":"Manuscript submitted for publication","id":"ITEM-1","issued":{"date-parts":[["2018"]]},"title":"Modifying the impact of eveningness chronotype in adolescence: A pathway to better health? A mediation analysis.","type":"article-journal"},"uris":["http://www.mendeley.com/documents/?uuid=6a116ef2-b72e-4384-8fa8-5eb83cb7bbd9"]}],"mendeley":{"formattedCitation":"(Dong, Gumport, Martinez, &amp; Harvey, 2018)","plainTextFormattedCitation":"(Dong, Gumport, Martinez, &amp; Harvey, 2018)","previouslyFormattedCitation":"(Dong, Gumport, Martinez, &amp; Harvey, 2018)"},"properties":{"noteIndex":0},"schema":"https://github.com/citation-style-language/schema/raw/master/csl-citation.json"}</w:instrText>
      </w:r>
      <w:r w:rsidR="00A33BAE">
        <w:fldChar w:fldCharType="separate"/>
      </w:r>
      <w:r w:rsidR="00A33BAE" w:rsidRPr="00A33BAE">
        <w:rPr>
          <w:noProof/>
        </w:rPr>
        <w:t>(Dong, Gumport, Martinez, &amp; Harvey, 2018)</w:t>
      </w:r>
      <w:r w:rsidR="00A33BAE">
        <w:fldChar w:fldCharType="end"/>
      </w:r>
      <w:r w:rsidR="008801AA">
        <w:t xml:space="preserve">. </w:t>
      </w:r>
      <w:r w:rsidR="001A0505" w:rsidRPr="00292779">
        <w:t xml:space="preserve">Although these </w:t>
      </w:r>
      <w:r w:rsidR="00A5646E">
        <w:t>pre-</w:t>
      </w:r>
      <w:r w:rsidR="00FE7653">
        <w:t xml:space="preserve"> </w:t>
      </w:r>
      <w:r w:rsidR="00A5646E">
        <w:t>to</w:t>
      </w:r>
      <w:r w:rsidR="00FE7653">
        <w:t xml:space="preserve"> </w:t>
      </w:r>
      <w:r w:rsidR="00790245">
        <w:t xml:space="preserve">post-treatment </w:t>
      </w:r>
      <w:r w:rsidR="000722F2">
        <w:t>effects</w:t>
      </w:r>
      <w:r w:rsidR="00211259" w:rsidRPr="00292779">
        <w:t xml:space="preserve"> </w:t>
      </w:r>
      <w:r w:rsidR="003F7ED6">
        <w:t>of TranS-C</w:t>
      </w:r>
      <w:r w:rsidR="006E3A35">
        <w:t xml:space="preserve"> are promising, </w:t>
      </w:r>
      <w:r w:rsidR="00897841">
        <w:t xml:space="preserve">long-term effects </w:t>
      </w:r>
      <w:r w:rsidR="002200DE">
        <w:t>and</w:t>
      </w:r>
      <w:r w:rsidR="004D6C6D">
        <w:t xml:space="preserve"> treatment moderators have not been examined. </w:t>
      </w:r>
    </w:p>
    <w:p w14:paraId="49B72FB3" w14:textId="03E567A9" w:rsidR="007818FA" w:rsidRDefault="006C413D" w:rsidP="00AC7F80">
      <w:pPr>
        <w:spacing w:line="480" w:lineRule="auto"/>
        <w:ind w:firstLine="720"/>
        <w:contextualSpacing/>
        <w:rPr>
          <w:b/>
        </w:rPr>
      </w:pPr>
      <w:r w:rsidRPr="00292779">
        <w:t xml:space="preserve">The </w:t>
      </w:r>
      <w:r w:rsidR="003F0E39">
        <w:t>goal</w:t>
      </w:r>
      <w:r w:rsidRPr="00292779">
        <w:t xml:space="preserve"> of the current study is to investigate the long-term effects </w:t>
      </w:r>
      <w:r w:rsidR="00235BB8">
        <w:t xml:space="preserve">of a 6-week TranS-C treatment </w:t>
      </w:r>
      <w:r w:rsidRPr="00292779">
        <w:t>targeting eveningness and sleep problems in adolescents</w:t>
      </w:r>
      <w:r w:rsidR="005218AF">
        <w:t xml:space="preserve"> relative to psychoeducation (PE)</w:t>
      </w:r>
      <w:r w:rsidR="00CE0D01">
        <w:t xml:space="preserve"> in a randomized controlled trial</w:t>
      </w:r>
      <w:r w:rsidRPr="00292779">
        <w:t>. The first aim was to examine the effect of TranS-C</w:t>
      </w:r>
      <w:r w:rsidR="00CD2197">
        <w:t>,</w:t>
      </w:r>
      <w:r w:rsidRPr="00292779">
        <w:t xml:space="preserve"> </w:t>
      </w:r>
      <w:r w:rsidR="00CD2197">
        <w:t>compared to</w:t>
      </w:r>
      <w:r w:rsidRPr="00292779">
        <w:t xml:space="preserve"> PE</w:t>
      </w:r>
      <w:r w:rsidR="00CD2197">
        <w:t>,</w:t>
      </w:r>
      <w:r w:rsidRPr="00292779">
        <w:t xml:space="preserve"> on </w:t>
      </w:r>
      <w:r w:rsidR="009A48B6" w:rsidRPr="00292779">
        <w:t>sleep and circadian</w:t>
      </w:r>
      <w:r w:rsidRPr="00292779">
        <w:t xml:space="preserve"> outcomes from baseline</w:t>
      </w:r>
      <w:r w:rsidR="00650345">
        <w:t xml:space="preserve"> and post</w:t>
      </w:r>
      <w:r w:rsidR="00751BDF">
        <w:t>treatment</w:t>
      </w:r>
      <w:r w:rsidRPr="00292779">
        <w:t xml:space="preserve"> </w:t>
      </w:r>
      <w:r w:rsidR="005A44F1">
        <w:t>to</w:t>
      </w:r>
      <w:r w:rsidRPr="00292779">
        <w:t xml:space="preserve"> 6-month follow-up. </w:t>
      </w:r>
      <w:r w:rsidR="009A48B6" w:rsidRPr="00292779">
        <w:t>The second aim was t</w:t>
      </w:r>
      <w:r w:rsidR="00CD2197">
        <w:t>o examine the effect of TranS-C,</w:t>
      </w:r>
      <w:r w:rsidR="00CD2197" w:rsidRPr="00292779">
        <w:t xml:space="preserve"> </w:t>
      </w:r>
      <w:r w:rsidR="00CD2197">
        <w:t>compared to</w:t>
      </w:r>
      <w:r w:rsidR="00CD2197" w:rsidRPr="00292779">
        <w:t xml:space="preserve"> PE</w:t>
      </w:r>
      <w:r w:rsidR="00CD2197">
        <w:t>,</w:t>
      </w:r>
      <w:r w:rsidR="00CD2197" w:rsidRPr="00292779">
        <w:t xml:space="preserve"> </w:t>
      </w:r>
      <w:r w:rsidR="009A48B6" w:rsidRPr="00292779">
        <w:t xml:space="preserve">on risks in five health domains from baseline </w:t>
      </w:r>
      <w:r w:rsidR="00690A02">
        <w:t>and posttreatment to</w:t>
      </w:r>
      <w:r w:rsidR="009A48B6" w:rsidRPr="00292779">
        <w:t xml:space="preserve"> 6-month follow-up.</w:t>
      </w:r>
      <w:r w:rsidR="00C74104" w:rsidRPr="00292779">
        <w:t xml:space="preserve"> We hypothesize</w:t>
      </w:r>
      <w:r w:rsidR="00EA5F06">
        <w:t>d</w:t>
      </w:r>
      <w:r w:rsidR="00C74104" w:rsidRPr="00292779">
        <w:t xml:space="preserve"> that TranS-C would demonstrate greater improvement</w:t>
      </w:r>
      <w:r w:rsidR="009D415E">
        <w:t>s</w:t>
      </w:r>
      <w:r w:rsidR="00C74104" w:rsidRPr="00292779">
        <w:t xml:space="preserve"> than PE from baseline to 6-month</w:t>
      </w:r>
      <w:r w:rsidR="00CE7A0A" w:rsidRPr="00292779">
        <w:t xml:space="preserve"> follow-up</w:t>
      </w:r>
      <w:r w:rsidR="00C74104" w:rsidRPr="00292779">
        <w:t>.</w:t>
      </w:r>
      <w:r w:rsidR="00DF154E">
        <w:t xml:space="preserve"> </w:t>
      </w:r>
      <w:r w:rsidRPr="00292779">
        <w:t xml:space="preserve">The </w:t>
      </w:r>
      <w:r w:rsidR="007411A4" w:rsidRPr="00292779">
        <w:t>third</w:t>
      </w:r>
      <w:r w:rsidRPr="00292779">
        <w:t xml:space="preserve"> aim was to </w:t>
      </w:r>
      <w:r w:rsidR="00C74104" w:rsidRPr="00292779">
        <w:t>explore</w:t>
      </w:r>
      <w:r w:rsidRPr="00292779">
        <w:t xml:space="preserve"> </w:t>
      </w:r>
      <w:r w:rsidR="001B5F69" w:rsidRPr="00292779">
        <w:t xml:space="preserve">potential moderators </w:t>
      </w:r>
      <w:r w:rsidR="004755BA" w:rsidRPr="00292779">
        <w:t>of</w:t>
      </w:r>
      <w:r w:rsidR="001B5F69" w:rsidRPr="00292779">
        <w:t xml:space="preserve"> </w:t>
      </w:r>
      <w:r w:rsidR="007411A4" w:rsidRPr="00292779">
        <w:t>TranS-C</w:t>
      </w:r>
      <w:r w:rsidR="004755BA" w:rsidRPr="00292779">
        <w:t xml:space="preserve"> for primary and secondary outcomes</w:t>
      </w:r>
      <w:r w:rsidR="007411A4" w:rsidRPr="00292779">
        <w:t>, including age, sex, and the number of risk c</w:t>
      </w:r>
      <w:r w:rsidR="00C171C2" w:rsidRPr="00292779">
        <w:t>ategories presented at baseline</w:t>
      </w:r>
      <w:r w:rsidR="00492232" w:rsidRPr="00292779">
        <w:t>.</w:t>
      </w:r>
    </w:p>
    <w:p w14:paraId="12C676AB" w14:textId="62C34168" w:rsidR="00AC7F80" w:rsidRPr="00292779" w:rsidRDefault="00AC7F80" w:rsidP="00AC7F80">
      <w:pPr>
        <w:spacing w:line="480" w:lineRule="auto"/>
        <w:contextualSpacing/>
        <w:jc w:val="center"/>
      </w:pPr>
      <w:r>
        <w:rPr>
          <w:b/>
        </w:rPr>
        <w:t>Methods</w:t>
      </w:r>
    </w:p>
    <w:p w14:paraId="13ADBA79" w14:textId="191EB4AF" w:rsidR="0097571F" w:rsidRPr="00292779" w:rsidRDefault="00BF7F68" w:rsidP="00C519E3">
      <w:pPr>
        <w:spacing w:line="480" w:lineRule="auto"/>
        <w:contextualSpacing/>
        <w:rPr>
          <w:b/>
        </w:rPr>
      </w:pPr>
      <w:r>
        <w:rPr>
          <w:b/>
        </w:rPr>
        <w:t>Participants and Procedure</w:t>
      </w:r>
      <w:r w:rsidR="008C6CB1">
        <w:rPr>
          <w:b/>
        </w:rPr>
        <w:t>s</w:t>
      </w:r>
    </w:p>
    <w:p w14:paraId="16F58F12" w14:textId="6636DFB0" w:rsidR="00965573" w:rsidRPr="00292779" w:rsidRDefault="007067FB" w:rsidP="00965573">
      <w:pPr>
        <w:spacing w:line="480" w:lineRule="auto"/>
        <w:contextualSpacing/>
      </w:pPr>
      <w:r w:rsidRPr="00292779">
        <w:tab/>
      </w:r>
      <w:r w:rsidR="00D2112D" w:rsidRPr="00292779">
        <w:t xml:space="preserve">Participants were recruited from </w:t>
      </w:r>
      <w:r w:rsidR="00815B8E" w:rsidRPr="00292779">
        <w:t>January, 2013 to February</w:t>
      </w:r>
      <w:r w:rsidR="00F16B48" w:rsidRPr="00292779">
        <w:t>, 2016 through advertisements</w:t>
      </w:r>
      <w:r w:rsidR="00815B8E" w:rsidRPr="00292779">
        <w:t xml:space="preserve"> and</w:t>
      </w:r>
      <w:r w:rsidR="00A52F62" w:rsidRPr="00292779">
        <w:t xml:space="preserve"> clinician referrals</w:t>
      </w:r>
      <w:r w:rsidR="00F16B48" w:rsidRPr="00292779">
        <w:t>.</w:t>
      </w:r>
      <w:r w:rsidR="007D0A2A" w:rsidRPr="00292779">
        <w:t xml:space="preserve"> </w:t>
      </w:r>
      <w:r w:rsidR="002D5FEB" w:rsidRPr="00292779">
        <w:t>Participants and parents or guardians were first screened via phone for eligibility, and po</w:t>
      </w:r>
      <w:r w:rsidR="009A49AC" w:rsidRPr="00292779">
        <w:t xml:space="preserve">tentially eligible individuals completed in-person assessment to determine </w:t>
      </w:r>
      <w:r w:rsidR="009A49AC" w:rsidRPr="00292779">
        <w:lastRenderedPageBreak/>
        <w:t>eligibility.</w:t>
      </w:r>
      <w:r w:rsidR="00E8358E" w:rsidRPr="00292779">
        <w:t xml:space="preserve"> Parents or guardians of all participants provided informed consent and participants provided informed assent. </w:t>
      </w:r>
      <w:r w:rsidR="008A516D" w:rsidRPr="00292779">
        <w:t xml:space="preserve">Detailed description of the study procedure </w:t>
      </w:r>
      <w:r w:rsidR="002B6EC0" w:rsidRPr="00292779">
        <w:t>is reported</w:t>
      </w:r>
      <w:r w:rsidR="006179AB">
        <w:t xml:space="preserve"> elsewhere </w:t>
      </w:r>
      <w:r w:rsidR="006179AB">
        <w:fldChar w:fldCharType="begin" w:fldLock="1"/>
      </w:r>
      <w:r w:rsidR="00D94869">
        <w:instrText>ADDIN CSL_CITATION {"citationItems":[{"id":"ITEM-1","itemData":{"author":[{"dropping-particle":"","family":"Harvey","given":"Allison G.","non-dropping-particle":"","parse-names":false,"suffix":""},{"dropping-particle":"","family":"Hein","given":"Kerrie","non-dropping-particle":"","parse-names":false,"suffix":""},{"dropping-particle":"","family":"Dolsen","given":"Michael","non-dropping-particle":"","parse-names":false,"suffix":""},{"dropping-particle":"","family":"Dong","given":"Lu","non-dropping-particle":"","parse-names":false,"suffix":""},{"dropping-particle":"","family":"Rabe-Hesketh","given":"Sophia","non-dropping-particle":"","parse-names":false,"suffix":""},{"dropping-particle":"","family":"Gumport","given":"Nicole B.","non-dropping-particle":"","parse-names":false,"suffix":""},{"dropping-particle":"","family":"Kanady","given":"Jennifer","non-dropping-particle":"","parse-names":false,"suffix":""},{"dropping-particle":"","family":"Wyatt","given":"James K.","non-dropping-particle":"","parse-names":false,"suffix":""},{"dropping-particle":"","family":"Hinshaw","given":"Stephen P.","non-dropping-particle":"","parse-names":false,"suffix":""},{"dropping-particle":"","family":"Silk","given":"Jennifer S.","non-dropping-particle":"","parse-names":false,"suffix":""},{"dropping-particle":"","family":"Smith","given":"Rita L.","non-dropping-particle":"","parse-names":false,"suffix":""},{"dropping-particle":"","family":"Thompson","given":"Monique A.","non-dropping-particle":"","parse-names":false,"suffix":""},{"dropping-particle":"","family":"Zannone","given":"Nancee","non-dropping-particle":"","parse-names":false,"suffix":""},{"dropping-particle":"","family":"Blum","given":"Daniel Jin","non-dropping-particle":"","parse-names":false,"suffix":""}],"container-title":"Journal of the American Academy of Child and Adolescent Psychiatry","id":"ITEM-1","issued":{"date-parts":[["2018"]]},"title":"Modifying the impact of eveningness chronotype (‘night-owls’) in adolescence: A randomized controlled trial","type":"article-journal"},"uris":["http://www.mendeley.com/documents/?uuid=580c396e-1534-4e4a-b983-95ff357e82ce"]}],"mendeley":{"formattedCitation":"(Harvey et al., 2018)","manualFormatting":"(Harvey et al., in press)","plainTextFormattedCitation":"(Harvey et al., 2018)","previouslyFormattedCitation":"(Harvey et al., 2018)"},"properties":{"noteIndex":0},"schema":"https://github.com/citation-style-language/schema/raw/master/csl-citation.json"}</w:instrText>
      </w:r>
      <w:r w:rsidR="006179AB">
        <w:fldChar w:fldCharType="separate"/>
      </w:r>
      <w:r w:rsidR="006179AB">
        <w:rPr>
          <w:noProof/>
        </w:rPr>
        <w:t>(Harvey et al., in press</w:t>
      </w:r>
      <w:r w:rsidR="006179AB" w:rsidRPr="006179AB">
        <w:rPr>
          <w:noProof/>
        </w:rPr>
        <w:t>)</w:t>
      </w:r>
      <w:r w:rsidR="006179AB">
        <w:fldChar w:fldCharType="end"/>
      </w:r>
      <w:r w:rsidR="002B6EC0" w:rsidRPr="00292779">
        <w:t xml:space="preserve">. </w:t>
      </w:r>
      <w:r w:rsidR="007D0A2A" w:rsidRPr="00292779">
        <w:t xml:space="preserve">Participant flow is illustrated in </w:t>
      </w:r>
      <w:r w:rsidR="007D0A2A" w:rsidRPr="00292779">
        <w:rPr>
          <w:i/>
        </w:rPr>
        <w:t>Figure 1</w:t>
      </w:r>
      <w:r w:rsidR="007D0A2A" w:rsidRPr="00292779">
        <w:t xml:space="preserve">. </w:t>
      </w:r>
    </w:p>
    <w:p w14:paraId="2AB1E455" w14:textId="57B1A0E7" w:rsidR="00BF4340" w:rsidRPr="00292779" w:rsidRDefault="004C237D" w:rsidP="0002260E">
      <w:pPr>
        <w:spacing w:line="480" w:lineRule="auto"/>
        <w:ind w:firstLine="720"/>
        <w:contextualSpacing/>
      </w:pPr>
      <w:r w:rsidRPr="00292779">
        <w:t xml:space="preserve">Inclusion criteria were:  </w:t>
      </w:r>
      <w:r w:rsidR="007E5C8F" w:rsidRPr="00292779">
        <w:t>(a) were between 10 and 18 years old, living with a</w:t>
      </w:r>
      <w:r w:rsidR="00965573" w:rsidRPr="00292779">
        <w:t xml:space="preserve"> </w:t>
      </w:r>
      <w:r w:rsidR="007E5C8F" w:rsidRPr="00292779">
        <w:t xml:space="preserve">parent or guardian, and attending a class/job by 9am at least 3 </w:t>
      </w:r>
      <w:r w:rsidR="007E5C8F" w:rsidRPr="008B4375">
        <w:rPr>
          <w:color w:val="000000" w:themeColor="text1"/>
        </w:rPr>
        <w:t>days per week; (b) were fluent in</w:t>
      </w:r>
      <w:r w:rsidR="00965573" w:rsidRPr="008B4375">
        <w:rPr>
          <w:color w:val="000000" w:themeColor="text1"/>
        </w:rPr>
        <w:t xml:space="preserve"> </w:t>
      </w:r>
      <w:r w:rsidR="007E5C8F" w:rsidRPr="008B4375">
        <w:rPr>
          <w:color w:val="000000" w:themeColor="text1"/>
        </w:rPr>
        <w:t>English; (c) were able and willing to give informed assent; (d) reported eveningness as</w:t>
      </w:r>
      <w:r w:rsidR="00965573" w:rsidRPr="008B4375">
        <w:rPr>
          <w:color w:val="000000" w:themeColor="text1"/>
        </w:rPr>
        <w:t xml:space="preserve"> </w:t>
      </w:r>
      <w:r w:rsidR="007E5C8F" w:rsidRPr="008B4375">
        <w:rPr>
          <w:color w:val="000000" w:themeColor="text1"/>
        </w:rPr>
        <w:t>demonstrated by scoring within the lowest quartile of the Children’s Morningness-Eveningness</w:t>
      </w:r>
      <w:r w:rsidR="00965573" w:rsidRPr="008B4375">
        <w:rPr>
          <w:color w:val="000000" w:themeColor="text1"/>
        </w:rPr>
        <w:t xml:space="preserve"> Preferences Scale (CMEP; 27 or lower)</w:t>
      </w:r>
      <w:r w:rsidR="003175EE">
        <w:rPr>
          <w:color w:val="000000" w:themeColor="text1"/>
        </w:rPr>
        <w:t xml:space="preserve"> </w:t>
      </w:r>
      <w:r w:rsidR="003175EE">
        <w:rPr>
          <w:color w:val="000000" w:themeColor="text1"/>
        </w:rPr>
        <w:fldChar w:fldCharType="begin" w:fldLock="1"/>
      </w:r>
      <w:r w:rsidR="0063500B">
        <w:rPr>
          <w:color w:val="000000" w:themeColor="text1"/>
        </w:rPr>
        <w:instrText>ADDIN CSL_CITATION {"citationItems":[{"id":"ITEM-1","itemData":{"DOI":"10.1111/j.1469-7610.2011.02502.x","ISBN":"1469-7610 (Electronic)\\r0021-9630 (Linking)","ISSN":"00219630","PMID":"22188424","abstract":"BACKGROUND:   Two understudied risk factors that have been linked to emotional difficulties in adolescence are chronotype and sleep deprivation. This study extended past research by using an experimental design to investigate the role of sleep deprivation and chronotype on emotion in adolescents. It was hypothesized that sleep deprivation and an evening chronotype would be associated with decreased positive affect (PA), increased negative affect (NA), and lower positivity ratios.\\n\\nMETHODS:   Forty-seven healthy adolescents (aged 10-15 for girls, 11-16 for boys) participated in a sleep deprivation and a rested condition. A subsample of 24 adolescents was selected on the basis of extreme morningness or eveningness scores (based on outer quartiles of scores on the Children's Morningness-Eveningness Preferences Scale). PA and NA were measured using the Positive and Negative Affect Schedule for Children, and positivity ratios were calculated by dividing PA by NA.\\n\\nRESULTS:   Participants reported less positive affect and lower positivity ratios when sleep deprived, relative to when rested. Evening chronotypes reported less positive affect and lower positivity ratios than morning chronotypes in both rested and sleep deprivation conditions.\\n\\nCONCLUSIONS:   These findings extend previous research by suggesting that adolescents are adversely impacted by sleep deprivation, and that an evening chronotype might serve as a useful marker of emotional vulnerability. Early intervention and prevention strategies can focus on improving sleep and on using chronotherapy principles to reduce eveningness.","author":[{"dropping-particle":"","family":"Dagys","given":"Natasha","non-dropping-particle":"","parse-names":false,"suffix":""},{"dropping-particle":"","family":"McGlinchey","given":"Eleanor L.","non-dropping-particle":"","parse-names":false,"suffix":""},{"dropping-particle":"","family":"Talbot","given":"Lisa S.","non-dropping-particle":"","parse-names":false,"suffix":""},{"dropping-particle":"","family":"Kaplan","given":"Katherine A.","non-dropping-particle":"","parse-names":false,"suffix":""},{"dropping-particle":"","family":"Dahl","given":"Ronald E.","non-dropping-particle":"","parse-names":false,"suffix":""},{"dropping-particle":"","family":"Harvey","given":"Allison G.","non-dropping-particle":"","parse-names":false,"suffix":""}],"container-title":"Journal of Child Psychology and Psychiatry and Allied Disciplines","id":"ITEM-1","issue":"6","issued":{"date-parts":[["2012"]]},"page":"660-667","title":"Double trouble? The effects of sleep deprivation and chronotype on adolescent affect","type":"article-journal","volume":"53"},"uris":["http://www.mendeley.com/documents/?uuid=804a4c0f-ed35-467f-a876-f520e4a89c1d"]}],"mendeley":{"formattedCitation":"(Dagys et al., 2012)","plainTextFormattedCitation":"(Dagys et al., 2012)","previouslyFormattedCitation":"(Dagys et al., 2012)"},"properties":{"noteIndex":0},"schema":"https://github.com/citation-style-language/schema/raw/master/csl-citation.json"}</w:instrText>
      </w:r>
      <w:r w:rsidR="003175EE">
        <w:rPr>
          <w:color w:val="000000" w:themeColor="text1"/>
        </w:rPr>
        <w:fldChar w:fldCharType="separate"/>
      </w:r>
      <w:r w:rsidR="003175EE" w:rsidRPr="003175EE">
        <w:rPr>
          <w:noProof/>
          <w:color w:val="000000" w:themeColor="text1"/>
        </w:rPr>
        <w:t>(Dagys et al., 2012)</w:t>
      </w:r>
      <w:r w:rsidR="003175EE">
        <w:rPr>
          <w:color w:val="000000" w:themeColor="text1"/>
        </w:rPr>
        <w:fldChar w:fldCharType="end"/>
      </w:r>
      <w:r w:rsidR="008B4375">
        <w:rPr>
          <w:color w:val="000000" w:themeColor="text1"/>
        </w:rPr>
        <w:t xml:space="preserve"> </w:t>
      </w:r>
      <w:r w:rsidR="00965573" w:rsidRPr="008B4375">
        <w:rPr>
          <w:color w:val="000000" w:themeColor="text1"/>
        </w:rPr>
        <w:t xml:space="preserve"> and had a 7-day sleep diary sh</w:t>
      </w:r>
      <w:r w:rsidR="00965573" w:rsidRPr="00292779">
        <w:t xml:space="preserve">owing a sleep onset time of 10:40pm or later for 10-13 year </w:t>
      </w:r>
      <w:proofErr w:type="spellStart"/>
      <w:r w:rsidR="00965573" w:rsidRPr="00292779">
        <w:t>olds</w:t>
      </w:r>
      <w:proofErr w:type="spellEnd"/>
      <w:r w:rsidR="00965573" w:rsidRPr="00292779">
        <w:t xml:space="preserve">, 11pm or later for 14-16 year </w:t>
      </w:r>
      <w:proofErr w:type="spellStart"/>
      <w:r w:rsidR="00965573" w:rsidRPr="00292779">
        <w:t>olds</w:t>
      </w:r>
      <w:proofErr w:type="spellEnd"/>
      <w:r w:rsidR="00965573" w:rsidRPr="00292779">
        <w:t xml:space="preserve">, and 11:20pm or later for 17-18 year </w:t>
      </w:r>
      <w:proofErr w:type="spellStart"/>
      <w:r w:rsidR="00965573" w:rsidRPr="00292779">
        <w:t>olds</w:t>
      </w:r>
      <w:proofErr w:type="spellEnd"/>
      <w:r w:rsidR="00965573" w:rsidRPr="00292779">
        <w:t xml:space="preserve"> at least 3 nights per </w:t>
      </w:r>
      <w:r w:rsidR="00965573" w:rsidRPr="008D19FE">
        <w:t xml:space="preserve">week </w:t>
      </w:r>
      <w:r w:rsidR="00965573" w:rsidRPr="00A2418F">
        <w:t>for the last 3 months</w:t>
      </w:r>
      <w:r w:rsidR="00727E36" w:rsidRPr="00292779">
        <w:t>; and e)</w:t>
      </w:r>
      <w:r w:rsidR="00965573" w:rsidRPr="00292779">
        <w:t xml:space="preserve"> participants must fall into an ‘at risk’ range on measures of at least one of the five health domains (see Table 1).</w:t>
      </w:r>
    </w:p>
    <w:p w14:paraId="14FADC57" w14:textId="01B50397" w:rsidR="004C237D" w:rsidRPr="00292779" w:rsidRDefault="00292E5C" w:rsidP="00965573">
      <w:pPr>
        <w:spacing w:line="480" w:lineRule="auto"/>
        <w:ind w:firstLine="720"/>
        <w:contextualSpacing/>
      </w:pPr>
      <w:r w:rsidRPr="00292779">
        <w:t>Exclusion</w:t>
      </w:r>
      <w:r w:rsidR="004C237D" w:rsidRPr="00292779">
        <w:t xml:space="preserve"> criteria were: </w:t>
      </w:r>
      <w:r w:rsidR="00965573" w:rsidRPr="00292779">
        <w:t>(a) an active, progressive physical illness or neurological degenerative disease directly related to the onset and course of the sleep disturbance; (b) evidence of obstructive sleep apnea, restless legs syndrome, or periodic limb movement disorder</w:t>
      </w:r>
      <w:r w:rsidR="006A4408">
        <w:t xml:space="preserve"> (those presented with provisional diagnoses of these disorders were referred for a polysomnography evaluation at the parent’s discretion and were enrolled only if the diagnosis was disconfirmed)</w:t>
      </w:r>
      <w:r w:rsidR="00965573" w:rsidRPr="00292779">
        <w:t>; (c) significantly impairing pervasive developmental disorder; (d) bipolar disorder, schizophrenia, or another current Axis I disorder if there was a risk of harm if treatment was delayed. Participants ceased taking medications that alter sleep (e.g., hypnotics) 4 weeks prior to the assessment (2 weeks for melatonin) or w</w:t>
      </w:r>
      <w:r w:rsidR="000B5B71" w:rsidRPr="00292779">
        <w:t>ere excluded; and</w:t>
      </w:r>
      <w:r w:rsidR="00965573" w:rsidRPr="00292779">
        <w:t xml:space="preserve"> </w:t>
      </w:r>
      <w:r w:rsidR="000B5B71" w:rsidRPr="00292779">
        <w:t>e)</w:t>
      </w:r>
      <w:r w:rsidR="00965573" w:rsidRPr="00292779">
        <w:t xml:space="preserve"> history of substance dependence in the past six months or current suicide risk sufficient to preclude treatment on an outpatient basis was exclusionary.</w:t>
      </w:r>
    </w:p>
    <w:p w14:paraId="76E3B25F" w14:textId="77777777" w:rsidR="0097571F" w:rsidRPr="00292779" w:rsidRDefault="0097571F" w:rsidP="003E7535">
      <w:pPr>
        <w:spacing w:line="480" w:lineRule="auto"/>
        <w:contextualSpacing/>
        <w:rPr>
          <w:b/>
        </w:rPr>
      </w:pPr>
      <w:r w:rsidRPr="00292779">
        <w:rPr>
          <w:b/>
        </w:rPr>
        <w:t>Treatment Conditions</w:t>
      </w:r>
    </w:p>
    <w:p w14:paraId="701CE7B8" w14:textId="74EE1ACC" w:rsidR="0099330B" w:rsidRPr="00292779" w:rsidRDefault="00B55F73" w:rsidP="003E7535">
      <w:pPr>
        <w:spacing w:line="480" w:lineRule="auto"/>
        <w:contextualSpacing/>
      </w:pPr>
      <w:r w:rsidRPr="00292779">
        <w:lastRenderedPageBreak/>
        <w:tab/>
      </w:r>
      <w:r w:rsidR="00854095" w:rsidRPr="00292779">
        <w:t xml:space="preserve">Both treatments involved 6 individual, weekly 50-minute sessions delivered during the school year </w:t>
      </w:r>
      <w:r w:rsidR="0099330B" w:rsidRPr="00292779">
        <w:t xml:space="preserve">by </w:t>
      </w:r>
      <w:r w:rsidR="004B4205" w:rsidRPr="00292779">
        <w:t>doctoral or master-</w:t>
      </w:r>
      <w:r w:rsidR="00477FD7" w:rsidRPr="00292779">
        <w:t xml:space="preserve">level therapists. </w:t>
      </w:r>
      <w:r w:rsidR="0077704E" w:rsidRPr="00292779">
        <w:t xml:space="preserve">Both treatments. </w:t>
      </w:r>
      <w:r w:rsidR="00475AE9" w:rsidRPr="00292779">
        <w:t xml:space="preserve">A key difference between treatment conditions is that </w:t>
      </w:r>
      <w:r w:rsidR="00E27073" w:rsidRPr="00292779">
        <w:t xml:space="preserve">TranS-C </w:t>
      </w:r>
      <w:r w:rsidR="00450716" w:rsidRPr="00292779">
        <w:t>promotes</w:t>
      </w:r>
      <w:r w:rsidR="009C6614" w:rsidRPr="00292779">
        <w:t xml:space="preserve"> </w:t>
      </w:r>
      <w:r w:rsidR="00E27073" w:rsidRPr="00292779">
        <w:t xml:space="preserve">behavior change </w:t>
      </w:r>
      <w:r w:rsidR="00450716" w:rsidRPr="00292779">
        <w:t xml:space="preserve">whereas PE </w:t>
      </w:r>
      <w:r w:rsidR="00BA0032" w:rsidRPr="00292779">
        <w:t>only provides information without facilitating behavior change</w:t>
      </w:r>
      <w:r w:rsidR="00E60E61" w:rsidRPr="00292779">
        <w:t xml:space="preserve">, </w:t>
      </w:r>
      <w:r w:rsidR="00744DAA" w:rsidRPr="00292779">
        <w:t xml:space="preserve">and this </w:t>
      </w:r>
      <w:r w:rsidR="00133D9D" w:rsidRPr="00292779">
        <w:t xml:space="preserve">treatment </w:t>
      </w:r>
      <w:r w:rsidR="00744DAA" w:rsidRPr="00292779">
        <w:t>differentiation has been confirmed by coding</w:t>
      </w:r>
      <w:r w:rsidR="00450716" w:rsidRPr="00292779">
        <w:t xml:space="preserve">. </w:t>
      </w:r>
      <w:r w:rsidR="00132C79" w:rsidRPr="00292779">
        <w:t>Full details about the treatment conditions are reported elsewhere (Harvey et al., 2017).</w:t>
      </w:r>
    </w:p>
    <w:p w14:paraId="183ECC44" w14:textId="350C7F1A" w:rsidR="00947387" w:rsidRPr="00292779" w:rsidRDefault="00587B82" w:rsidP="0099330B">
      <w:pPr>
        <w:spacing w:line="480" w:lineRule="auto"/>
        <w:ind w:firstLine="720"/>
        <w:contextualSpacing/>
        <w:rPr>
          <w:color w:val="FF0000"/>
        </w:rPr>
      </w:pPr>
      <w:r w:rsidRPr="00292779">
        <w:rPr>
          <w:b/>
        </w:rPr>
        <w:t>Transdiagnostic Sleep and Circadian Intervention for Youth (</w:t>
      </w:r>
      <w:r w:rsidR="00CD2F4F" w:rsidRPr="00292779">
        <w:rPr>
          <w:b/>
        </w:rPr>
        <w:t>TranS-C</w:t>
      </w:r>
      <w:r w:rsidRPr="00292779">
        <w:rPr>
          <w:b/>
        </w:rPr>
        <w:t>)</w:t>
      </w:r>
      <w:r w:rsidR="00CD2F4F" w:rsidRPr="002858F5">
        <w:t>.</w:t>
      </w:r>
      <w:r w:rsidR="00CD2F4F" w:rsidRPr="00292779">
        <w:rPr>
          <w:b/>
        </w:rPr>
        <w:t xml:space="preserve"> </w:t>
      </w:r>
      <w:r w:rsidR="00E276C0" w:rsidRPr="00E276C0">
        <w:t xml:space="preserve">As documented elsewhere </w:t>
      </w:r>
      <w:r w:rsidR="00E276C0" w:rsidRPr="00E276C0">
        <w:fldChar w:fldCharType="begin" w:fldLock="1"/>
      </w:r>
      <w:r w:rsidR="00E276C0" w:rsidRPr="00E276C0">
        <w:instrText>ADDIN CSL_CITATION {"citationItems":[{"id":"ITEM-1","itemData":{"author":[{"dropping-particle":"","family":"Harvey","given":"Allison G.","non-dropping-particle":"","parse-names":false,"suffix":""},{"dropping-particle":"","family":"Buysse","given":"D. J.","non-dropping-particle":"","parse-names":false,"suffix":""}],"id":"ITEM-1","issued":{"date-parts":[["2017"]]},"publisher":"The Guilford Press","publisher-place":"New York, NY","title":"Treating Sleep Problems: A Transdiagnostic Approach","type":"book"},"uris":["http://www.mendeley.com/documents/?uuid=15217c6d-68ef-4b3f-8b1c-63e9179b00c9"]},{"id":"ITEM-2","itemData":{"DOI":"10.1016/j.cbpra.2015.06.001","ISSN":"10777229","abstract":"Abstract Sleep disturbance is an important contributor to, and maybe even cause of, vicious cycles of escalating vulnerability and increased risk among youth as they prepare to, and transition into, adulthood. The aim of this paper is to describe the scientific derivation of, and components of, the Youth version of the Transdiagnostic Sleep and Circadian Intervention (TranS-C-Youth) to improve sleep. TranS-C-Youth draws from sources that are informed by basic sleep/circadian principles and aims to help clinicians address the broad range of sleep disturbances that are often experienced during adolescence and the transition to adulthood years. The advantages of developing a transdiagnostic treatment are outlined and include that this approach may reduce the \"too many empirically supported treatments problem\" (Weisz, Ng, &amp;amp; Bearman, 2014, p. 68). TranS-C-Youth is comprised of both core and optional modules and thus promotes maximum flexibility as well as efficiency.","author":[{"dropping-particle":"","family":"Harvey","given":"Allison G","non-dropping-particle":"","parse-names":false,"suffix":""}],"container-title":"Cognitive and Behavioral Practice","id":"ITEM-2","issue":"3","issued":{"date-parts":[["2016","8"]]},"page":"341-355","title":"A Transdiagnostic Intervention for Youth Sleep and Circadian Problems","type":"article-journal","volume":"23"},"uris":["http://www.mendeley.com/documents/?uuid=b73b4ef3-3650-4b28-9c14-5046eb05cc8b"]}],"mendeley":{"formattedCitation":"(Harvey, 2016; Harvey &amp; Buysse, 2017)","plainTextFormattedCitation":"(Harvey, 2016; Harvey &amp; Buysse, 2017)","previouslyFormattedCitation":"(Harvey, 2016; Harvey &amp; Buysse, 2017)"},"properties":{"noteIndex":0},"schema":"https://github.com/citation-style-language/schema/raw/master/csl-citation.json"}</w:instrText>
      </w:r>
      <w:r w:rsidR="00E276C0" w:rsidRPr="00E276C0">
        <w:fldChar w:fldCharType="separate"/>
      </w:r>
      <w:r w:rsidR="00E276C0" w:rsidRPr="00E276C0">
        <w:rPr>
          <w:noProof/>
        </w:rPr>
        <w:t>(Harvey, 2016; Harvey &amp; Buysse, 2017)</w:t>
      </w:r>
      <w:r w:rsidR="00E276C0" w:rsidRPr="00E276C0">
        <w:fldChar w:fldCharType="end"/>
      </w:r>
      <w:r w:rsidR="00E276C0" w:rsidRPr="00E276C0">
        <w:t xml:space="preserve">, </w:t>
      </w:r>
      <w:r w:rsidR="00B44AF4" w:rsidRPr="00E276C0">
        <w:t xml:space="preserve">TranS-C </w:t>
      </w:r>
      <w:r w:rsidR="00A70C2D" w:rsidRPr="00E276C0">
        <w:t>was developed</w:t>
      </w:r>
      <w:r w:rsidR="00A70C2D" w:rsidRPr="00292779">
        <w:t xml:space="preserve"> </w:t>
      </w:r>
      <w:r w:rsidR="002A2CB7">
        <w:t xml:space="preserve">based on sleep and circadian principles </w:t>
      </w:r>
      <w:r w:rsidR="00F45A85">
        <w:t>and the</w:t>
      </w:r>
      <w:r w:rsidR="00245556" w:rsidRPr="00292779">
        <w:t xml:space="preserve"> transdia</w:t>
      </w:r>
      <w:r w:rsidR="002A2CB7">
        <w:t>gnostic approach</w:t>
      </w:r>
      <w:r w:rsidR="00245556" w:rsidRPr="00292779">
        <w:t xml:space="preserve">. </w:t>
      </w:r>
      <w:r w:rsidR="005665E3" w:rsidRPr="005665E3">
        <w:t>There are four sources for TranS-C: Cognitive Behavior Therapy for Insomnia</w:t>
      </w:r>
      <w:r w:rsidR="009F1676">
        <w:t xml:space="preserve"> </w:t>
      </w:r>
      <w:r w:rsidR="009F1676">
        <w:fldChar w:fldCharType="begin" w:fldLock="1"/>
      </w:r>
      <w:r w:rsidR="009F1676">
        <w:instrText>ADDIN CSL_CITATION {"citationItems":[{"id":"ITEM-1","itemData":{"DOI":"10.1093/sleep/29.11.1398","ISSN":"1550-9109","author":[{"dropping-particle":"","family":"Morin","given":"Charles M","non-dropping-particle":"","parse-names":false,"suffix":""},{"dropping-particle":"","family":"Bootzin","given":"Richard R","non-dropping-particle":"","parse-names":false,"suffix":""},{"dropping-particle":"","family":"Buysse","given":"Daniel J","non-dropping-particle":"","parse-names":false,"suffix":""},{"dropping-particle":"","family":"Edinger","given":"Jack D","non-dropping-particle":"","parse-names":false,"suffix":""},{"dropping-particle":"","family":"Espie","given":"Colin A","non-dropping-particle":"","parse-names":false,"suffix":""},{"dropping-particle":"","family":"Lichstein","given":"Kenneth L","non-dropping-particle":"","parse-names":false,"suffix":""}],"container-title":"Sleep","id":"ITEM-1","issue":"11","issued":{"date-parts":[["2006","11"]]},"page":"1398-1414","title":"Psychological And Behavioral Treatment Of Insomnia: Update Of The Recent Evidence (1998–2004)","type":"article-journal","volume":"29"},"uris":["http://www.mendeley.com/documents/?uuid=1980f72e-ced7-4627-92b6-5e781f662342"]},{"id":"ITEM-2","itemData":{"author":[{"dropping-particle":"","family":"Morin","given":"Charles M","non-dropping-particle":"","parse-names":false,"suffix":""},{"dropping-particle":"","family":"Espie","given":"Colin A.","non-dropping-particle":"","parse-names":false,"suffix":""}],"id":"ITEM-2","issued":{"date-parts":[["2003"]]},"publisher":"Kluwer Academic/Plenum Publishers","publisher-place":"New York, NY","title":"Insomnia: A clinical guide to assessment and treatment","type":"book"},"uris":["http://www.mendeley.com/documents/?uuid=764c53ce-a3f8-408c-97a3-1f6362c4a297"]},{"id":"ITEM-3","itemData":{"author":[{"dropping-particle":"","family":"Perlis","given":"M. L.","non-dropping-particle":"","parse-names":false,"suffix":""},{"dropping-particle":"","family":"Aloia","given":"Mark S.","non-dropping-particle":"","parse-names":false,"suffix":""},{"dropping-particle":"","family":"Kuhn","given":"B.","non-dropping-particle":"","parse-names":false,"suffix":""}],"id":"ITEM-3","issued":{"date-parts":[["2011"]]},"publisher":"Elsevier","publisher-place":"Amsterdam","title":"Behavioral Treatment for Sleep Disorders: A Comprehensive Primer of Behavioral Sleep Medicine","type":"book"},"uris":["http://www.mendeley.com/documents/?uuid=1cea8134-b685-4c2c-9732-87fd8657a909"]}],"mendeley":{"formattedCitation":"(Morin et al., 2006; Morin &amp; Espie, 2003; Perlis, Aloia, &amp; Kuhn, 2011)","plainTextFormattedCitation":"(Morin et al., 2006; Morin &amp; Espie, 2003; Perlis, Aloia, &amp; Kuhn, 2011)","previouslyFormattedCitation":"(Morin et al., 2006; Morin &amp; Espie, 2003; Perlis, Aloia, &amp; Kuhn, 2011)"},"properties":{"noteIndex":0},"schema":"https://github.com/citation-style-language/schema/raw/master/csl-citation.json"}</w:instrText>
      </w:r>
      <w:r w:rsidR="009F1676">
        <w:fldChar w:fldCharType="separate"/>
      </w:r>
      <w:r w:rsidR="009F1676" w:rsidRPr="009F1676">
        <w:rPr>
          <w:noProof/>
        </w:rPr>
        <w:t>(Morin et al., 2006; Morin &amp; Espie, 2003; Perlis, Aloia, &amp; Kuhn, 2011)</w:t>
      </w:r>
      <w:r w:rsidR="009F1676">
        <w:fldChar w:fldCharType="end"/>
      </w:r>
      <w:r w:rsidR="005665E3" w:rsidRPr="005665E3">
        <w:t>, Interpersonal and Social Rhythm Therapy</w:t>
      </w:r>
      <w:r w:rsidR="009F1676">
        <w:t xml:space="preserve"> </w:t>
      </w:r>
      <w:r w:rsidR="009F1676">
        <w:fldChar w:fldCharType="begin" w:fldLock="1"/>
      </w:r>
      <w:r w:rsidR="009F1676">
        <w:instrText>ADDIN CSL_CITATION {"citationItems":[{"id":"ITEM-1","itemData":{"DOI":"10.1001/archpsyc.62.9.996","ISSN":"0003-990X","author":[{"dropping-particle":"","family":"Frank","given":"Ellen","non-dropping-particle":"","parse-names":false,"suffix":""},{"dropping-particle":"","family":"Kupfer","given":"David J","non-dropping-particle":"","parse-names":false,"suffix":""},{"dropping-particle":"","family":"Thase","given":"Michael E","non-dropping-particle":"","parse-names":false,"suffix":""},{"dropping-particle":"","family":"Mallinger","given":"Alan G","non-dropping-particle":"","parse-names":false,"suffix":""},{"dropping-particle":"","family":"Swartz","given":"Holly A.","non-dropping-particle":"","parse-names":false,"suffix":""},{"dropping-particle":"","family":"Fagiolini","given":"Andrea M.","non-dropping-particle":"","parse-names":false,"suffix":""},{"dropping-particle":"","family":"Grochocinski","given":"Victoria","non-dropping-particle":"","parse-names":false,"suffix":""},{"dropping-particle":"","family":"Houck","given":"Patricia","non-dropping-particle":"","parse-names":false,"suffix":""},{"dropping-particle":"","family":"Scott","given":"John","non-dropping-particle":"","parse-names":false,"suffix":""},{"dropping-particle":"","family":"Thompson","given":"Wesley","non-dropping-particle":"","parse-names":false,"suffix":""},{"dropping-particle":"","family":"Monk","given":"Timothy","non-dropping-particle":"","parse-names":false,"suffix":""}],"container-title":"Archives of General Psychiatry","id":"ITEM-1","issue":"9","issued":{"date-parts":[["2005","9","1"]]},"page":"996","title":"Two-Year Outcomes for Interpersonal and Social Rhythm Therapy in Individuals With Bipolar I Disorder","type":"article-journal","volume":"62"},"uris":["http://www.mendeley.com/documents/?uuid=d628641c-9d92-4f25-8a56-f7742d7c846d"]}],"mendeley":{"formattedCitation":"(Frank et al., 2005)","plainTextFormattedCitation":"(Frank et al., 2005)","previouslyFormattedCitation":"(Frank et al., 2005)"},"properties":{"noteIndex":0},"schema":"https://github.com/citation-style-language/schema/raw/master/csl-citation.json"}</w:instrText>
      </w:r>
      <w:r w:rsidR="009F1676">
        <w:fldChar w:fldCharType="separate"/>
      </w:r>
      <w:r w:rsidR="009F1676" w:rsidRPr="009F1676">
        <w:rPr>
          <w:noProof/>
        </w:rPr>
        <w:t>(Frank et al., 2005)</w:t>
      </w:r>
      <w:r w:rsidR="009F1676">
        <w:fldChar w:fldCharType="end"/>
      </w:r>
      <w:r w:rsidR="005665E3" w:rsidRPr="005665E3">
        <w:t>, Chronotherapy</w:t>
      </w:r>
      <w:r w:rsidR="009F1676">
        <w:t xml:space="preserve"> </w:t>
      </w:r>
      <w:r w:rsidR="009F1676">
        <w:fldChar w:fldCharType="begin" w:fldLock="1"/>
      </w:r>
      <w:r w:rsidR="009F1676">
        <w:instrText>ADDIN CSL_CITATION {"citationItems":[{"id":"ITEM-1","itemData":{"abstract":"Chronotherapeutics for Affective Disorders: A Clinician's Manual for Light &amp; Wake Therapy. Basel: Karger; 2009.","author":[{"dropping-particle":"","family":"Wirz-Justice","given":"A","non-dropping-particle":"","parse-names":false,"suffix":""},{"dropping-particle":"","family":"Benedetti","given":"F","non-dropping-particle":"","parse-names":false,"suffix":""},{"dropping-particle":"","family":"Terman","given":"M","non-dropping-particle":"","parse-names":false,"suffix":""}],"id":"ITEM-1","issued":{"date-parts":[["2009"]]},"publisher":"Karger","publisher-place":"Basel","title":"Chronotherapeutics for Affective Disorders: A Clinician's Manual for Light &amp; Wake Therapy","type":"book"},"uris":["http://www.mendeley.com/documents/?uuid=81d8efff-2584-4d9e-b624-f03341e709c1"]}],"mendeley":{"formattedCitation":"(Wirz-Justice, Benedetti, &amp; Terman, 2009)","plainTextFormattedCitation":"(Wirz-Justice, Benedetti, &amp; Terman, 2009)","previouslyFormattedCitation":"(Wirz-Justice, Benedetti, &amp; Terman, 2009)"},"properties":{"noteIndex":0},"schema":"https://github.com/citation-style-language/schema/raw/master/csl-citation.json"}</w:instrText>
      </w:r>
      <w:r w:rsidR="009F1676">
        <w:fldChar w:fldCharType="separate"/>
      </w:r>
      <w:r w:rsidR="009F1676" w:rsidRPr="009F1676">
        <w:rPr>
          <w:noProof/>
        </w:rPr>
        <w:t>(Wirz-Justice, Benedetti, &amp; Terman, 2009)</w:t>
      </w:r>
      <w:r w:rsidR="009F1676">
        <w:fldChar w:fldCharType="end"/>
      </w:r>
      <w:r w:rsidR="005665E3" w:rsidRPr="005665E3">
        <w:t>, and Motivational interviewing</w:t>
      </w:r>
      <w:r w:rsidR="009F1676">
        <w:t xml:space="preserve"> </w:t>
      </w:r>
      <w:r w:rsidR="009F1676">
        <w:fldChar w:fldCharType="begin" w:fldLock="1"/>
      </w:r>
      <w:r w:rsidR="00740A83">
        <w:instrText>ADDIN CSL_CITATION {"citationItems":[{"id":"ITEM-1","itemData":{"author":[{"dropping-particle":"","family":"Miller","given":"W. R.","non-dropping-particle":"","parse-names":false,"suffix":""},{"dropping-particle":"","family":"Rollnick","given":"S","non-dropping-particle":"","parse-names":false,"suffix":""}],"id":"ITEM-1","issued":{"date-parts":[["2002"]]},"publisher":"Guilford Press","publisher-place":"New York","title":"Motivational interviewing: Preparing people for change","type":"book"},"uris":["http://www.mendeley.com/documents/?uuid=41277c69-bd30-473e-8a35-74766a0611b9"]}],"mendeley":{"formattedCitation":"(Miller &amp; Rollnick, 2002)","plainTextFormattedCitation":"(Miller &amp; Rollnick, 2002)","previouslyFormattedCitation":"(Miller &amp; Rollnick, 2002)"},"properties":{"noteIndex":0},"schema":"https://github.com/citation-style-language/schema/raw/master/csl-citation.json"}</w:instrText>
      </w:r>
      <w:r w:rsidR="009F1676">
        <w:fldChar w:fldCharType="separate"/>
      </w:r>
      <w:r w:rsidR="009F1676" w:rsidRPr="009F1676">
        <w:rPr>
          <w:noProof/>
        </w:rPr>
        <w:t>(Miller &amp; Rollnick, 2002)</w:t>
      </w:r>
      <w:r w:rsidR="009F1676">
        <w:fldChar w:fldCharType="end"/>
      </w:r>
      <w:r w:rsidR="005665E3" w:rsidRPr="005665E3">
        <w:t xml:space="preserve">. </w:t>
      </w:r>
      <w:r w:rsidR="00F25FEF" w:rsidRPr="00292779">
        <w:t xml:space="preserve">TranS-C </w:t>
      </w:r>
      <w:r w:rsidR="00B44AF4" w:rsidRPr="00292779">
        <w:t>targets psychosocial, behavioral, and cognitive processes that maintain sleep and circadian problems</w:t>
      </w:r>
      <w:r w:rsidR="0039632D">
        <w:t xml:space="preserve"> in youth. TranS-C </w:t>
      </w:r>
      <w:r w:rsidR="003C5BEE" w:rsidRPr="00292779">
        <w:t xml:space="preserve">includes </w:t>
      </w:r>
      <w:r w:rsidR="002C2C6F" w:rsidRPr="00292779">
        <w:t>4 cross-cutting modules</w:t>
      </w:r>
      <w:r w:rsidR="0039632D">
        <w:t xml:space="preserve"> (functional analysis, goal setting, motivational interviewing, education)</w:t>
      </w:r>
      <w:r w:rsidR="002C2C6F" w:rsidRPr="00292779">
        <w:t>, 4 core modules</w:t>
      </w:r>
      <w:r w:rsidR="0039632D">
        <w:t xml:space="preserve"> (behavioral components, daytime impairment, unhelpful beliefs, relapse prevention)</w:t>
      </w:r>
      <w:r w:rsidR="002C2C6F" w:rsidRPr="00292779">
        <w:t>, and 7 optional modules</w:t>
      </w:r>
      <w:r w:rsidR="0039632D">
        <w:t xml:space="preserve"> (</w:t>
      </w:r>
      <w:r w:rsidR="006A2719">
        <w:t>e.g., bedtime worr</w:t>
      </w:r>
      <w:r w:rsidR="0039632D">
        <w:t>y)</w:t>
      </w:r>
      <w:r w:rsidR="002C2C6F" w:rsidRPr="00292779">
        <w:t xml:space="preserve">. </w:t>
      </w:r>
    </w:p>
    <w:p w14:paraId="50CC21A1" w14:textId="60C4101F" w:rsidR="00951EB6" w:rsidRDefault="00CD2F4F" w:rsidP="003E7535">
      <w:pPr>
        <w:spacing w:line="480" w:lineRule="auto"/>
        <w:contextualSpacing/>
      </w:pPr>
      <w:r w:rsidRPr="00292779">
        <w:rPr>
          <w:b/>
        </w:rPr>
        <w:tab/>
      </w:r>
      <w:r w:rsidR="00450871" w:rsidRPr="00292779">
        <w:rPr>
          <w:b/>
        </w:rPr>
        <w:t>Psychoeducation (</w:t>
      </w:r>
      <w:r w:rsidRPr="00292779">
        <w:rPr>
          <w:b/>
        </w:rPr>
        <w:t>PE</w:t>
      </w:r>
      <w:r w:rsidR="00450871" w:rsidRPr="00292779">
        <w:rPr>
          <w:b/>
        </w:rPr>
        <w:t>)</w:t>
      </w:r>
      <w:r w:rsidRPr="00292779">
        <w:rPr>
          <w:b/>
        </w:rPr>
        <w:t xml:space="preserve">. </w:t>
      </w:r>
      <w:r w:rsidR="00AF2D4C" w:rsidRPr="00292779">
        <w:t>PE is an active control associated with sleep improvement</w:t>
      </w:r>
      <w:r w:rsidR="00DD53CD" w:rsidRPr="00292779">
        <w:t xml:space="preserve"> </w:t>
      </w:r>
      <w:r w:rsidR="00960999">
        <w:fldChar w:fldCharType="begin" w:fldLock="1"/>
      </w:r>
      <w:r w:rsidR="00AB0F6F">
        <w:instrText>ADDIN CSL_CITATION {"citationItems":[{"id":"ITEM-1","itemData":{"DOI":"10.1037/a0038655","ISBN":"0022-006X","ISSN":"1939-2117","PMID":"25622197","abstract":"OBJECTIVE: To determine if a treatment for interepisode bipolar disorder I patients with insomnia improves mood state, sleep, and functioning. METHOD: Alongside psychiatric care, interepisode bipolar disorder I participants with insomnia were randomly allocated to a bipolar disorder-specific modification of cognitive behavior therapy for insomnia (CBTI-BP; n = 30) or psychoeducation (PE; n = 28) as a comparison condition. Outcomes were assessed at baseline, the end of 8 sessions of treatment, and 6 months later. This pilot was conducted to determine initial feasibility and generate effect size estimates. RESULTS: During the 6-month follow-up, the CBTI-BP group had fewer days in a bipolar episode relative to the PE group (3.3 days vs. 25.5 days). The CBTI-BP group also experienced a significantly lower hypomania/mania relapse rate (4.6% vs. 31.6%) and a marginally lower overall mood episode relapse rate (13.6% vs. 42.1%) compared with the PE group. Relative to PE, CBTI-BP reduced insomnia severity and led to higher rates of insomnia remission at posttreatment and marginally higher rates at 6 months. Both CBTI-BP and PE showed statistically significant improvement on selected sleep and functional impairment measures. The effects of treatment were well sustained through follow-up for most outcomes, although some decline on secondary sleep benefits was observed. CONCLUSIONS: CBTI-BP was associated with reduced risk of mood episode relapse and improved sleep and functioning on certain outcomes in bipolar disorder. Hence, sleep disturbance appears to be an important pathway contributing to bipolar disorder. The need to develop bipolar disorder-specific sleep diary scoring standards is highlighted. (PsycINFO Database Record","author":[{"dropping-particle":"","family":"Harvey","given":"Allison G","non-dropping-particle":"","parse-names":false,"suffix":""},{"dropping-particle":"","family":"Soehner","given":"Adriane M","non-dropping-particle":"","parse-names":false,"suffix":""},{"dropping-particle":"","family":"Kaplan","given":"Kate A","non-dropping-particle":"","parse-names":false,"suffix":""},{"dropping-particle":"","family":"Hein","given":"Kerrie","non-dropping-particle":"","parse-names":false,"suffix":""},{"dropping-particle":"","family":"Lee","given":"Jason","non-dropping-particle":"","parse-names":false,"suffix":""},{"dropping-particle":"","family":"Kanady","given":"Jennifer","non-dropping-particle":"","parse-names":false,"suffix":""},{"dropping-particle":"","family":"Li","given":"Descartes","non-dropping-particle":"","parse-names":false,"suffix":""},{"dropping-particle":"","family":"Rabe-Hesketh","given":"Sophia","non-dropping-particle":"","parse-names":false,"suffix":""},{"dropping-particle":"","family":"Ketter","given":"Terence A","non-dropping-particle":"","parse-names":false,"suffix":""},{"dropping-particle":"","family":"Neylan","given":"Thomas C","non-dropping-particle":"","parse-names":false,"suffix":""},{"dropping-particle":"","family":"Buysse","given":"Daniel J","non-dropping-particle":"","parse-names":false,"suffix":""}],"container-title":"Journal of Consulting and Clinical Psychology","id":"ITEM-1","issue":"3","issued":{"date-parts":[["2015"]]},"page":"564-577","title":"Treating insomnia improves mood state, sleep, and functioning in bipolar disorder: A pilot randomized controlled trial.","type":"article-journal","volume":"83"},"uris":["http://www.mendeley.com/documents/?uuid=67e6068a-6335-47a7-bef6-314d64f9923c"]}],"mendeley":{"formattedCitation":"(Harvey et al., 2015)","plainTextFormattedCitation":"(Harvey et al., 2015)","previouslyFormattedCitation":"(Harvey et al., 2015)"},"properties":{"noteIndex":0},"schema":"https://github.com/citation-style-language/schema/raw/master/csl-citation.json"}</w:instrText>
      </w:r>
      <w:r w:rsidR="00960999">
        <w:fldChar w:fldCharType="separate"/>
      </w:r>
      <w:r w:rsidR="00960999" w:rsidRPr="00960999">
        <w:rPr>
          <w:noProof/>
        </w:rPr>
        <w:t>(Harvey et al., 2015)</w:t>
      </w:r>
      <w:r w:rsidR="00960999">
        <w:fldChar w:fldCharType="end"/>
      </w:r>
      <w:r w:rsidR="00AF2D4C" w:rsidRPr="00292779">
        <w:t xml:space="preserve">. </w:t>
      </w:r>
      <w:r w:rsidR="00C857A3" w:rsidRPr="00292779">
        <w:t>PE sessions focus</w:t>
      </w:r>
      <w:r w:rsidR="00B45287" w:rsidRPr="00292779">
        <w:t xml:space="preserve"> on </w:t>
      </w:r>
      <w:r w:rsidR="00F35008" w:rsidRPr="00292779">
        <w:t>providing information about the</w:t>
      </w:r>
      <w:r w:rsidR="00E404F2" w:rsidRPr="00292779">
        <w:t xml:space="preserve"> interplay between sleep, </w:t>
      </w:r>
      <w:r w:rsidR="00B45287" w:rsidRPr="00292779">
        <w:t xml:space="preserve">stress, diet, health, exercise, accidents, and mood. </w:t>
      </w:r>
      <w:r w:rsidR="00B67CAA" w:rsidRPr="00292779">
        <w:t>Participants sample through mediation, yoga, and/or outdoor appreciation</w:t>
      </w:r>
      <w:r w:rsidR="005431FB" w:rsidRPr="00292779">
        <w:t xml:space="preserve"> activities. </w:t>
      </w:r>
      <w:r w:rsidR="00951EB6" w:rsidRPr="00292779">
        <w:tab/>
      </w:r>
    </w:p>
    <w:p w14:paraId="3C2F19F4" w14:textId="77777777" w:rsidR="00947387" w:rsidRPr="00292779" w:rsidRDefault="00947387" w:rsidP="003E7535">
      <w:pPr>
        <w:spacing w:line="480" w:lineRule="auto"/>
        <w:contextualSpacing/>
        <w:rPr>
          <w:b/>
        </w:rPr>
      </w:pPr>
      <w:r w:rsidRPr="00292779">
        <w:rPr>
          <w:b/>
        </w:rPr>
        <w:t>Measures</w:t>
      </w:r>
    </w:p>
    <w:p w14:paraId="69612892" w14:textId="3D96F096" w:rsidR="0020135A" w:rsidRPr="00292779" w:rsidRDefault="0020135A" w:rsidP="00500D41">
      <w:pPr>
        <w:autoSpaceDE w:val="0"/>
        <w:autoSpaceDN w:val="0"/>
        <w:adjustRightInd w:val="0"/>
        <w:spacing w:line="480" w:lineRule="auto"/>
      </w:pPr>
      <w:r w:rsidRPr="00292779">
        <w:lastRenderedPageBreak/>
        <w:tab/>
        <w:t>All measures described below wer</w:t>
      </w:r>
      <w:r w:rsidR="00DC439C" w:rsidRPr="00292779">
        <w:t>e collected at baseline, posttreatment, and 6-month follow-up</w:t>
      </w:r>
      <w:r w:rsidR="008B066F" w:rsidRPr="00292779">
        <w:t xml:space="preserve"> </w:t>
      </w:r>
      <w:r w:rsidR="00500D41" w:rsidRPr="00292779">
        <w:t>assessment</w:t>
      </w:r>
      <w:r w:rsidR="00DC439C" w:rsidRPr="00292779">
        <w:t xml:space="preserve">. </w:t>
      </w:r>
    </w:p>
    <w:p w14:paraId="760389E4" w14:textId="77777777" w:rsidR="00A32EBC" w:rsidRPr="00292779" w:rsidRDefault="00A32EBC" w:rsidP="00A32EBC">
      <w:pPr>
        <w:spacing w:line="480" w:lineRule="auto"/>
        <w:ind w:firstLine="720"/>
        <w:contextualSpacing/>
        <w:rPr>
          <w:b/>
        </w:rPr>
      </w:pPr>
      <w:r w:rsidRPr="00292779">
        <w:rPr>
          <w:b/>
        </w:rPr>
        <w:t xml:space="preserve">Sleep </w:t>
      </w:r>
      <w:r w:rsidR="00C85A87" w:rsidRPr="00292779">
        <w:rPr>
          <w:b/>
        </w:rPr>
        <w:t xml:space="preserve">and Circadian </w:t>
      </w:r>
      <w:r w:rsidRPr="00292779">
        <w:rPr>
          <w:b/>
        </w:rPr>
        <w:t>Outcomes</w:t>
      </w:r>
      <w:r w:rsidR="005D1ED4" w:rsidRPr="00292779">
        <w:rPr>
          <w:b/>
        </w:rPr>
        <w:t xml:space="preserve"> </w:t>
      </w:r>
      <w:r w:rsidR="00E567C4" w:rsidRPr="00292779">
        <w:rPr>
          <w:b/>
        </w:rPr>
        <w:tab/>
      </w:r>
    </w:p>
    <w:p w14:paraId="00CDF162" w14:textId="06444BC7" w:rsidR="00205BE2" w:rsidRPr="00292779" w:rsidRDefault="00205BE2" w:rsidP="00A32EBC">
      <w:pPr>
        <w:spacing w:line="480" w:lineRule="auto"/>
        <w:ind w:firstLine="720"/>
        <w:contextualSpacing/>
        <w:rPr>
          <w:b/>
        </w:rPr>
      </w:pPr>
      <w:r w:rsidRPr="00292779">
        <w:rPr>
          <w:b/>
          <w:i/>
        </w:rPr>
        <w:t xml:space="preserve">Sleep Diary. </w:t>
      </w:r>
      <w:r w:rsidR="00CB1A41" w:rsidRPr="00292779">
        <w:t>7-days sleep diary was collected</w:t>
      </w:r>
      <w:r w:rsidR="00A5444B" w:rsidRPr="00292779">
        <w:t xml:space="preserve"> every morning</w:t>
      </w:r>
      <w:r w:rsidR="00CB1A41" w:rsidRPr="00292779">
        <w:t xml:space="preserve"> </w:t>
      </w:r>
      <w:r w:rsidR="007D2394" w:rsidRPr="00292779">
        <w:t>via phone</w:t>
      </w:r>
      <w:r w:rsidR="007D2394" w:rsidRPr="00292779">
        <w:rPr>
          <w:b/>
        </w:rPr>
        <w:t xml:space="preserve"> </w:t>
      </w:r>
      <w:r w:rsidR="00A5444B" w:rsidRPr="00292779">
        <w:t>by trained research assistants</w:t>
      </w:r>
      <w:r w:rsidR="00713963" w:rsidRPr="00292779">
        <w:t xml:space="preserve"> for the week leading up to the treatment, the week after </w:t>
      </w:r>
      <w:r w:rsidR="00713963" w:rsidRPr="002546A7">
        <w:t>treatment, and the week leading up to the 6-month follow-up assessment</w:t>
      </w:r>
      <w:r w:rsidR="00462CAF" w:rsidRPr="002546A7">
        <w:t>.</w:t>
      </w:r>
      <w:r w:rsidR="004706DF" w:rsidRPr="002546A7">
        <w:t xml:space="preserve"> </w:t>
      </w:r>
      <w:r w:rsidR="00CA34D1" w:rsidRPr="002546A7">
        <w:t>Standardized sleep dia</w:t>
      </w:r>
      <w:r w:rsidR="00CA34D1" w:rsidRPr="00292779">
        <w:t xml:space="preserve">ry was used (Carney et al., 2012). </w:t>
      </w:r>
      <w:r w:rsidR="007637A9" w:rsidRPr="00292779">
        <w:t>The following variables are derived using sleep diary: 1) weeknight t</w:t>
      </w:r>
      <w:r w:rsidR="00896313" w:rsidRPr="00292779">
        <w:t>ot</w:t>
      </w:r>
      <w:r w:rsidR="007637A9" w:rsidRPr="00292779">
        <w:t>al sleep time (</w:t>
      </w:r>
      <w:proofErr w:type="spellStart"/>
      <w:r w:rsidR="007637A9" w:rsidRPr="00292779">
        <w:t>TST</w:t>
      </w:r>
      <w:proofErr w:type="spellEnd"/>
      <w:r w:rsidR="007637A9" w:rsidRPr="00292779">
        <w:t xml:space="preserve">), calculated as </w:t>
      </w:r>
      <w:r w:rsidR="00907DDD">
        <w:t xml:space="preserve">time in bed </w:t>
      </w:r>
      <w:r w:rsidR="00060816">
        <w:t>-</w:t>
      </w:r>
      <w:r w:rsidR="00907DDD">
        <w:t xml:space="preserve"> sleep onset latency </w:t>
      </w:r>
      <w:r w:rsidR="00060816">
        <w:t xml:space="preserve">- </w:t>
      </w:r>
      <w:r w:rsidR="00907DDD">
        <w:t xml:space="preserve">wake after sleep onset </w:t>
      </w:r>
      <w:r w:rsidR="00060816">
        <w:t>-</w:t>
      </w:r>
      <w:r w:rsidR="00907DDD">
        <w:t xml:space="preserve"> terminal wakefulness</w:t>
      </w:r>
      <w:r w:rsidR="007637A9" w:rsidRPr="00292779">
        <w:t xml:space="preserve">; </w:t>
      </w:r>
      <w:r w:rsidR="00907DDD">
        <w:t xml:space="preserve">2) weeknight bedtime, </w:t>
      </w:r>
      <w:r w:rsidR="00A97BFE">
        <w:t>using response to</w:t>
      </w:r>
      <w:r w:rsidR="00907DDD">
        <w:t xml:space="preserve"> </w:t>
      </w:r>
      <w:r w:rsidR="00A97BFE">
        <w:t>“time getting into bed”</w:t>
      </w:r>
      <w:r w:rsidR="00757C69" w:rsidRPr="00292779">
        <w:t xml:space="preserve">; 3) weeknight-weekend discrepancy in </w:t>
      </w:r>
      <w:proofErr w:type="spellStart"/>
      <w:r w:rsidR="00F46028" w:rsidRPr="00292779">
        <w:t>TST</w:t>
      </w:r>
      <w:proofErr w:type="spellEnd"/>
      <w:r w:rsidR="00412145" w:rsidRPr="00292779">
        <w:t xml:space="preserve">; 4) </w:t>
      </w:r>
      <w:r w:rsidR="00967763" w:rsidRPr="00292779">
        <w:t>weeknight-weekend discrepancy in bedtime; and 5) weeknight-weekend discrepancy in wakeup time</w:t>
      </w:r>
      <w:r w:rsidR="002546A7">
        <w:t xml:space="preserve"> (</w:t>
      </w:r>
      <w:r w:rsidR="002546A7">
        <w:rPr>
          <w:rFonts w:eastAsia="SimSun"/>
        </w:rPr>
        <w:t>time of final awakening</w:t>
      </w:r>
      <w:r w:rsidR="002546A7">
        <w:t>)</w:t>
      </w:r>
      <w:r w:rsidR="00667DC0" w:rsidRPr="00292779">
        <w:t xml:space="preserve">. </w:t>
      </w:r>
      <w:r w:rsidR="00274378" w:rsidRPr="00292779">
        <w:t xml:space="preserve">Weeknight </w:t>
      </w:r>
      <w:proofErr w:type="spellStart"/>
      <w:r w:rsidR="00274378" w:rsidRPr="00292779">
        <w:t>TST</w:t>
      </w:r>
      <w:proofErr w:type="spellEnd"/>
      <w:r w:rsidR="00274378" w:rsidRPr="00292779">
        <w:t xml:space="preserve"> and bedtime </w:t>
      </w:r>
      <w:r w:rsidR="00285CC3" w:rsidRPr="00292779">
        <w:t>are</w:t>
      </w:r>
      <w:r w:rsidR="00274378" w:rsidRPr="00292779">
        <w:t xml:space="preserve"> primary outcomes. </w:t>
      </w:r>
    </w:p>
    <w:p w14:paraId="77B1F252" w14:textId="70CA7F4C" w:rsidR="00C85A87" w:rsidRDefault="00C85A87" w:rsidP="00A32EBC">
      <w:pPr>
        <w:spacing w:line="480" w:lineRule="auto"/>
        <w:ind w:firstLine="720"/>
        <w:contextualSpacing/>
      </w:pPr>
      <w:r w:rsidRPr="00292779">
        <w:rPr>
          <w:b/>
          <w:i/>
        </w:rPr>
        <w:t>Children’s Morningness-Eveningness Preference Scale (CMEP</w:t>
      </w:r>
      <w:r w:rsidR="007A7B10" w:rsidRPr="00292779">
        <w:rPr>
          <w:b/>
          <w:i/>
        </w:rPr>
        <w:t>; Carskadon et al., 1993</w:t>
      </w:r>
      <w:r w:rsidRPr="00292779">
        <w:rPr>
          <w:b/>
          <w:i/>
        </w:rPr>
        <w:t xml:space="preserve">). </w:t>
      </w:r>
      <w:r w:rsidR="001C3579" w:rsidRPr="00292779">
        <w:t xml:space="preserve">CMEP </w:t>
      </w:r>
      <w:r w:rsidR="00002CFB" w:rsidRPr="00292779">
        <w:t xml:space="preserve">is a self-report measure of </w:t>
      </w:r>
      <w:r w:rsidR="00EE5699" w:rsidRPr="00292779">
        <w:t xml:space="preserve">the degree of eveningness. </w:t>
      </w:r>
      <w:r w:rsidR="00874277" w:rsidRPr="00292779">
        <w:t>T</w:t>
      </w:r>
      <w:r w:rsidR="001C3579" w:rsidRPr="00292779">
        <w:t xml:space="preserve">he scores range from 10 (Extreme evening preference) to 43 (Extreme Morning Preference). </w:t>
      </w:r>
      <w:r w:rsidR="00EE5699" w:rsidRPr="00292779">
        <w:t xml:space="preserve">CMEP score is a primary outcome. </w:t>
      </w:r>
    </w:p>
    <w:p w14:paraId="670B03EC" w14:textId="4FB605E0" w:rsidR="00D430F9" w:rsidRPr="00700B42" w:rsidRDefault="00205BE2" w:rsidP="003E7535">
      <w:pPr>
        <w:spacing w:line="480" w:lineRule="auto"/>
        <w:contextualSpacing/>
        <w:rPr>
          <w:b/>
        </w:rPr>
      </w:pPr>
      <w:r w:rsidRPr="00292779">
        <w:rPr>
          <w:b/>
          <w:i/>
        </w:rPr>
        <w:tab/>
      </w:r>
      <w:r w:rsidR="00274378" w:rsidRPr="00292779">
        <w:rPr>
          <w:b/>
          <w:i/>
        </w:rPr>
        <w:t xml:space="preserve">Sleepiness Scale. </w:t>
      </w:r>
      <w:r w:rsidR="007A7194" w:rsidRPr="00292779">
        <w:t>The sleepiness scale</w:t>
      </w:r>
      <w:r w:rsidR="007A7194" w:rsidRPr="00292779">
        <w:rPr>
          <w:b/>
        </w:rPr>
        <w:t xml:space="preserve"> </w:t>
      </w:r>
      <w:r w:rsidR="00700B42" w:rsidRPr="00700B42">
        <w:t>contains t</w:t>
      </w:r>
      <w:r w:rsidR="00D430F9" w:rsidRPr="00700B42">
        <w:rPr>
          <w:bCs/>
          <w:iCs/>
          <w:color w:val="000000"/>
        </w:rPr>
        <w:t>en</w:t>
      </w:r>
      <w:r w:rsidR="00D430F9" w:rsidRPr="00292779">
        <w:rPr>
          <w:bCs/>
          <w:iCs/>
          <w:color w:val="000000"/>
        </w:rPr>
        <w:t xml:space="preserve"> items from the School Sleep Habits Survey comprising the Sleepiness Scale </w:t>
      </w:r>
      <w:r w:rsidR="00D430F9" w:rsidRPr="00292779">
        <w:rPr>
          <w:b/>
          <w:bCs/>
          <w:iCs/>
          <w:color w:val="000000"/>
        </w:rPr>
        <w:fldChar w:fldCharType="begin" w:fldLock="1"/>
      </w:r>
      <w:r w:rsidR="0063500B">
        <w:rPr>
          <w:b/>
          <w:bCs/>
          <w:iCs/>
          <w:color w:val="000000"/>
        </w:rPr>
        <w:instrText>ADDIN CSL_CITATION {"citationItems":[{"id":"ITEM-1","itemData":{"DOI":"10.1111/j.1467-8624.1998.tb06149.x","ISSN":"00093920","PMID":"9768476","abstract":"Sleep and waking behaviors change significantly during the adolescent years. The objective of this study was to describe the relation between adolescents' sleep/wake habits, characteristics of students (age, sex, school), and daytime functioning (mood, school performance, and behavior). A Sleep Habits Survey was administered in homeroom classes to 3,120 high school students at 4 public high schools from 3 Rhode Island school districts. Self-reported total sleep times (school and weekend nights) decreased by 40-50 min across ages 13-19, ps &lt; .001. The sleep loss was due to increasingly later bedtimes, whereas rise times were more consistent across ages. Students who described themselves as struggling or failing school (C's, D's/F's) reported that on school nights they obtain about 25 min less sleep and go to bed an average of 40 min later than A and B students, ps &lt; .001. In addition, students with worse grades reported greater weekend delays of sleep schedule than did those with better grades. Furthermore, this study examined a priori defined adequate sleep habit groups versus less than adequate sleep habit groups on their daytime functioning. Students in the short school-night total sleep group (&lt; 6 hr 45 min) and/or large weekend bedtime delay group (&gt; 120 min) reported increased daytime sleepiness, depressive mood, and sleep/wake behavior problems, ps &lt; .05, versus those sleeping longer than 8 hr 15 min with less than 60 min weekend delay. Altogether, most of the adolescents surveyed do not get enough sleep, and their sleep loss interferes with daytime functioning.","author":[{"dropping-particle":"","family":"Wolfson","given":"Amy R.","non-dropping-particle":"","parse-names":false,"suffix":""},{"dropping-particle":"","family":"Carskadon","given":"Mary A.","non-dropping-particle":"","parse-names":false,"suffix":""}],"container-title":"Child Development","id":"ITEM-1","issue":"4","issued":{"date-parts":[["1998","8"]]},"page":"875-887","title":"Sleep Schedules and Daytime Functioning in Adolescents","type":"article-journal","volume":"69"},"uris":["http://www.mendeley.com/documents/?uuid=5d4f9aa2-bb2d-45c5-b346-0c3f8fbbba77"]}],"mendeley":{"formattedCitation":"(Wolfson &amp; Carskadon, 1998)","plainTextFormattedCitation":"(Wolfson &amp; Carskadon, 1998)","previouslyFormattedCitation":"(Wolfson &amp; Carskadon, 1998)"},"properties":{"noteIndex":0},"schema":"https://github.com/citation-style-language/schema/raw/master/csl-citation.json"}</w:instrText>
      </w:r>
      <w:r w:rsidR="00D430F9" w:rsidRPr="00292779">
        <w:rPr>
          <w:b/>
          <w:bCs/>
          <w:iCs/>
          <w:color w:val="000000"/>
        </w:rPr>
        <w:fldChar w:fldCharType="separate"/>
      </w:r>
      <w:r w:rsidR="00D430F9" w:rsidRPr="00292779">
        <w:rPr>
          <w:bCs/>
          <w:iCs/>
          <w:noProof/>
          <w:color w:val="000000"/>
        </w:rPr>
        <w:t>(Wolfson &amp; Carskadon, 1998)</w:t>
      </w:r>
      <w:r w:rsidR="00D430F9" w:rsidRPr="00292779">
        <w:rPr>
          <w:b/>
          <w:bCs/>
          <w:iCs/>
          <w:color w:val="000000"/>
        </w:rPr>
        <w:fldChar w:fldCharType="end"/>
      </w:r>
      <w:r w:rsidR="00FA62ED" w:rsidRPr="00FA62ED">
        <w:rPr>
          <w:bCs/>
          <w:iCs/>
          <w:color w:val="000000"/>
        </w:rPr>
        <w:t xml:space="preserve">. </w:t>
      </w:r>
      <w:r w:rsidR="00F271DD">
        <w:rPr>
          <w:bCs/>
          <w:iCs/>
          <w:color w:val="000000"/>
        </w:rPr>
        <w:t xml:space="preserve">Items were rated on </w:t>
      </w:r>
      <w:r w:rsidR="00D430F9" w:rsidRPr="00292779">
        <w:rPr>
          <w:bCs/>
          <w:iCs/>
          <w:color w:val="000000"/>
        </w:rPr>
        <w:t>a 4-poi</w:t>
      </w:r>
      <w:r w:rsidR="00F271DD">
        <w:rPr>
          <w:bCs/>
          <w:iCs/>
          <w:color w:val="000000"/>
        </w:rPr>
        <w:t xml:space="preserve">nt scale (0 = </w:t>
      </w:r>
      <w:r w:rsidR="00F271DD" w:rsidRPr="006B1A70">
        <w:rPr>
          <w:bCs/>
          <w:i/>
          <w:iCs/>
          <w:color w:val="000000"/>
        </w:rPr>
        <w:t>No</w:t>
      </w:r>
      <w:r w:rsidR="00F271DD">
        <w:rPr>
          <w:bCs/>
          <w:iCs/>
          <w:color w:val="000000"/>
        </w:rPr>
        <w:t xml:space="preserve">, 1 = </w:t>
      </w:r>
      <w:r w:rsidR="00F271DD" w:rsidRPr="006B1A70">
        <w:rPr>
          <w:bCs/>
          <w:i/>
          <w:iCs/>
          <w:color w:val="000000"/>
        </w:rPr>
        <w:t>Struggled to Stay Awake</w:t>
      </w:r>
      <w:r w:rsidR="00F271DD">
        <w:rPr>
          <w:bCs/>
          <w:iCs/>
          <w:color w:val="000000"/>
        </w:rPr>
        <w:t xml:space="preserve">, 2 = </w:t>
      </w:r>
      <w:r w:rsidR="00F271DD" w:rsidRPr="006B1A70">
        <w:rPr>
          <w:bCs/>
          <w:i/>
          <w:iCs/>
          <w:color w:val="000000"/>
        </w:rPr>
        <w:t>Fallen A</w:t>
      </w:r>
      <w:r w:rsidR="00CE48B2" w:rsidRPr="006B1A70">
        <w:rPr>
          <w:bCs/>
          <w:i/>
          <w:iCs/>
          <w:color w:val="000000"/>
        </w:rPr>
        <w:t>sleep</w:t>
      </w:r>
      <w:r w:rsidR="00CE48B2">
        <w:rPr>
          <w:bCs/>
          <w:iCs/>
          <w:color w:val="000000"/>
        </w:rPr>
        <w:t>, 3 = B</w:t>
      </w:r>
      <w:r w:rsidR="00587208">
        <w:rPr>
          <w:bCs/>
          <w:iCs/>
          <w:color w:val="000000"/>
        </w:rPr>
        <w:t xml:space="preserve">oth </w:t>
      </w:r>
      <w:r w:rsidR="00C05A96" w:rsidRPr="00587208">
        <w:rPr>
          <w:bCs/>
          <w:i/>
          <w:iCs/>
          <w:color w:val="000000"/>
        </w:rPr>
        <w:t>Struggled to Stay Awake</w:t>
      </w:r>
      <w:r w:rsidR="00FC64DC">
        <w:rPr>
          <w:bCs/>
          <w:iCs/>
          <w:color w:val="000000"/>
        </w:rPr>
        <w:t xml:space="preserve"> and </w:t>
      </w:r>
      <w:r w:rsidR="00C05A96" w:rsidRPr="00FC64DC">
        <w:rPr>
          <w:bCs/>
          <w:i/>
          <w:iCs/>
          <w:color w:val="000000"/>
        </w:rPr>
        <w:t>Fallen A</w:t>
      </w:r>
      <w:r w:rsidR="00D430F9" w:rsidRPr="00FC64DC">
        <w:rPr>
          <w:bCs/>
          <w:i/>
          <w:iCs/>
          <w:color w:val="000000"/>
        </w:rPr>
        <w:t>sleep</w:t>
      </w:r>
      <w:r w:rsidR="00D430F9" w:rsidRPr="00292779">
        <w:rPr>
          <w:bCs/>
          <w:iCs/>
          <w:color w:val="000000"/>
        </w:rPr>
        <w:t>).</w:t>
      </w:r>
    </w:p>
    <w:p w14:paraId="70B8891A" w14:textId="0A561FDF" w:rsidR="00274378" w:rsidRPr="00292779" w:rsidRDefault="00274378" w:rsidP="003E7535">
      <w:pPr>
        <w:spacing w:line="480" w:lineRule="auto"/>
        <w:contextualSpacing/>
        <w:rPr>
          <w:b/>
          <w:i/>
        </w:rPr>
      </w:pPr>
      <w:r w:rsidRPr="00292779">
        <w:rPr>
          <w:b/>
          <w:i/>
        </w:rPr>
        <w:tab/>
        <w:t>Pittsburgh Sleep Quality Index (</w:t>
      </w:r>
      <w:proofErr w:type="spellStart"/>
      <w:r w:rsidRPr="00292779">
        <w:rPr>
          <w:b/>
          <w:i/>
        </w:rPr>
        <w:t>PSQI</w:t>
      </w:r>
      <w:proofErr w:type="spellEnd"/>
      <w:r w:rsidRPr="00292779">
        <w:rPr>
          <w:b/>
          <w:i/>
        </w:rPr>
        <w:t>)</w:t>
      </w:r>
      <w:r w:rsidR="00576FF4" w:rsidRPr="00292779">
        <w:rPr>
          <w:b/>
          <w:i/>
        </w:rPr>
        <w:t xml:space="preserve">. </w:t>
      </w:r>
      <w:r w:rsidR="00932A9F" w:rsidRPr="00292779">
        <w:rPr>
          <w:bCs/>
          <w:iCs/>
          <w:color w:val="000000"/>
        </w:rPr>
        <w:t xml:space="preserve">The </w:t>
      </w:r>
      <w:proofErr w:type="spellStart"/>
      <w:r w:rsidR="00932A9F" w:rsidRPr="00292779">
        <w:rPr>
          <w:bCs/>
          <w:iCs/>
          <w:color w:val="000000"/>
        </w:rPr>
        <w:t>PSQI</w:t>
      </w:r>
      <w:proofErr w:type="spellEnd"/>
      <w:r w:rsidR="00932A9F" w:rsidRPr="00292779">
        <w:rPr>
          <w:bCs/>
          <w:iCs/>
          <w:color w:val="000000"/>
        </w:rPr>
        <w:t xml:space="preserve"> consists of 19 self-reported items on a 4-point scale assessing sleep in the past mont</w:t>
      </w:r>
      <w:r w:rsidR="004A7B0F">
        <w:rPr>
          <w:bCs/>
          <w:iCs/>
          <w:color w:val="000000"/>
        </w:rPr>
        <w:t xml:space="preserve">h </w:t>
      </w:r>
      <w:r w:rsidR="004A7B0F" w:rsidRPr="00292779">
        <w:rPr>
          <w:bCs/>
          <w:iCs/>
          <w:color w:val="000000"/>
        </w:rPr>
        <w:fldChar w:fldCharType="begin" w:fldLock="1"/>
      </w:r>
      <w:r w:rsidR="0063500B">
        <w:rPr>
          <w:bCs/>
          <w:iCs/>
          <w:color w:val="000000"/>
        </w:rPr>
        <w:instrText>ADDIN CSL_CITATION {"citationItems":[{"id":"ITEM-1","itemData":{"DOI":"10.1016/0165-1781(89)90047-4","ISBN":"0165-1781 (Print)\\n0165-1781 (Linking)","ISSN":"0165-1781","PMID":"2748771","abstract":"Despite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activities.","author":[{"dropping-particle":"","family":"Buysse","given":"Daniel J","non-dropping-particle":"","parse-names":false,"suffix":""},{"dropping-particle":"","family":"Reynolds","given":"Charles F","non-dropping-particle":"","parse-names":false,"suffix":""},{"dropping-particle":"","family":"Monk","given":"Timothy H","non-dropping-particle":"","parse-names":false,"suffix":""},{"dropping-particle":"","family":"Berman","given":"Susan R","non-dropping-particle":"","parse-names":false,"suffix":""},{"dropping-particle":"","family":"Kupfer","given":"David J","non-dropping-particle":"","parse-names":false,"suffix":""},{"dropping-particle":"","family":"III","given":"C F Reynolds","non-dropping-particle":"","parse-names":false,"suffix":""},{"dropping-particle":"","family":"Monk","given":"Timothy H","non-dropping-particle":"","parse-names":false,"suffix":""},{"dropping-particle":"","family":"Berman","given":"Susan R","non-dropping-particle":"","parse-names":false,"suffix":""},{"dropping-particle":"","family":"Kupfer","given":"David J","non-dropping-particle":"","parse-names":false,"suffix":""}],"container-title":"Psychiatry research","id":"ITEM-1","issue":"2","issued":{"date-parts":[["1989"]]},"page":"193-213","title":"The Pittsburgh Sleep Quality Index: a new instrument for psychiatric practice and research.","type":"article-journal","volume":"28"},"uris":["http://www.mendeley.com/documents/?uuid=0912b81c-c17a-4f64-a4d6-a802e40dd719"]}],"mendeley":{"formattedCitation":"(Buysse et al., 1989)","plainTextFormattedCitation":"(Buysse et al., 1989)","previouslyFormattedCitation":"(Buysse et al., 1989)"},"properties":{"noteIndex":0},"schema":"https://github.com/citation-style-language/schema/raw/master/csl-citation.json"}</w:instrText>
      </w:r>
      <w:r w:rsidR="004A7B0F" w:rsidRPr="00292779">
        <w:rPr>
          <w:bCs/>
          <w:iCs/>
          <w:color w:val="000000"/>
        </w:rPr>
        <w:fldChar w:fldCharType="separate"/>
      </w:r>
      <w:r w:rsidR="004A7B0F" w:rsidRPr="00292779">
        <w:rPr>
          <w:bCs/>
          <w:iCs/>
          <w:noProof/>
          <w:color w:val="000000"/>
        </w:rPr>
        <w:t>(Buysse et al., 1989)</w:t>
      </w:r>
      <w:r w:rsidR="004A7B0F" w:rsidRPr="00292779">
        <w:rPr>
          <w:bCs/>
          <w:iCs/>
          <w:color w:val="000000"/>
        </w:rPr>
        <w:fldChar w:fldCharType="end"/>
      </w:r>
      <w:r w:rsidR="00932A9F" w:rsidRPr="00292779">
        <w:rPr>
          <w:bCs/>
          <w:iCs/>
          <w:color w:val="000000"/>
        </w:rPr>
        <w:t xml:space="preserve">. Score ranges from 0 to 21 with </w:t>
      </w:r>
      <w:r w:rsidR="00932A9F" w:rsidRPr="00292779">
        <w:rPr>
          <w:bCs/>
          <w:iCs/>
          <w:noProof/>
          <w:color w:val="000000"/>
        </w:rPr>
        <w:t>higher</w:t>
      </w:r>
      <w:r w:rsidR="00932A9F" w:rsidRPr="00292779">
        <w:rPr>
          <w:bCs/>
          <w:iCs/>
          <w:color w:val="000000"/>
        </w:rPr>
        <w:t xml:space="preserve"> scores indicating greater problems.</w:t>
      </w:r>
      <w:r w:rsidR="003D6939">
        <w:rPr>
          <w:bCs/>
          <w:iCs/>
          <w:color w:val="000000"/>
        </w:rPr>
        <w:t xml:space="preserve"> </w:t>
      </w:r>
    </w:p>
    <w:p w14:paraId="65BD0628" w14:textId="7FEE76EC" w:rsidR="00274378" w:rsidRPr="00292779" w:rsidRDefault="00274378" w:rsidP="003E7535">
      <w:pPr>
        <w:spacing w:line="480" w:lineRule="auto"/>
        <w:contextualSpacing/>
        <w:rPr>
          <w:b/>
          <w:i/>
        </w:rPr>
      </w:pPr>
      <w:r w:rsidRPr="00292779">
        <w:rPr>
          <w:b/>
          <w:i/>
        </w:rPr>
        <w:lastRenderedPageBreak/>
        <w:tab/>
        <w:t xml:space="preserve">CBCL Sleep Composite. </w:t>
      </w:r>
      <w:r w:rsidR="00932A9F" w:rsidRPr="00292779">
        <w:rPr>
          <w:color w:val="000000"/>
        </w:rPr>
        <w:t xml:space="preserve">A CBCL sleep composite was derived based on seven items on the parent-report CBCL </w:t>
      </w:r>
      <w:r w:rsidR="00932A9F" w:rsidRPr="00292779">
        <w:rPr>
          <w:color w:val="000000"/>
        </w:rPr>
        <w:fldChar w:fldCharType="begin" w:fldLock="1"/>
      </w:r>
      <w:r w:rsidR="0063500B">
        <w:rPr>
          <w:color w:val="000000"/>
        </w:rPr>
        <w:instrText>ADDIN CSL_CITATION {"citationItems":[{"id":"ITEM-1","itemData":{"author":[{"dropping-particle":"","family":"Achenbach","given":"Thomas M.","non-dropping-particle":"","parse-names":false,"suffix":""},{"dropping-particle":"","family":"Rescorla","given":"Leslie A","non-dropping-particle":"","parse-names":false,"suffix":""}],"id":"ITEM-1","issued":{"date-parts":[["2001"]]},"publisher":"University of Vermont, Research Center for Children, Youth &amp; Families","publisher-place":"Burlington, VT","title":"Manual for the ASEBA School-Age Forms &amp; Profiles: Child Behavior Checklist for Ages 6 - 18, Teacher's Report Form, &amp; Youth Self-Report","type":"book"},"uris":["http://www.mendeley.com/documents/?uuid=5e2b9e66-966f-483d-a068-23f4933d748d"]}],"mendeley":{"formattedCitation":"(Achenbach &amp; Rescorla, 2001)","plainTextFormattedCitation":"(Achenbach &amp; Rescorla, 2001)","previouslyFormattedCitation":"(Achenbach &amp; Rescorla, 2001)"},"properties":{"noteIndex":0},"schema":"https://github.com/citation-style-language/schema/raw/master/csl-citation.json"}</w:instrText>
      </w:r>
      <w:r w:rsidR="00932A9F" w:rsidRPr="00292779">
        <w:rPr>
          <w:color w:val="000000"/>
        </w:rPr>
        <w:fldChar w:fldCharType="separate"/>
      </w:r>
      <w:r w:rsidR="00932A9F" w:rsidRPr="00292779">
        <w:rPr>
          <w:noProof/>
          <w:color w:val="000000"/>
        </w:rPr>
        <w:t>(Achenbach &amp; Rescorla, 2001)</w:t>
      </w:r>
      <w:r w:rsidR="00932A9F" w:rsidRPr="00292779">
        <w:rPr>
          <w:color w:val="000000"/>
        </w:rPr>
        <w:fldChar w:fldCharType="end"/>
      </w:r>
      <w:r w:rsidR="00932A9F" w:rsidRPr="00292779">
        <w:rPr>
          <w:color w:val="000000"/>
        </w:rPr>
        <w:t xml:space="preserve"> that measure sleep functioning </w:t>
      </w:r>
      <w:r w:rsidR="00932A9F" w:rsidRPr="00292779">
        <w:rPr>
          <w:color w:val="000000"/>
        </w:rPr>
        <w:fldChar w:fldCharType="begin" w:fldLock="1"/>
      </w:r>
      <w:r w:rsidR="0063500B">
        <w:rPr>
          <w:color w:val="000000"/>
        </w:rPr>
        <w:instrText>ADDIN CSL_CITATION {"citationItems":[{"id":"ITEM-1","itemData":{"DOI":"10.1016/j.sleep.2014.09.008","ISBN":"1389-9457","ISSN":"13899457","PMID":"25454985","abstract":"Objective: The Child Behavior Checklist (CBCL) is a commonly used measure of child and adolescent functioning, and a handful of items from the CBCL are often used to measure sleep functioning. The objective of this study was to examine the convergent, discriminant, and external validity of the individual CBCL sleep items and a CBCL sleep composite with validated measures of sleep functioning and youth adjustment as well as sleep disorder diagnoses. Methods: The participants were 383 youths (ages 6-18 years; 52.5% male; 80% non-Hispanic White) evaluated in a behavioral sleep medicine clinic. A sleep psychologist diagnosed sleep disorders following a comprehensive evaluation. Parents completed the CBCL in addition to the Children's Sleep Habits Questionnaire (CSHQ) and the Sleep Disorders Inventory for Students (SDIS). Adolescents completed the Adolescent Sleep-Wake Scale (ASWS). Results: Individual CBCL sleep items were generally associated with sleep scales on validated sleep measures and with sleep disorder diagnoses. The CBCL sleep composite was associated with total scores on each of the sleep-specific measures, as well as with the CBCL attention, social, internalizing, and externalizing problems scales. Conclusions: Although the CBCL is inadequate for thoroughly assessing sleep problems and disorders, sleep items on the CBCL may be useful in epidemiological/archival studies that lack a more comprehensive sleep measure or to clinicians who do not use other validated sleep measures in their typical practice. Individual CBCL sleep items may be optimal when assessing specific facets of sleep functioning whereas the CBCL sleep composite may be optimal when examining overall sleep functioning and external correlates of sleep.","author":[{"dropping-particle":"","family":"Becker","given":"Stephen P.","non-dropping-particle":"","parse-names":false,"suffix":""},{"dropping-particle":"","family":"Ramsey","given":"Rachelle R.","non-dropping-particle":"","parse-names":false,"suffix":""},{"dropping-particle":"","family":"Byars","given":"Kelly C.","non-dropping-particle":"","parse-names":false,"suffix":""}],"container-title":"Sleep Medicine","id":"ITEM-1","issue":"1","issued":{"date-parts":[["2015","1"]]},"page":"79-86","publisher":"Elsevier B.V.","title":"Convergent validity of the Child Behavior Checklist sleep items with validated sleep measures and sleep disorder diagnoses in children and adolescents referred to a sleep disorders center","type":"article-journal","volume":"16"},"uris":["http://www.mendeley.com/documents/?uuid=34b9f5da-7451-4614-a841-8d1ee968641a"]}],"mendeley":{"formattedCitation":"(Becker, Ramsey, &amp; Byars, 2015)","plainTextFormattedCitation":"(Becker, Ramsey, &amp; Byars, 2015)","previouslyFormattedCitation":"(Becker, Ramsey, &amp; Byars, 2015)"},"properties":{"noteIndex":0},"schema":"https://github.com/citation-style-language/schema/raw/master/csl-citation.json"}</w:instrText>
      </w:r>
      <w:r w:rsidR="00932A9F" w:rsidRPr="00292779">
        <w:rPr>
          <w:color w:val="000000"/>
        </w:rPr>
        <w:fldChar w:fldCharType="separate"/>
      </w:r>
      <w:r w:rsidR="00932A9F" w:rsidRPr="00292779">
        <w:rPr>
          <w:noProof/>
          <w:color w:val="000000"/>
        </w:rPr>
        <w:t>(Becker, Ramsey, &amp; Byars, 2015)</w:t>
      </w:r>
      <w:r w:rsidR="00932A9F" w:rsidRPr="00292779">
        <w:rPr>
          <w:color w:val="000000"/>
        </w:rPr>
        <w:fldChar w:fldCharType="end"/>
      </w:r>
      <w:r w:rsidR="00932A9F" w:rsidRPr="00292779">
        <w:rPr>
          <w:color w:val="000000"/>
        </w:rPr>
        <w:t>. Items were rated on a 3-point scale (</w:t>
      </w:r>
      <w:bookmarkStart w:id="0" w:name="_Hlk497170952"/>
      <w:r w:rsidR="00932A9F" w:rsidRPr="00292779">
        <w:rPr>
          <w:color w:val="000000"/>
        </w:rPr>
        <w:t xml:space="preserve">0 = </w:t>
      </w:r>
      <w:r w:rsidR="006117EF">
        <w:rPr>
          <w:color w:val="000000"/>
        </w:rPr>
        <w:br/>
      </w:r>
      <w:r w:rsidR="00A534E2" w:rsidRPr="00F409B8">
        <w:rPr>
          <w:i/>
        </w:rPr>
        <w:t>Not True</w:t>
      </w:r>
      <w:r w:rsidR="00A534E2">
        <w:t xml:space="preserve">, 1 = </w:t>
      </w:r>
      <w:r w:rsidR="00A534E2" w:rsidRPr="007B4A97">
        <w:rPr>
          <w:i/>
        </w:rPr>
        <w:t>Somewhat/Sometimes T</w:t>
      </w:r>
      <w:r w:rsidR="00052712" w:rsidRPr="007B4A97">
        <w:rPr>
          <w:i/>
        </w:rPr>
        <w:t>rue</w:t>
      </w:r>
      <w:r w:rsidR="00052712">
        <w:t xml:space="preserve">, 2 = </w:t>
      </w:r>
      <w:r w:rsidR="00052712" w:rsidRPr="007B4A97">
        <w:rPr>
          <w:i/>
        </w:rPr>
        <w:t>Very True/Often T</w:t>
      </w:r>
      <w:r w:rsidR="00932A9F" w:rsidRPr="007B4A97">
        <w:rPr>
          <w:i/>
        </w:rPr>
        <w:t>rue</w:t>
      </w:r>
      <w:bookmarkEnd w:id="0"/>
      <w:r w:rsidR="00932A9F" w:rsidRPr="00292779">
        <w:t>).</w:t>
      </w:r>
    </w:p>
    <w:p w14:paraId="46C0A267" w14:textId="07A14B3D" w:rsidR="003135E5" w:rsidRPr="00292779" w:rsidRDefault="003135E5" w:rsidP="003E7535">
      <w:pPr>
        <w:spacing w:line="480" w:lineRule="auto"/>
        <w:contextualSpacing/>
        <w:rPr>
          <w:b/>
        </w:rPr>
      </w:pPr>
      <w:r w:rsidRPr="00292779">
        <w:rPr>
          <w:b/>
        </w:rPr>
        <w:tab/>
        <w:t xml:space="preserve">Functioning in Five Health Domains. </w:t>
      </w:r>
    </w:p>
    <w:p w14:paraId="4E7D6FF2" w14:textId="0CEFE69E" w:rsidR="00D430F9" w:rsidRPr="00292779" w:rsidRDefault="00D430F9" w:rsidP="00D430F9">
      <w:pPr>
        <w:pStyle w:val="p1"/>
        <w:spacing w:line="480" w:lineRule="auto"/>
        <w:ind w:firstLine="720"/>
        <w:contextualSpacing/>
        <w:rPr>
          <w:rFonts w:ascii="Times New Roman" w:hAnsi="Times New Roman"/>
          <w:color w:val="000000"/>
          <w:sz w:val="24"/>
          <w:szCs w:val="24"/>
        </w:rPr>
      </w:pPr>
      <w:r w:rsidRPr="00292779">
        <w:rPr>
          <w:rFonts w:ascii="Times New Roman" w:hAnsi="Times New Roman"/>
          <w:color w:val="000000"/>
          <w:sz w:val="24"/>
          <w:szCs w:val="24"/>
        </w:rPr>
        <w:t>Two sets of composite scores were used to indicate functioning or risk in five health domains, namely youth self-reported</w:t>
      </w:r>
      <w:r w:rsidR="00197060" w:rsidRPr="00292779">
        <w:rPr>
          <w:rFonts w:ascii="Times New Roman" w:hAnsi="Times New Roman"/>
          <w:color w:val="000000"/>
          <w:sz w:val="24"/>
          <w:szCs w:val="24"/>
        </w:rPr>
        <w:t xml:space="preserve"> composite risk scores and </w:t>
      </w:r>
      <w:r w:rsidRPr="00292779">
        <w:rPr>
          <w:rFonts w:ascii="Times New Roman" w:hAnsi="Times New Roman"/>
          <w:color w:val="000000"/>
          <w:sz w:val="24"/>
          <w:szCs w:val="24"/>
        </w:rPr>
        <w:t>parent</w:t>
      </w:r>
      <w:r w:rsidR="00197060" w:rsidRPr="00292779">
        <w:rPr>
          <w:rFonts w:ascii="Times New Roman" w:hAnsi="Times New Roman"/>
          <w:color w:val="000000"/>
          <w:sz w:val="24"/>
          <w:szCs w:val="24"/>
        </w:rPr>
        <w:t>-reported composite risk scores. Both</w:t>
      </w:r>
      <w:r w:rsidRPr="00292779">
        <w:rPr>
          <w:rFonts w:ascii="Times New Roman" w:hAnsi="Times New Roman"/>
          <w:color w:val="000000"/>
          <w:sz w:val="24"/>
          <w:szCs w:val="24"/>
        </w:rPr>
        <w:t xml:space="preserve"> set</w:t>
      </w:r>
      <w:r w:rsidR="00197060" w:rsidRPr="00292779">
        <w:rPr>
          <w:rFonts w:ascii="Times New Roman" w:hAnsi="Times New Roman"/>
          <w:color w:val="000000"/>
          <w:sz w:val="24"/>
          <w:szCs w:val="24"/>
        </w:rPr>
        <w:t>s</w:t>
      </w:r>
      <w:r w:rsidRPr="00292779">
        <w:rPr>
          <w:rFonts w:ascii="Times New Roman" w:hAnsi="Times New Roman"/>
          <w:color w:val="000000"/>
          <w:sz w:val="24"/>
          <w:szCs w:val="24"/>
        </w:rPr>
        <w:t xml:space="preserve"> of composite scores was composed of measures of emotional, cognitive, behavioral, social, and physical health. </w:t>
      </w:r>
    </w:p>
    <w:p w14:paraId="3D3C7D44" w14:textId="77777777" w:rsidR="00D430F9" w:rsidRPr="00292779" w:rsidRDefault="00D430F9" w:rsidP="00D430F9">
      <w:pPr>
        <w:pStyle w:val="p1"/>
        <w:spacing w:line="480" w:lineRule="auto"/>
        <w:ind w:firstLine="720"/>
        <w:contextualSpacing/>
        <w:rPr>
          <w:rFonts w:ascii="Times New Roman" w:hAnsi="Times New Roman"/>
          <w:b/>
          <w:bCs/>
          <w:i/>
          <w:color w:val="000000"/>
          <w:sz w:val="24"/>
          <w:szCs w:val="24"/>
          <w:lang w:eastAsia="en-US"/>
        </w:rPr>
      </w:pPr>
      <w:r w:rsidRPr="00292779">
        <w:rPr>
          <w:rFonts w:ascii="Times New Roman" w:hAnsi="Times New Roman"/>
          <w:b/>
          <w:bCs/>
          <w:color w:val="000000"/>
          <w:sz w:val="24"/>
          <w:szCs w:val="24"/>
          <w:lang w:eastAsia="en-US"/>
        </w:rPr>
        <w:t>Youth Self-Report Composite Risk Score.</w:t>
      </w:r>
      <w:r w:rsidRPr="00292779">
        <w:rPr>
          <w:rFonts w:ascii="Times New Roman" w:hAnsi="Times New Roman"/>
          <w:color w:val="000000"/>
          <w:sz w:val="24"/>
          <w:szCs w:val="24"/>
        </w:rPr>
        <w:t xml:space="preserve"> Five composite scores, each composed of measures of emotional, cognitive, behavioral, social, and physical health, were used to indicate functioning in five health domains. The </w:t>
      </w:r>
      <w:r w:rsidRPr="00292779">
        <w:rPr>
          <w:rFonts w:ascii="Times New Roman" w:hAnsi="Times New Roman"/>
          <w:color w:val="222222"/>
          <w:sz w:val="24"/>
          <w:szCs w:val="24"/>
        </w:rPr>
        <w:t xml:space="preserve">composite scores were calculated for each of the five health domains by taking the mean of standardized summary scores for specific measures within that domain. Summary scores for specific measures were reverse coded when necessary so that all scores of specific measures within a domain would have the same direction. Specific measures for each domain are listed below: </w:t>
      </w:r>
    </w:p>
    <w:p w14:paraId="549E7830" w14:textId="1F791553"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Emotional domain</w:t>
      </w:r>
      <w:r w:rsidRPr="00292779">
        <w:rPr>
          <w:color w:val="000000"/>
        </w:rPr>
        <w:t xml:space="preserve">. Emotional domain was assessed by a composite of depressive and anxiety symptoms as measured by the Children’s Depression Rating Scale </w:t>
      </w:r>
      <w:r w:rsidRPr="00292779">
        <w:rPr>
          <w:color w:val="000000"/>
        </w:rPr>
        <w:fldChar w:fldCharType="begin" w:fldLock="1"/>
      </w:r>
      <w:r w:rsidR="0063500B">
        <w:rPr>
          <w:color w:val="000000"/>
        </w:rPr>
        <w:instrText>ADDIN CSL_CITATION {"citationItems":[{"id":"ITEM-1","itemData":{"DOI":"10.1097/00004583-198403000-00011","ISBN":"0890-8567","ISSN":"0002-7138","PMID":"6715741","abstract":"The Children's Depression Rating Scale, revised version (CDRS-R), is a reliable, clinician-rated scale which differentiates the depressed from the nondepressed child. The sum score of the CDRS-R appears to provide a better estimate of depressive symptomatology than does clinical impression. The relationship of the sum of the CDRS-R with global clinical ratings of depression indicates that the scale measures the severity of depression which is its primary purpose. The scale is not affected by the age of the child in our clinical sample, and the content of the items grouped as mood, somatic, subjective, and behavior all show good correlations with depression. The CDRS-R has been shown to be useful in a variety of settings, suggesting it is useful in both primary and secondary depressions.","author":[{"dropping-particle":"","family":"Poznanski","given":"E O","non-dropping-particle":"","parse-names":false,"suffix":""},{"dropping-particle":"","family":"Grossman","given":"J A","non-dropping-particle":"","parse-names":false,"suffix":""},{"dropping-particle":"","family":"Buchsbaum","given":"Y","non-dropping-particle":"","parse-names":false,"suffix":""},{"dropping-particle":"","family":"Banegas","given":"M","non-dropping-particle":"","parse-names":false,"suffix":""},{"dropping-particle":"","family":"Freeman","given":"L","non-dropping-particle":"","parse-names":false,"suffix":""},{"dropping-particle":"","family":"Gibbons","given":"R","non-dropping-particle":"","parse-names":false,"suffix":""}],"container-title":"Journal of the American Academy of Child Psychiatry","id":"ITEM-1","issue":"2","issued":{"date-parts":[["1984","3"]]},"page":"191-7","title":"Preliminary studies of the reliability and validity of the children's depression rating scale.","type":"article-journal","volume":"23"},"prefix":"CDRS; ","uris":["http://www.mendeley.com/documents/?uuid=c571b791-1361-48b4-9734-c0a08db78483"]}],"mendeley":{"formattedCitation":"(CDRS; Poznanski et al., 1984)","plainTextFormattedCitation":"(CDRS; Poznanski et al., 1984)","previouslyFormattedCitation":"(CDRS; Poznanski et al., 1984)"},"properties":{"noteIndex":0},"schema":"https://github.com/citation-style-language/schema/raw/master/csl-citation.json"}</w:instrText>
      </w:r>
      <w:r w:rsidRPr="00292779">
        <w:rPr>
          <w:color w:val="000000"/>
        </w:rPr>
        <w:fldChar w:fldCharType="separate"/>
      </w:r>
      <w:r w:rsidRPr="00292779">
        <w:rPr>
          <w:noProof/>
          <w:color w:val="000000"/>
        </w:rPr>
        <w:t>(CDRS; Poznanski et al., 1984)</w:t>
      </w:r>
      <w:r w:rsidRPr="00292779">
        <w:rPr>
          <w:color w:val="000000"/>
        </w:rPr>
        <w:fldChar w:fldCharType="end"/>
      </w:r>
      <w:r w:rsidRPr="00292779">
        <w:rPr>
          <w:color w:val="000000"/>
        </w:rPr>
        <w:t xml:space="preserve"> and the Multidimensional Anxiety Scale for Children </w:t>
      </w:r>
      <w:r w:rsidRPr="00292779">
        <w:rPr>
          <w:color w:val="000000"/>
        </w:rPr>
        <w:fldChar w:fldCharType="begin" w:fldLock="1"/>
      </w:r>
      <w:r w:rsidR="0063500B">
        <w:rPr>
          <w:color w:val="000000"/>
        </w:rPr>
        <w:instrText>ADDIN CSL_CITATION {"citationItems":[{"id":"ITEM-1","itemData":{"DOI":"10.1016/S0887-6185(99)00009-2","ISBN":"0887-6185","ISSN":"08876185","PMID":"10504106","abstract":"We examined the test-retest reliability of the Multidimensional Anxiety Scale for Children (MASC) in a school-based sample of children and adolescents. One classroom at each grade from 3 to 12 was randomly selected to participate. Teachers were trained to administer the MASC at baseline and again 3 weeks later. The intraclass correlation coefficient (ICC) was used to estimate stability of the MASC over time. For both single case and mean ICCs, the MASC exhibited satisfactory to excellent stability across all factors and subfactors. Stability was unaffected by age or gender, but was lower for African American than Caucasian subjects. Satisfactory test-retest reliability also was demonstrated for two empirically derived subscales, the MASC-10 and Anxiety Index. Copyright (C) 1999 Elsevier Science Ltd.","author":[{"dropping-particle":"","family":"March","given":"John S.","non-dropping-particle":"","parse-names":false,"suffix":""},{"dropping-particle":"","family":"Sullivan","given":"Kevin","non-dropping-particle":"","parse-names":false,"suffix":""},{"dropping-particle":"","family":"Parker","given":"James","non-dropping-particle":"","parse-names":false,"suffix":""}],"container-title":"Journal of Anxiety Disorders","id":"ITEM-1","issue":"4","issued":{"date-parts":[["1999","7"]]},"page":"349-358","title":"Test-Retest Reliability of the Multidimensional Anxiety Scale for Children","type":"article-journal","volume":"13"},"prefix":"MASC; ","uris":["http://www.mendeley.com/documents/?uuid=d6237412-4e9d-4869-aa46-78ca6d5ff4f1"]}],"mendeley":{"formattedCitation":"(MASC; March, Sullivan, &amp; Parker, 1999)","plainTextFormattedCitation":"(MASC; March, Sullivan, &amp; Parker, 1999)","previouslyFormattedCitation":"(MASC; March, Sullivan, &amp; Parker, 1999)"},"properties":{"noteIndex":0},"schema":"https://github.com/citation-style-language/schema/raw/master/csl-citation.json"}</w:instrText>
      </w:r>
      <w:r w:rsidRPr="00292779">
        <w:rPr>
          <w:color w:val="000000"/>
        </w:rPr>
        <w:fldChar w:fldCharType="separate"/>
      </w:r>
      <w:r w:rsidRPr="00292779">
        <w:rPr>
          <w:noProof/>
          <w:color w:val="000000"/>
        </w:rPr>
        <w:t>(MASC; March, Sullivan, &amp; Parker, 1999)</w:t>
      </w:r>
      <w:r w:rsidRPr="00292779">
        <w:rPr>
          <w:color w:val="000000"/>
        </w:rPr>
        <w:fldChar w:fldCharType="end"/>
      </w:r>
      <w:r w:rsidRPr="00292779">
        <w:rPr>
          <w:color w:val="000000"/>
        </w:rPr>
        <w:t xml:space="preserve"> respectively. The </w:t>
      </w:r>
      <w:proofErr w:type="spellStart"/>
      <w:r w:rsidRPr="00292779">
        <w:rPr>
          <w:color w:val="000000"/>
        </w:rPr>
        <w:t>CDRS</w:t>
      </w:r>
      <w:proofErr w:type="spellEnd"/>
      <w:r w:rsidRPr="00292779">
        <w:rPr>
          <w:color w:val="000000"/>
        </w:rPr>
        <w:t xml:space="preserve"> is 17-item rating scale with possible scores ranging from 17 to 113, and higher scores indicating depression. The </w:t>
      </w:r>
      <w:proofErr w:type="spellStart"/>
      <w:r w:rsidRPr="00292779">
        <w:rPr>
          <w:color w:val="000000"/>
        </w:rPr>
        <w:t>MASC</w:t>
      </w:r>
      <w:proofErr w:type="spellEnd"/>
      <w:r w:rsidRPr="00292779">
        <w:rPr>
          <w:color w:val="000000"/>
        </w:rPr>
        <w:t xml:space="preserve"> is a 39-item scale with possible scores ranging from 0 to 117, and higher scores indicating more anxiety. </w:t>
      </w:r>
    </w:p>
    <w:p w14:paraId="5E75A526" w14:textId="28411369"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Cognitive domain</w:t>
      </w:r>
      <w:r w:rsidRPr="00292779">
        <w:rPr>
          <w:color w:val="000000"/>
        </w:rPr>
        <w:t xml:space="preserve">. Cognitive domain was assessed by a composite of the Attention </w:t>
      </w:r>
      <w:r w:rsidRPr="00292779">
        <w:rPr>
          <w:color w:val="000000"/>
        </w:rPr>
        <w:lastRenderedPageBreak/>
        <w:t xml:space="preserve">Control Scale </w:t>
      </w:r>
      <w:r w:rsidRPr="00292779">
        <w:rPr>
          <w:color w:val="000000"/>
        </w:rPr>
        <w:fldChar w:fldCharType="begin" w:fldLock="1"/>
      </w:r>
      <w:r w:rsidR="0063500B">
        <w:rPr>
          <w:color w:val="000000"/>
        </w:rPr>
        <w:instrText>ADDIN CSL_CITATION {"citationItems":[{"id":"ITEM-1","itemData":{"DOI":"10.1037/0021-843X.111.2.225","ISBN":"0021-843X (Print)","ISSN":"1939-1846","PMID":"12003445","abstract":"This study examined the role of self-reported attentional control in regulating attentional biases related to trait anxiety. Simple detection targets were preceded by cues labeling potential target locations as threatening (likely to result in negative feedback) or safe (likely to result in positive feedback). Trait anxious participants showed an early attentional bias favoring the threatening location 250 ms after the cue and a late bias favoring the safe location 500 ms after the cue. The anxiety-related threat bias was moderated by attentional control at the 500-ms delay: Anxious participants with poor attentional control still showed the threat bias, whereas those with good control were better able to shift from the threatening location. Thus, skilled control of voluntary attention may allow anxious persons to limit the impact of threatening information.","author":[{"dropping-particle":"","family":"Derryberry","given":"Douglas","non-dropping-particle":"","parse-names":false,"suffix":""},{"dropping-particle":"","family":"Reed","given":"Marjorie A.","non-dropping-particle":"","parse-names":false,"suffix":""}],"container-title":"Journal of Abnormal Psychology","id":"ITEM-1","issue":"2","issued":{"date-parts":[["2002"]]},"page":"225-236","title":"Anxiety-related attentional biases and their regulation by attentional control.","type":"article-journal","volume":"111"},"prefix":"ACS; ","uris":["http://www.mendeley.com/documents/?uuid=d56d77aa-4a5c-4940-910d-30baba5a149a"]}],"mendeley":{"formattedCitation":"(ACS; Derryberry &amp; Reed, 2002)","plainTextFormattedCitation":"(ACS; Derryberry &amp; Reed, 2002)","previouslyFormattedCitation":"(ACS; Derryberry &amp; Reed, 2002)"},"properties":{"noteIndex":0},"schema":"https://github.com/citation-style-language/schema/raw/master/csl-citation.json"}</w:instrText>
      </w:r>
      <w:r w:rsidRPr="00292779">
        <w:rPr>
          <w:color w:val="000000"/>
        </w:rPr>
        <w:fldChar w:fldCharType="separate"/>
      </w:r>
      <w:r w:rsidRPr="00292779">
        <w:rPr>
          <w:noProof/>
          <w:color w:val="000000"/>
        </w:rPr>
        <w:t>(ACS; Derryberry &amp; Reed, 2002)</w:t>
      </w:r>
      <w:r w:rsidRPr="00292779">
        <w:rPr>
          <w:color w:val="000000"/>
        </w:rPr>
        <w:fldChar w:fldCharType="end"/>
      </w:r>
      <w:r w:rsidRPr="00292779">
        <w:rPr>
          <w:color w:val="000000"/>
        </w:rPr>
        <w:t xml:space="preserve"> and pertinent school-related items found in the </w:t>
      </w:r>
    </w:p>
    <w:p w14:paraId="624D893B" w14:textId="18729B01"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 xml:space="preserve">Youth Social Adjustment Scale – Self Report </w:t>
      </w:r>
      <w:r w:rsidRPr="00292779">
        <w:rPr>
          <w:color w:val="000000"/>
        </w:rPr>
        <w:fldChar w:fldCharType="begin" w:fldLock="1"/>
      </w:r>
      <w:r w:rsidR="0063500B">
        <w:rPr>
          <w:color w:val="000000"/>
        </w:rPr>
        <w:instrText>ADDIN CSL_CITATION {"citationItems":[{"id":"ITEM-1","itemData":{"DOI":"10.1097/00005053-198012000-00005","ISBN":"0022-3018","ISSN":"0022-3018","PMID":"7452212","abstract":"This paper reports on the testing of self-report scales, in a pilot study of 28 children with a psychiatrically ill parent. We examined the relationship between children's responses about themselves and mothers' responses about their children, on symptom and social functioning scales. The self-report scales administered to the children included the Center for Epidemiologic Studies Depression Scale, the Children's Depression Inventory, and the Social Adjustment Scale. The mothers completed the Achenbach Child Behavior Checklist, the Conners Parent Questionnaire, and the Center for Epidemiologic Studies Depression Scale about their children. Agreement between mothers and children on the assessment of the child was poor. Agreement was good across the scales used when the information was derived from the same informant. The implication of these results for epidemiological studies, particularly concerning dual informants, is discussed.","author":[{"dropping-particle":"","family":"Weissman","given":"M M","non-dropping-particle":"","parse-names":false,"suffix":""},{"dropping-particle":"","family":"Orvaschel","given":"H","non-dropping-particle":"","parse-names":false,"suffix":""},{"dropping-particle":"","family":"Padian","given":"N","non-dropping-particle":"","parse-names":false,"suffix":""}],"container-title":"The Journal of nervous and mental disease","id":"ITEM-1","issue":"12","issued":{"date-parts":[["1980"]]},"page":"736-740","title":"Children's symptom and social functioning self-report scales: Comparison of mothers' and children's reports","type":"article","volume":"168"},"prefix":"YSAS; ","uris":["http://www.mendeley.com/documents/?uuid=30b648db-4486-493b-bed5-5e84f1d4c26d"]}],"mendeley":{"formattedCitation":"(YSAS; Weissman, Orvaschel, &amp; Padian, 1980)","plainTextFormattedCitation":"(YSAS; Weissman, Orvaschel, &amp; Padian, 1980)","previouslyFormattedCitation":"(YSAS; Weissman, Orvaschel, &amp; Padian, 1980)"},"properties":{"noteIndex":0},"schema":"https://github.com/citation-style-language/schema/raw/master/csl-citation.json"}</w:instrText>
      </w:r>
      <w:r w:rsidRPr="00292779">
        <w:rPr>
          <w:color w:val="000000"/>
        </w:rPr>
        <w:fldChar w:fldCharType="separate"/>
      </w:r>
      <w:r w:rsidRPr="00292779">
        <w:rPr>
          <w:noProof/>
          <w:color w:val="000000"/>
        </w:rPr>
        <w:t>(YSAS; Weissman, Orvaschel, &amp; Padian, 1980)</w:t>
      </w:r>
      <w:r w:rsidRPr="00292779">
        <w:rPr>
          <w:color w:val="000000"/>
        </w:rPr>
        <w:fldChar w:fldCharType="end"/>
      </w:r>
      <w:r w:rsidRPr="00292779">
        <w:rPr>
          <w:color w:val="000000"/>
        </w:rPr>
        <w:t xml:space="preserve">. The ACS is a 20-item questionnaire, whose scores range from 4 to 80, with higher scores demarcating better attention control. To keep the directionality of the present study we reverse coded the ACS so higher scores meant greater risk in the cognitive composite. We used 6 items from the </w:t>
      </w:r>
      <w:proofErr w:type="spellStart"/>
      <w:r w:rsidRPr="00292779">
        <w:rPr>
          <w:color w:val="000000"/>
        </w:rPr>
        <w:t>YSAS</w:t>
      </w:r>
      <w:proofErr w:type="spellEnd"/>
      <w:r w:rsidRPr="00292779">
        <w:rPr>
          <w:color w:val="000000"/>
        </w:rPr>
        <w:t xml:space="preserve">, where higher scores indicated more cognitive and school problems. </w:t>
      </w:r>
    </w:p>
    <w:p w14:paraId="539681E3" w14:textId="1D4AFEEB"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Behavioral domain</w:t>
      </w:r>
      <w:r w:rsidRPr="00292779">
        <w:rPr>
          <w:color w:val="000000"/>
        </w:rPr>
        <w:t xml:space="preserve">. Behavioral domain was measured by a composite of the Brief Sensation Seeking Scale </w:t>
      </w:r>
      <w:r w:rsidRPr="00292779">
        <w:fldChar w:fldCharType="begin" w:fldLock="1"/>
      </w:r>
      <w:r w:rsidR="0063500B">
        <w:instrText>ADDIN CSL_CITATION {"citationItems":[{"id":"ITEM-1","itemData":{"DOI":"10.1016/S0191-8869(01)00032-0","ISBN":"1859257682","ISSN":"01918869","PMID":"17850617","abstract":"We developed a self-report measure of sensation seeking, a dispositional risk factor for various problem behaviors. In two studies, we administered the Brief Sensation Seeking Scale (BSSS) to more than 7000 adolescents. Study 1 participants completed a paper-and-pencil form of the BSSS in mass-testing sessions. Psychometric analyses of the resultant data revealed suitable item characteristics and internal consistency of responses to the items across age (13-17 years), sex, and ethnic categories. Study 2 participants, who completed the BSSS individually in an interview format, also provided data on their perceptions of and experiences with licit and illicit drugs as well as a series of additional risk and protective factors. Scores on the full BSSS correlated inversely with negative attitudes toward drug use and positively with drug use; sensation seeking as measured by the BSSS was a particularly strong predictor of the intention to try marijuana in the future. BSSS scores were reliably and predictably associated with other risk and protective factors. ?? 2002 Published by Elsevier Science Ltd. All rights reserved.","author":[{"dropping-particle":"","family":"Hoyle","given":"Rick H.","non-dropping-particle":"","parse-names":false,"suffix":""},{"dropping-particle":"","family":"Stephenson","given":"Michael T.","non-dropping-particle":"","parse-names":false,"suffix":""},{"dropping-particle":"","family":"Palmgreen","given":"Philip","non-dropping-particle":"","parse-names":false,"suffix":""},{"dropping-particle":"","family":"Lorch","given":"Elizabeth Pugzles","non-dropping-particle":"","parse-names":false,"suffix":""},{"dropping-particle":"","family":"Donohew","given":"R.Lewis","non-dropping-particle":"","parse-names":false,"suffix":""}],"container-title":"Personality and Individual Differences","id":"ITEM-1","issue":"3","issued":{"date-parts":[["2002","2"]]},"page":"401-414","title":"Reliability and validity of a brief measure of sensation seeking","type":"article-journal","volume":"32"},"prefix":"BSSS; ","uris":["http://www.mendeley.com/documents/?uuid=ceab8c82-3747-4f61-aa55-26fa0268f24d"]}],"mendeley":{"formattedCitation":"(BSSS; Hoyle, Stephenson, Palmgreen, Lorch, &amp; Donohew, 2002)","plainTextFormattedCitation":"(BSSS; Hoyle, Stephenson, Palmgreen, Lorch, &amp; Donohew, 2002)","previouslyFormattedCitation":"(BSSS; Hoyle, Stephenson, Palmgreen, Lorch, &amp; Donohew, 2002)"},"properties":{"noteIndex":0},"schema":"https://github.com/citation-style-language/schema/raw/master/csl-citation.json"}</w:instrText>
      </w:r>
      <w:r w:rsidRPr="00292779">
        <w:fldChar w:fldCharType="separate"/>
      </w:r>
      <w:r w:rsidRPr="00292779">
        <w:rPr>
          <w:noProof/>
        </w:rPr>
        <w:t>(BSSS; Hoyle, Stephenson, Palmgreen, Lorch, &amp; Donohew, 2002)</w:t>
      </w:r>
      <w:r w:rsidRPr="00292779">
        <w:fldChar w:fldCharType="end"/>
      </w:r>
      <w:r w:rsidRPr="00292779">
        <w:rPr>
          <w:color w:val="000000"/>
        </w:rPr>
        <w:t xml:space="preserve"> and the</w:t>
      </w:r>
      <w:r w:rsidRPr="00292779">
        <w:rPr>
          <w:i/>
          <w:iCs/>
          <w:color w:val="000000"/>
        </w:rPr>
        <w:t xml:space="preserve"> </w:t>
      </w:r>
      <w:r w:rsidRPr="00292779">
        <w:rPr>
          <w:color w:val="000000"/>
        </w:rPr>
        <w:t xml:space="preserve">Alcohol and Substance Use </w:t>
      </w:r>
      <w:r w:rsidRPr="00292779">
        <w:rPr>
          <w:rFonts w:eastAsia="MS Mincho"/>
          <w:color w:val="000000"/>
        </w:rPr>
        <w:t>Questionnaire</w:t>
      </w:r>
      <w:r w:rsidRPr="00292779">
        <w:t xml:space="preserve"> </w:t>
      </w:r>
      <w:r w:rsidRPr="00292779">
        <w:fldChar w:fldCharType="begin" w:fldLock="1"/>
      </w:r>
      <w:r w:rsidR="0063500B">
        <w:instrText>ADDIN CSL_CITATION {"citationItems":[{"id":"ITEM-1","itemData":{"author":[{"dropping-particle":"","family":"Johnston","given":"Lloyd D","non-dropping-particle":"","parse-names":false,"suffix":""},{"dropping-particle":"","family":"Malley","given":"Patrick M O","non-dropping-particle":"","parse-names":false,"suffix":""},{"dropping-particle":"","family":"Bachman","given":"Jerald G","non-dropping-particle":"","parse-names":false,"suffix":""},{"dropping-particle":"","family":"Schulenberg","given":"John E","non-dropping-particle":"","parse-names":false,"suffix":""}],"container-title":"National Institute on Drug Abuse (NIDA)","id":"ITEM-1","issued":{"date-parts":[["2009"]]},"page":"1-90","title":"Monitoring the Future: National Results on Adolescent Drug Use. Overview of Key Findings, 2008","type":"article-journal"},"uris":["http://www.mendeley.com/documents/?uuid=c35f7d57-a977-4e4f-b8d8-f94468d0229f"]}],"mendeley":{"formattedCitation":"(Johnston, Malley, Bachman, &amp; Schulenberg, 2009)","plainTextFormattedCitation":"(Johnston, Malley, Bachman, &amp; Schulenberg, 2009)","previouslyFormattedCitation":"(Johnston, Malley, Bachman, &amp; Schulenberg, 2009)"},"properties":{"noteIndex":0},"schema":"https://github.com/citation-style-language/schema/raw/master/csl-citation.json"}</w:instrText>
      </w:r>
      <w:r w:rsidRPr="00292779">
        <w:fldChar w:fldCharType="separate"/>
      </w:r>
      <w:r w:rsidRPr="00292779">
        <w:rPr>
          <w:noProof/>
        </w:rPr>
        <w:t>(Johnston, Malley, Bachman, &amp; Schulenberg, 2009)</w:t>
      </w:r>
      <w:r w:rsidRPr="00292779">
        <w:fldChar w:fldCharType="end"/>
      </w:r>
      <w:r w:rsidRPr="00292779">
        <w:t>. The BSSS is an 8-item questionnaire designed to assess the thrill and sensation seeking, with higher scores indication higher sensation seeking. The</w:t>
      </w:r>
      <w:r w:rsidRPr="00292779">
        <w:rPr>
          <w:i/>
          <w:iCs/>
          <w:color w:val="000000"/>
        </w:rPr>
        <w:t xml:space="preserve"> </w:t>
      </w:r>
      <w:r w:rsidRPr="00292779">
        <w:rPr>
          <w:color w:val="000000"/>
        </w:rPr>
        <w:t xml:space="preserve">Alcohol and Substance Use </w:t>
      </w:r>
      <w:r w:rsidRPr="00292779">
        <w:rPr>
          <w:rFonts w:eastAsia="MS Mincho"/>
          <w:color w:val="000000"/>
        </w:rPr>
        <w:t xml:space="preserve">Questionnaire assess the use alcohol, caffeine, and recreational drugs in the past 30 days; moreover, we added extra questions on caffeine and energy drinks in this study. This measure used a 7-point rating scale with higher scores indicating more frequent use of the aforementioned substances.  </w:t>
      </w:r>
      <w:r w:rsidRPr="00292779">
        <w:rPr>
          <w:color w:val="000000"/>
        </w:rPr>
        <w:t xml:space="preserve">Greater risk in the behavioral domain is indicated by higher scores. </w:t>
      </w:r>
      <w:r w:rsidRPr="00292779">
        <w:rPr>
          <w:rFonts w:eastAsia="MS Mincho"/>
          <w:color w:val="000000"/>
        </w:rPr>
        <w:t xml:space="preserve"> </w:t>
      </w:r>
    </w:p>
    <w:p w14:paraId="5001B90E" w14:textId="7B80C87D"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Social domain</w:t>
      </w:r>
      <w:r w:rsidRPr="00292779">
        <w:rPr>
          <w:color w:val="000000"/>
        </w:rPr>
        <w:t xml:space="preserve">. Social domain was assessed by taking the average of the Youth Social Adjustment Scale – Self-Report </w:t>
      </w:r>
      <w:r w:rsidRPr="00292779">
        <w:rPr>
          <w:color w:val="000000"/>
        </w:rPr>
        <w:fldChar w:fldCharType="begin" w:fldLock="1"/>
      </w:r>
      <w:r w:rsidR="0063500B">
        <w:rPr>
          <w:color w:val="000000"/>
        </w:rPr>
        <w:instrText>ADDIN CSL_CITATION {"citationItems":[{"id":"ITEM-1","itemData":{"DOI":"10.1097/00005053-198012000-00005","ISBN":"0022-3018","ISSN":"0022-3018","PMID":"7452212","abstract":"This paper reports on the testing of self-report scales, in a pilot study of 28 children with a psychiatrically ill parent. We examined the relationship between children's responses about themselves and mothers' responses about their children, on symptom and social functioning scales. The self-report scales administered to the children included the Center for Epidemiologic Studies Depression Scale, the Children's Depression Inventory, and the Social Adjustment Scale. The mothers completed the Achenbach Child Behavior Checklist, the Conners Parent Questionnaire, and the Center for Epidemiologic Studies Depression Scale about their children. Agreement between mothers and children on the assessment of the child was poor. Agreement was good across the scales used when the information was derived from the same informant. The implication of these results for epidemiological studies, particularly concerning dual informants, is discussed.","author":[{"dropping-particle":"","family":"Weissman","given":"M M","non-dropping-particle":"","parse-names":false,"suffix":""},{"dropping-particle":"","family":"Orvaschel","given":"H","non-dropping-particle":"","parse-names":false,"suffix":""},{"dropping-particle":"","family":"Padian","given":"N","non-dropping-particle":"","parse-names":false,"suffix":""}],"container-title":"The Journal of nervous and mental disease","id":"ITEM-1","issue":"12","issued":{"date-parts":[["1980"]]},"page":"736-740","title":"Children's symptom and social functioning self-report scales: Comparison of mothers' and children's reports","type":"article","volume":"168"},"uris":["http://www.mendeley.com/documents/?uuid=30b648db-4486-493b-bed5-5e84f1d4c26d"]}],"mendeley":{"formattedCitation":"(Weissman et al., 1980)","plainTextFormattedCitation":"(Weissman et al., 1980)","previouslyFormattedCitation":"(Weissman et al., 1980)"},"properties":{"noteIndex":0},"schema":"https://github.com/citation-style-language/schema/raw/master/csl-citation.json"}</w:instrText>
      </w:r>
      <w:r w:rsidRPr="00292779">
        <w:rPr>
          <w:color w:val="000000"/>
        </w:rPr>
        <w:fldChar w:fldCharType="separate"/>
      </w:r>
      <w:r w:rsidRPr="00292779">
        <w:rPr>
          <w:noProof/>
          <w:color w:val="000000"/>
        </w:rPr>
        <w:t>(Weissman et al., 1980)</w:t>
      </w:r>
      <w:r w:rsidRPr="00292779">
        <w:rPr>
          <w:color w:val="000000"/>
        </w:rPr>
        <w:fldChar w:fldCharType="end"/>
      </w:r>
      <w:r w:rsidRPr="00292779">
        <w:rPr>
          <w:color w:val="000000"/>
        </w:rPr>
        <w:t xml:space="preserve"> subscales on friends, family, and romantic relationships. Higher scores in the social domain indicate more social impairment.</w:t>
      </w:r>
    </w:p>
    <w:p w14:paraId="6D2534E3" w14:textId="502B95CD"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Physical domain</w:t>
      </w:r>
      <w:r w:rsidRPr="00292779">
        <w:rPr>
          <w:color w:val="000000"/>
        </w:rPr>
        <w:t>. Physical domain was assessed by deriving a composite of  the Physical Health Questionnaire-15</w:t>
      </w:r>
      <w:r w:rsidR="006E1895">
        <w:rPr>
          <w:color w:val="000000"/>
        </w:rPr>
        <w:t xml:space="preserve"> </w:t>
      </w:r>
      <w:r w:rsidRPr="00292779">
        <w:fldChar w:fldCharType="begin" w:fldLock="1"/>
      </w:r>
      <w:r w:rsidR="0063500B">
        <w:instrText>ADDIN CSL_CITATION {"citationItems":[{"id":"ITEM-1","itemData":{"DOI":"10.1097/00006842-200203000-00008","ISBN":"0033-3174","ISSN":"0033-3174","PMID":"11914441","abstract":"OBJECTIVE Somatization is prevalent in primary care and is associated with substantial functional impairment and healthcare utilization. However, instruments for identifying and monitoring somatic symptoms are few in number and not widely used. Therefore, we examined the validity of a brief measure of the severity of somatic symptoms. METHODS The Patient Health Questionnaire (PHQ) is a self-administered version of the PRIME-MD diagnostic instrument for common mental disorders. The PHQ-15 comprises 15 somatic symptoms from the PHQ, each symptom scored from 0 (\"not bothered at all\") to 2 (\"bothered a lot\"). The PHQ-15 was administered to 6000 patients in eight general internal medicine and family practice clinics and seven obstetrics-gynecology clinics. Outcomes included functional status as assessed by the 20-item Short-Form General Health Survey (SF-20), self-reported sick days and clinic visits, and symptom-related difficulty. RESULTS As PHQ-15 somatic symptom severity increased, there was a substantial stepwise decrement in functional status on all six SF-20 subscales. Also, symptom-related difficulty, sick days, and healthcare utilization increased. PHQ-15 scores of 5, 10, 15, represented cutoff points for low, medium, and high somatic symptom severity, respectively. Somatic and depressive symptom severity had differential effects on outcomes. Results were similar in the primary care and obstetrics-gynecology samples. CONCLUSIONS The PHQ-15 is a brief, self-administered questionnaire that may be useful in screening for somatization and in monitoring somatic symptom severity in clinical practice and research.","author":[{"dropping-particle":"","family":"Kroenke","given":"Kurt","non-dropping-particle":"","parse-names":false,"suffix":""},{"dropping-particle":"","family":"Spitzer","given":"Robert L.","non-dropping-particle":"","parse-names":false,"suffix":""},{"dropping-particle":"","family":"Williams","given":"Janet B. W.","non-dropping-particle":"","parse-names":false,"suffix":""}],"container-title":"Psychosomatic medicine","id":"ITEM-1","issue":"2","issued":{"date-parts":[["2002"]]},"page":"258-66","title":"The PHQ-15: validity of a new measure for evaluating the severity of somatic symptoms.","type":"article-journal","volume":"64"},"prefix":"PHQ-15; ","uris":["http://www.mendeley.com/documents/?uuid=a22e846f-ccbd-4771-addf-7a4ada1d1a53"]}],"mendeley":{"formattedCitation":"(PHQ-15; Kroenke, Spitzer, &amp; Williams, 2002)","plainTextFormattedCitation":"(PHQ-15; Kroenke, Spitzer, &amp; Williams, 2002)","previouslyFormattedCitation":"(PHQ-15; Kroenke, Spitzer, &amp; Williams, 2002)"},"properties":{"noteIndex":0},"schema":"https://github.com/citation-style-language/schema/raw/master/csl-citation.json"}</w:instrText>
      </w:r>
      <w:r w:rsidRPr="00292779">
        <w:fldChar w:fldCharType="separate"/>
      </w:r>
      <w:r w:rsidRPr="00292779">
        <w:rPr>
          <w:noProof/>
        </w:rPr>
        <w:t>(PHQ-15; Kroenke, Spitzer, &amp; Williams, 2002)</w:t>
      </w:r>
      <w:r w:rsidRPr="00292779">
        <w:fldChar w:fldCharType="end"/>
      </w:r>
      <w:r w:rsidRPr="00292779">
        <w:t xml:space="preserve"> and the </w:t>
      </w:r>
      <w:r w:rsidRPr="00292779">
        <w:rPr>
          <w:color w:val="000000"/>
        </w:rPr>
        <w:t xml:space="preserve">Modifiable Activity Questionnaire for Adolescents </w:t>
      </w:r>
      <w:r w:rsidRPr="00292779">
        <w:fldChar w:fldCharType="begin" w:fldLock="1"/>
      </w:r>
      <w:r w:rsidR="0063500B">
        <w:instrText>ADDIN CSL_CITATION {"citationItems":[{"id":"ITEM-1","itemData":{"author":[{"dropping-particle":"","family":"Aaron","given":"D. J.","non-dropping-particle":"","parse-names":false,"suffix":""},{"dropping-particle":"","family":"Kriska","given":"A. M.","non-dropping-particle":"","parse-names":false,"suffix":""}],"container-title":"Medicine and Science in Sports and Exercise","id":"ITEM-1","issued":{"date-parts":[["1997"]]},"page":"s79-s82","title":"Modifiable activity questionnaire for adolescents","type":"article-journal","volume":"29"},"prefix":"MAQ; ","uris":["http://www.mendeley.com/documents/?uuid=4af5b16b-46aa-4e85-9a90-e2049bb88221"]}],"mendeley":{"formattedCitation":"(MAQ; Aaron &amp; Kriska, 1997)","plainTextFormattedCitation":"(MAQ; Aaron &amp; Kriska, 1997)","previouslyFormattedCitation":"(MAQ; Aaron &amp; Kriska, 1997)"},"properties":{"noteIndex":0},"schema":"https://github.com/citation-style-language/schema/raw/master/csl-citation.json"}</w:instrText>
      </w:r>
      <w:r w:rsidRPr="00292779">
        <w:fldChar w:fldCharType="separate"/>
      </w:r>
      <w:r w:rsidRPr="00292779">
        <w:rPr>
          <w:noProof/>
        </w:rPr>
        <w:t>(MAQ; Aaron &amp; Kriska, 1997)</w:t>
      </w:r>
      <w:r w:rsidRPr="00292779">
        <w:fldChar w:fldCharType="end"/>
      </w:r>
      <w:r w:rsidRPr="00292779">
        <w:t xml:space="preserve">. The PHQ-15 is a 15-item questionnaire with scores ranging from 0 to 30, more physical complaints are indicated by a higher score. </w:t>
      </w:r>
      <w:proofErr w:type="spellStart"/>
      <w:r w:rsidRPr="00292779">
        <w:t>MAQ</w:t>
      </w:r>
      <w:proofErr w:type="spellEnd"/>
      <w:r w:rsidRPr="00292779">
        <w:t xml:space="preserve"> is questionnaire designed to assess activity levels, with scores indicating </w:t>
      </w:r>
      <w:r w:rsidRPr="00292779">
        <w:lastRenderedPageBreak/>
        <w:t>number of hours active or exercising in a week. A higher score was indicative of a more active and exercise rich life.</w:t>
      </w:r>
      <w:r w:rsidRPr="00292779">
        <w:rPr>
          <w:color w:val="000000"/>
        </w:rPr>
        <w:t xml:space="preserve"> To maintain directionality of risk in the physical domain the PHQ-15 was reverse coded to combine with </w:t>
      </w:r>
      <w:proofErr w:type="spellStart"/>
      <w:r w:rsidRPr="00292779">
        <w:rPr>
          <w:color w:val="000000"/>
        </w:rPr>
        <w:t>MAQ</w:t>
      </w:r>
      <w:proofErr w:type="spellEnd"/>
      <w:r w:rsidRPr="00292779">
        <w:rPr>
          <w:color w:val="000000"/>
        </w:rPr>
        <w:t xml:space="preserve"> to generate a composite score. Thereafter, the composite was reverse coded as to have higher scores indicate higher risk in the physical domain. </w:t>
      </w:r>
    </w:p>
    <w:p w14:paraId="350478F6" w14:textId="6E2D3E07" w:rsidR="003135E5" w:rsidRPr="00292779" w:rsidRDefault="00D430F9" w:rsidP="00ED16A6">
      <w:pPr>
        <w:spacing w:line="480" w:lineRule="auto"/>
        <w:ind w:firstLine="720"/>
        <w:contextualSpacing/>
        <w:rPr>
          <w:b/>
          <w:i/>
        </w:rPr>
      </w:pPr>
      <w:r w:rsidRPr="00292779">
        <w:rPr>
          <w:b/>
          <w:color w:val="000000"/>
        </w:rPr>
        <w:t xml:space="preserve">Parent-Reported Composite Risk Score via the Child Behavior Checklist (CBCL). </w:t>
      </w:r>
      <w:r w:rsidRPr="00292779">
        <w:rPr>
          <w:color w:val="000000"/>
        </w:rPr>
        <w:t xml:space="preserve">Parents were given the 113-item CBCL </w:t>
      </w:r>
      <w:r w:rsidRPr="00292779">
        <w:rPr>
          <w:b/>
          <w:color w:val="000000"/>
        </w:rPr>
        <w:fldChar w:fldCharType="begin" w:fldLock="1"/>
      </w:r>
      <w:r w:rsidR="0063500B">
        <w:rPr>
          <w:b/>
          <w:color w:val="000000"/>
        </w:rPr>
        <w:instrText>ADDIN CSL_CITATION {"citationItems":[{"id":"ITEM-1","itemData":{"author":[{"dropping-particle":"","family":"Achenbach","given":"Thomas M.","non-dropping-particle":"","parse-names":false,"suffix":""},{"dropping-particle":"","family":"Rescorla","given":"Leslie A","non-dropping-particle":"","parse-names":false,"suffix":""}],"id":"ITEM-1","issued":{"date-parts":[["2001"]]},"publisher":"University of Vermont, Research Center for Children, Youth &amp; Families","publisher-place":"Burlington, VT","title":"Manual for the ASEBA School-Age Forms &amp; Profiles: Child Behavior Checklist for Ages 6 - 18, Teacher's Report Form, &amp; Youth Self-Report","type":"book"},"prefix":"CBCL; ","uris":["http://www.mendeley.com/documents/?uuid=5e2b9e66-966f-483d-a068-23f4933d748d"]}],"mendeley":{"formattedCitation":"(CBCL; Achenbach &amp; Rescorla, 2001)","manualFormatting":"( Achenbach &amp; Rescorla, 2001)","plainTextFormattedCitation":"(CBCL; Achenbach &amp; Rescorla, 2001)","previouslyFormattedCitation":"(CBCL; Achenbach &amp; Rescorla, 2001)"},"properties":{"noteIndex":0},"schema":"https://github.com/citation-style-language/schema/raw/master/csl-citation.json"}</w:instrText>
      </w:r>
      <w:r w:rsidRPr="00292779">
        <w:rPr>
          <w:b/>
          <w:color w:val="000000"/>
        </w:rPr>
        <w:fldChar w:fldCharType="separate"/>
      </w:r>
      <w:r w:rsidRPr="00292779">
        <w:rPr>
          <w:noProof/>
          <w:color w:val="000000"/>
        </w:rPr>
        <w:t>( Achenbach &amp; Rescorla, 2001)</w:t>
      </w:r>
      <w:r w:rsidRPr="00292779">
        <w:rPr>
          <w:b/>
          <w:color w:val="000000"/>
        </w:rPr>
        <w:fldChar w:fldCharType="end"/>
      </w:r>
      <w:r w:rsidRPr="00292779">
        <w:rPr>
          <w:b/>
          <w:color w:val="000000"/>
        </w:rPr>
        <w:t xml:space="preserve"> </w:t>
      </w:r>
      <w:r w:rsidRPr="00292779">
        <w:rPr>
          <w:color w:val="000000"/>
        </w:rPr>
        <w:t xml:space="preserve">questionnaire to rate the behavioral and psychological functioning of their adolescent. Each item of the CBCL was on 3-point scale (0 = not true, 1 = somewhat/sometimes true, 2 = very true/often true), with higher scores signaling more problematic behaviors. The parent-reported composite risk score was derived using seven of the CBCL subscales. Anxious/Depressed and Withdrawn/Depressed subscales comprised the </w:t>
      </w:r>
      <w:r w:rsidRPr="00292779">
        <w:rPr>
          <w:i/>
          <w:color w:val="000000"/>
        </w:rPr>
        <w:t>Emotional Domain</w:t>
      </w:r>
      <w:r w:rsidRPr="00292779">
        <w:rPr>
          <w:color w:val="000000"/>
        </w:rPr>
        <w:t xml:space="preserve">. Thought and Attention subscales comprised the </w:t>
      </w:r>
      <w:r w:rsidRPr="00292779">
        <w:rPr>
          <w:i/>
          <w:color w:val="000000"/>
        </w:rPr>
        <w:t>Cognitive Domain</w:t>
      </w:r>
      <w:r w:rsidRPr="00292779">
        <w:rPr>
          <w:color w:val="000000"/>
        </w:rPr>
        <w:t xml:space="preserve">. Rule-Breaking and Aggressive Behavior subscales comprised the </w:t>
      </w:r>
      <w:r w:rsidRPr="00292779">
        <w:rPr>
          <w:i/>
          <w:color w:val="000000"/>
        </w:rPr>
        <w:t>Behavioral Domain</w:t>
      </w:r>
      <w:r w:rsidRPr="00292779">
        <w:rPr>
          <w:color w:val="000000"/>
        </w:rPr>
        <w:t xml:space="preserve">. Social Problems and Somatic Complaints subscales comprised the </w:t>
      </w:r>
      <w:r w:rsidRPr="00292779">
        <w:rPr>
          <w:i/>
          <w:color w:val="000000"/>
        </w:rPr>
        <w:t>Social and Physical Domains</w:t>
      </w:r>
      <w:r w:rsidRPr="00292779">
        <w:rPr>
          <w:color w:val="000000"/>
        </w:rPr>
        <w:t xml:space="preserve"> respectively.</w:t>
      </w:r>
    </w:p>
    <w:p w14:paraId="1DF544D7" w14:textId="77777777" w:rsidR="009F1D6E" w:rsidRDefault="003B745C" w:rsidP="00ED16A6">
      <w:pPr>
        <w:spacing w:line="480" w:lineRule="auto"/>
        <w:contextualSpacing/>
        <w:rPr>
          <w:b/>
        </w:rPr>
      </w:pPr>
      <w:r w:rsidRPr="00292779">
        <w:rPr>
          <w:b/>
        </w:rPr>
        <w:t xml:space="preserve">Data </w:t>
      </w:r>
      <w:r w:rsidR="009F1D6E" w:rsidRPr="00292779">
        <w:rPr>
          <w:b/>
        </w:rPr>
        <w:t>Analysis</w:t>
      </w:r>
    </w:p>
    <w:p w14:paraId="68C5FFD6" w14:textId="24DEF341" w:rsidR="003F4DFF" w:rsidRPr="00292779" w:rsidRDefault="003F4DFF" w:rsidP="006437A0">
      <w:pPr>
        <w:autoSpaceDE w:val="0"/>
        <w:autoSpaceDN w:val="0"/>
        <w:adjustRightInd w:val="0"/>
        <w:spacing w:line="480" w:lineRule="auto"/>
        <w:rPr>
          <w:rFonts w:eastAsia="SimSun"/>
        </w:rPr>
      </w:pPr>
      <w:r w:rsidRPr="00292779">
        <w:tab/>
      </w:r>
      <w:r w:rsidR="005D0983">
        <w:t>A priori p</w:t>
      </w:r>
      <w:r w:rsidR="008A27D9">
        <w:t xml:space="preserve">ower analysis yielded </w:t>
      </w:r>
      <w:r w:rsidR="002F171C">
        <w:t>69 participants per condition</w:t>
      </w:r>
      <w:r w:rsidR="005D0983">
        <w:t xml:space="preserve"> to achieve</w:t>
      </w:r>
      <w:r w:rsidR="00A86894">
        <w:t xml:space="preserve"> at least</w:t>
      </w:r>
      <w:r w:rsidR="005D0983">
        <w:t xml:space="preserve"> 80% power</w:t>
      </w:r>
      <w:r w:rsidR="002F171C">
        <w:t xml:space="preserve">, assuming </w:t>
      </w:r>
      <w:r w:rsidR="00A86894">
        <w:t xml:space="preserve">an </w:t>
      </w:r>
      <w:r w:rsidR="002F171C">
        <w:t xml:space="preserve">average effect size </w:t>
      </w:r>
      <w:r w:rsidR="002F171C" w:rsidRPr="002F171C">
        <w:rPr>
          <w:i/>
        </w:rPr>
        <w:t xml:space="preserve">d </w:t>
      </w:r>
      <w:r w:rsidR="00A86894">
        <w:t>= 0.48 and</w:t>
      </w:r>
      <w:r w:rsidR="002F171C">
        <w:t xml:space="preserve"> two-sided significance</w:t>
      </w:r>
      <w:r w:rsidR="00A86894">
        <w:t xml:space="preserve"> of 0.05. The recruitment </w:t>
      </w:r>
      <w:r w:rsidR="00CF3BDE">
        <w:t xml:space="preserve">allowed for at least 20% more for potential </w:t>
      </w:r>
      <w:r w:rsidR="006437A0">
        <w:t>attrition.</w:t>
      </w:r>
      <w:r w:rsidR="006437A0">
        <w:rPr>
          <w:rFonts w:eastAsia="SimSun"/>
        </w:rPr>
        <w:t xml:space="preserve"> </w:t>
      </w:r>
      <w:r w:rsidRPr="00292779">
        <w:rPr>
          <w:rFonts w:eastAsia="SimSun"/>
        </w:rPr>
        <w:t>The final sample size for the analysis was 176.</w:t>
      </w:r>
    </w:p>
    <w:p w14:paraId="0F043CEE" w14:textId="26FF9382" w:rsidR="00611A03" w:rsidRDefault="005F4815" w:rsidP="00611A03">
      <w:pPr>
        <w:autoSpaceDE w:val="0"/>
        <w:autoSpaceDN w:val="0"/>
        <w:adjustRightInd w:val="0"/>
        <w:spacing w:line="480" w:lineRule="auto"/>
        <w:rPr>
          <w:b/>
        </w:rPr>
      </w:pPr>
      <w:r w:rsidRPr="00292779">
        <w:tab/>
        <w:t xml:space="preserve">Data analysis was </w:t>
      </w:r>
      <w:r w:rsidR="00387E43">
        <w:t>conducted in Stata 15</w:t>
      </w:r>
      <w:r w:rsidR="00D94869">
        <w:t xml:space="preserve"> </w:t>
      </w:r>
      <w:r w:rsidR="00D94869">
        <w:fldChar w:fldCharType="begin" w:fldLock="1"/>
      </w:r>
      <w:r w:rsidR="009F1676">
        <w:instrText>ADDIN CSL_CITATION {"citationItems":[{"id":"ITEM-1","itemData":{"author":[{"dropping-particle":"","family":"StataCorp.","given":"","non-dropping-particle":"","parse-names":false,"suffix":""}],"id":"ITEM-1","issued":{"date-parts":[["2017"]]},"publisher":"StataCorp LLC","publisher-place":"College Station, TX","title":"Stata Statistical Software: Release 15.","type":"book"},"uris":["http://www.mendeley.com/documents/?uuid=0cbd2f39-0c8f-4f85-86f5-b3cc80a9855b"]}],"mendeley":{"formattedCitation":"(StataCorp., 2017)","plainTextFormattedCitation":"(StataCorp., 2017)","previouslyFormattedCitation":"(StataCorp., 2017)"},"properties":{"noteIndex":0},"schema":"https://github.com/citation-style-language/schema/raw/master/csl-citation.json"}</w:instrText>
      </w:r>
      <w:r w:rsidR="00D94869">
        <w:fldChar w:fldCharType="separate"/>
      </w:r>
      <w:r w:rsidR="00D94869" w:rsidRPr="00D94869">
        <w:rPr>
          <w:noProof/>
        </w:rPr>
        <w:t>(StataCorp., 2017)</w:t>
      </w:r>
      <w:r w:rsidR="00D94869">
        <w:fldChar w:fldCharType="end"/>
      </w:r>
      <w:r w:rsidRPr="00292779">
        <w:t xml:space="preserve">. All analyses were </w:t>
      </w:r>
      <w:r w:rsidR="008D297D" w:rsidRPr="00292779">
        <w:t>adjusted</w:t>
      </w:r>
      <w:r w:rsidRPr="00292779">
        <w:t xml:space="preserve"> by age and sex, which were the stratification factors </w:t>
      </w:r>
      <w:r w:rsidR="00457124" w:rsidRPr="00292779">
        <w:t xml:space="preserve">used </w:t>
      </w:r>
      <w:r w:rsidRPr="00292779">
        <w:t xml:space="preserve">during the randomization. </w:t>
      </w:r>
      <w:r w:rsidR="008D297D" w:rsidRPr="00292779">
        <w:t xml:space="preserve">Intent-to-treat method was used. </w:t>
      </w:r>
      <w:r w:rsidR="0006276B" w:rsidRPr="00292779">
        <w:t xml:space="preserve">Multilevel modeling with maximum likelihood estimation </w:t>
      </w:r>
      <w:r w:rsidR="007077A4" w:rsidRPr="00292779">
        <w:t xml:space="preserve">with the assumption of missing at random was used to examine all continuous variables. </w:t>
      </w:r>
      <w:r w:rsidR="00646DA2">
        <w:t xml:space="preserve">Missing at </w:t>
      </w:r>
      <w:r w:rsidR="00646DA2">
        <w:lastRenderedPageBreak/>
        <w:t xml:space="preserve">random was assumed. </w:t>
      </w:r>
      <w:r w:rsidR="001E66A4" w:rsidRPr="00292779">
        <w:rPr>
          <w:rFonts w:eastAsia="SimSun"/>
          <w:color w:val="222222"/>
        </w:rPr>
        <w:t>The fixed component of the model included stratification factors (age and sex), an indicator of time period (</w:t>
      </w:r>
      <w:r w:rsidR="00422BB6">
        <w:rPr>
          <w:rFonts w:eastAsia="SimSun"/>
          <w:color w:val="222222"/>
        </w:rPr>
        <w:t>Pre</w:t>
      </w:r>
      <w:r w:rsidR="0097499E">
        <w:rPr>
          <w:rFonts w:eastAsia="SimSun"/>
          <w:color w:val="222222"/>
        </w:rPr>
        <w:t xml:space="preserve"> = 0</w:t>
      </w:r>
      <w:r w:rsidR="001E66A4" w:rsidRPr="00292779">
        <w:rPr>
          <w:rFonts w:eastAsia="SimSun"/>
          <w:color w:val="222222"/>
        </w:rPr>
        <w:t xml:space="preserve">, </w:t>
      </w:r>
      <w:r w:rsidR="009B75EF">
        <w:rPr>
          <w:rFonts w:eastAsia="SimSun"/>
          <w:color w:val="222222"/>
        </w:rPr>
        <w:t>Post = 1</w:t>
      </w:r>
      <w:r w:rsidR="001E66A4" w:rsidRPr="00292779">
        <w:rPr>
          <w:rFonts w:eastAsia="SimSun"/>
          <w:color w:val="222222"/>
        </w:rPr>
        <w:t>), an indicator for treatment condition (</w:t>
      </w:r>
      <w:r w:rsidR="00BD5082">
        <w:rPr>
          <w:rFonts w:eastAsia="SimSun"/>
          <w:color w:val="222222"/>
        </w:rPr>
        <w:t>TranS-C = 1</w:t>
      </w:r>
      <w:r w:rsidR="001E66A4" w:rsidRPr="00292779">
        <w:rPr>
          <w:rFonts w:eastAsia="SimSun"/>
          <w:color w:val="222222"/>
        </w:rPr>
        <w:t xml:space="preserve">, </w:t>
      </w:r>
      <w:r w:rsidR="00BD5082">
        <w:rPr>
          <w:rFonts w:eastAsia="SimSun"/>
          <w:color w:val="222222"/>
        </w:rPr>
        <w:t>PE</w:t>
      </w:r>
      <w:r w:rsidR="00847AFC" w:rsidRPr="00292779">
        <w:rPr>
          <w:rFonts w:eastAsia="SimSun"/>
          <w:color w:val="222222"/>
        </w:rPr>
        <w:t xml:space="preserve"> </w:t>
      </w:r>
      <w:r w:rsidR="001E66A4" w:rsidRPr="00292779">
        <w:rPr>
          <w:rFonts w:eastAsia="SimSun"/>
          <w:color w:val="222222"/>
        </w:rPr>
        <w:t>=</w:t>
      </w:r>
      <w:r w:rsidR="00847AFC" w:rsidRPr="00292779">
        <w:rPr>
          <w:rFonts w:eastAsia="SimSun"/>
          <w:color w:val="222222"/>
        </w:rPr>
        <w:t xml:space="preserve"> </w:t>
      </w:r>
      <w:r w:rsidR="001E66A4" w:rsidRPr="00292779">
        <w:rPr>
          <w:rFonts w:eastAsia="SimSun"/>
          <w:color w:val="222222"/>
        </w:rPr>
        <w:t xml:space="preserve">0), and a Time by Treatment interaction term. The random part of the model </w:t>
      </w:r>
      <w:r w:rsidR="001E66A4" w:rsidRPr="00B765DF">
        <w:rPr>
          <w:rFonts w:eastAsia="SimSun"/>
          <w:color w:val="222222"/>
        </w:rPr>
        <w:t xml:space="preserve">included a subject-specific random intercept and </w:t>
      </w:r>
      <w:r w:rsidR="0053683D" w:rsidRPr="00B765DF">
        <w:rPr>
          <w:rFonts w:eastAsia="SimSun"/>
          <w:color w:val="222222"/>
        </w:rPr>
        <w:t>a</w:t>
      </w:r>
      <w:r w:rsidR="001E66A4" w:rsidRPr="00B765DF">
        <w:rPr>
          <w:rFonts w:eastAsia="SimSun"/>
          <w:color w:val="222222"/>
        </w:rPr>
        <w:t xml:space="preserve"> subject-specific error term.</w:t>
      </w:r>
      <w:r w:rsidR="00180C2C" w:rsidRPr="00B765DF">
        <w:rPr>
          <w:rFonts w:eastAsia="SimSun"/>
          <w:color w:val="222222"/>
        </w:rPr>
        <w:t xml:space="preserve"> </w:t>
      </w:r>
      <w:r w:rsidR="000C5A21" w:rsidRPr="00B765DF">
        <w:rPr>
          <w:rFonts w:eastAsia="SimSun"/>
          <w:color w:val="222222"/>
        </w:rPr>
        <w:t>The significance</w:t>
      </w:r>
      <w:r w:rsidR="000C5A21">
        <w:rPr>
          <w:rFonts w:eastAsia="SimSun"/>
          <w:color w:val="222222"/>
        </w:rPr>
        <w:t xml:space="preserve"> of t</w:t>
      </w:r>
      <w:r w:rsidR="00D47C66">
        <w:rPr>
          <w:rFonts w:eastAsia="SimSun"/>
          <w:color w:val="222222"/>
        </w:rPr>
        <w:t>reatment moderator was exami</w:t>
      </w:r>
      <w:r w:rsidR="00E64613">
        <w:rPr>
          <w:rFonts w:eastAsia="SimSun"/>
          <w:color w:val="222222"/>
        </w:rPr>
        <w:t>ned using three-way interaction between treatment cond</w:t>
      </w:r>
      <w:r w:rsidR="00194C8E">
        <w:rPr>
          <w:rFonts w:eastAsia="SimSun"/>
          <w:color w:val="222222"/>
        </w:rPr>
        <w:t xml:space="preserve">ition, time, and the moderator. </w:t>
      </w:r>
      <w:r w:rsidR="00EF1628">
        <w:rPr>
          <w:rFonts w:eastAsia="SimSun"/>
          <w:color w:val="222222"/>
        </w:rPr>
        <w:t>Multiplicity was corrected using Hochberg’</w:t>
      </w:r>
      <w:r w:rsidR="005F6B88">
        <w:rPr>
          <w:rFonts w:eastAsia="SimSun"/>
          <w:color w:val="222222"/>
        </w:rPr>
        <w:t xml:space="preserve">s </w:t>
      </w:r>
      <w:r w:rsidR="00740A83">
        <w:rPr>
          <w:rFonts w:eastAsia="SimSun"/>
          <w:color w:val="222222"/>
        </w:rPr>
        <w:fldChar w:fldCharType="begin" w:fldLock="1"/>
      </w:r>
      <w:r w:rsidR="00740A83">
        <w:rPr>
          <w:rFonts w:eastAsia="SimSun"/>
          <w:color w:val="222222"/>
        </w:rPr>
        <w:instrText>ADDIN CSL_CITATION {"citationItems":[{"id":"ITEM-1","itemData":{"DOI":"10.1093/biomet/75.4.800","author":[{"dropping-particle":"","family":"Hochberg","given":"Y","non-dropping-particle":"","parse-names":false,"suffix":""}],"container-title":"Biometrika","id":"ITEM-1","issued":{"date-parts":[["1988"]]},"page":"800-802","title":"A sharper Bonferroni procedure for multiple tests of significance","type":"article-journal","volume":"75"},"suppress-author":1,"uris":["http://www.mendeley.com/documents/?uuid=faadeeef-3c48-4b2d-b9da-6606d0b17bce"]}],"mendeley":{"formattedCitation":"(1988)","plainTextFormattedCitation":"(1988)"},"properties":{"noteIndex":0},"schema":"https://github.com/citation-style-language/schema/raw/master/csl-citation.json"}</w:instrText>
      </w:r>
      <w:r w:rsidR="00740A83">
        <w:rPr>
          <w:rFonts w:eastAsia="SimSun"/>
          <w:color w:val="222222"/>
        </w:rPr>
        <w:fldChar w:fldCharType="separate"/>
      </w:r>
      <w:r w:rsidR="00740A83" w:rsidRPr="00740A83">
        <w:rPr>
          <w:rFonts w:eastAsia="SimSun"/>
          <w:noProof/>
          <w:color w:val="222222"/>
        </w:rPr>
        <w:t>(1988)</w:t>
      </w:r>
      <w:r w:rsidR="00740A83">
        <w:rPr>
          <w:rFonts w:eastAsia="SimSun"/>
          <w:color w:val="222222"/>
        </w:rPr>
        <w:fldChar w:fldCharType="end"/>
      </w:r>
      <w:r w:rsidR="00740A83">
        <w:rPr>
          <w:rFonts w:eastAsia="SimSun"/>
          <w:color w:val="222222"/>
        </w:rPr>
        <w:t xml:space="preserve"> </w:t>
      </w:r>
      <w:r w:rsidR="005F6B88">
        <w:rPr>
          <w:rFonts w:eastAsia="SimSun"/>
          <w:color w:val="222222"/>
        </w:rPr>
        <w:t>procedure</w:t>
      </w:r>
      <w:r w:rsidR="003C5606">
        <w:rPr>
          <w:rFonts w:eastAsia="SimSun"/>
          <w:color w:val="222222"/>
        </w:rPr>
        <w:t xml:space="preserve"> for </w:t>
      </w:r>
      <w:r w:rsidR="009266B9">
        <w:rPr>
          <w:rFonts w:eastAsia="SimSun"/>
          <w:color w:val="222222"/>
        </w:rPr>
        <w:t xml:space="preserve">the confirmatory analyses </w:t>
      </w:r>
      <w:r w:rsidR="00D06E6D">
        <w:rPr>
          <w:rFonts w:eastAsia="SimSun"/>
          <w:color w:val="222222"/>
        </w:rPr>
        <w:t>of</w:t>
      </w:r>
      <w:r w:rsidR="009266B9">
        <w:rPr>
          <w:rFonts w:eastAsia="SimSun"/>
          <w:color w:val="222222"/>
        </w:rPr>
        <w:t xml:space="preserve"> the </w:t>
      </w:r>
      <w:r w:rsidR="003C5606">
        <w:rPr>
          <w:rFonts w:eastAsia="SimSun"/>
          <w:color w:val="222222"/>
        </w:rPr>
        <w:t>primary outcomes in Aim</w:t>
      </w:r>
      <w:r w:rsidR="00EB0CD4">
        <w:rPr>
          <w:rFonts w:eastAsia="SimSun"/>
          <w:color w:val="222222"/>
        </w:rPr>
        <w:t>s</w:t>
      </w:r>
      <w:r w:rsidR="003C5606">
        <w:rPr>
          <w:rFonts w:eastAsia="SimSun"/>
          <w:color w:val="222222"/>
        </w:rPr>
        <w:t xml:space="preserve"> 1 and 2, and for </w:t>
      </w:r>
      <w:r w:rsidR="006F46BB">
        <w:rPr>
          <w:rFonts w:eastAsia="SimSun"/>
          <w:color w:val="222222"/>
        </w:rPr>
        <w:t xml:space="preserve">the exploratory </w:t>
      </w:r>
      <w:r w:rsidR="00EC7AA7">
        <w:rPr>
          <w:rFonts w:eastAsia="SimSun"/>
          <w:color w:val="222222"/>
        </w:rPr>
        <w:t>analyses</w:t>
      </w:r>
      <w:r w:rsidR="006F46BB">
        <w:rPr>
          <w:rFonts w:eastAsia="SimSun"/>
          <w:color w:val="222222"/>
        </w:rPr>
        <w:t xml:space="preserve"> concerning treatment moderators in </w:t>
      </w:r>
      <w:r w:rsidR="003C5606">
        <w:rPr>
          <w:rFonts w:eastAsia="SimSun"/>
          <w:color w:val="222222"/>
        </w:rPr>
        <w:t>Aim 3</w:t>
      </w:r>
      <w:r w:rsidR="005F6B88">
        <w:rPr>
          <w:rFonts w:eastAsia="SimSun"/>
          <w:color w:val="222222"/>
        </w:rPr>
        <w:t xml:space="preserve">. </w:t>
      </w:r>
    </w:p>
    <w:p w14:paraId="2211BBF6" w14:textId="30A234CD" w:rsidR="007818FA" w:rsidRPr="00611A03" w:rsidRDefault="007818FA" w:rsidP="00611A03">
      <w:pPr>
        <w:autoSpaceDE w:val="0"/>
        <w:autoSpaceDN w:val="0"/>
        <w:adjustRightInd w:val="0"/>
        <w:spacing w:line="480" w:lineRule="auto"/>
        <w:jc w:val="center"/>
        <w:rPr>
          <w:rFonts w:eastAsia="SimSun"/>
          <w:color w:val="222222"/>
        </w:rPr>
      </w:pPr>
      <w:r w:rsidRPr="00292779">
        <w:rPr>
          <w:b/>
        </w:rPr>
        <w:t>Results</w:t>
      </w:r>
    </w:p>
    <w:p w14:paraId="693E716D" w14:textId="47E08223" w:rsidR="00C8440D" w:rsidRPr="008D0E8C" w:rsidRDefault="00C8440D" w:rsidP="008D0E8C">
      <w:pPr>
        <w:spacing w:line="480" w:lineRule="auto"/>
        <w:contextualSpacing/>
        <w:rPr>
          <w:b/>
        </w:rPr>
      </w:pPr>
      <w:r w:rsidRPr="0007124F">
        <w:rPr>
          <w:b/>
        </w:rPr>
        <w:t>Demographic and Descriptive statistics</w:t>
      </w:r>
    </w:p>
    <w:p w14:paraId="1D649A25" w14:textId="600D7A9A" w:rsidR="000B5916" w:rsidRPr="00292779" w:rsidRDefault="000B5916" w:rsidP="003E7535">
      <w:pPr>
        <w:spacing w:line="480" w:lineRule="auto"/>
        <w:ind w:firstLine="720"/>
        <w:contextualSpacing/>
      </w:pPr>
      <w:r w:rsidRPr="003754A8">
        <w:t>Figure 1</w:t>
      </w:r>
      <w:r w:rsidRPr="00292779">
        <w:t xml:space="preserve"> summarizes the flow of participants from baseline through 6-month follow-up. </w:t>
      </w:r>
      <w:r w:rsidR="001D00F4" w:rsidRPr="005024ED">
        <w:rPr>
          <w:shd w:val="pct15" w:color="auto" w:fill="FFFFFF"/>
        </w:rPr>
        <w:t xml:space="preserve">The attrition rate was X during treatment and at the 6-month follow-up. </w:t>
      </w:r>
      <w:r w:rsidR="00CD2DDD" w:rsidRPr="005024ED">
        <w:rPr>
          <w:shd w:val="pct15" w:color="auto" w:fill="FFFFFF"/>
        </w:rPr>
        <w:t xml:space="preserve">Attrition </w:t>
      </w:r>
      <w:r w:rsidR="0037554E" w:rsidRPr="005024ED">
        <w:rPr>
          <w:shd w:val="pct15" w:color="auto" w:fill="FFFFFF"/>
        </w:rPr>
        <w:t>was not significantly different across treatment groups at</w:t>
      </w:r>
      <w:r w:rsidR="00913BAC" w:rsidRPr="005024ED">
        <w:rPr>
          <w:shd w:val="pct15" w:color="auto" w:fill="FFFFFF"/>
        </w:rPr>
        <w:t xml:space="preserve"> posttreatment</w:t>
      </w:r>
      <w:r w:rsidR="00D92445" w:rsidRPr="005024ED">
        <w:rPr>
          <w:shd w:val="pct15" w:color="auto" w:fill="FFFFFF"/>
        </w:rPr>
        <w:t xml:space="preserve"> (TranS-C: XX, PE: XX, </w:t>
      </w:r>
      <w:r w:rsidR="00D92445" w:rsidRPr="005024ED">
        <w:rPr>
          <w:i/>
          <w:shd w:val="pct15" w:color="auto" w:fill="FFFFFF"/>
        </w:rPr>
        <w:t>p</w:t>
      </w:r>
      <w:r w:rsidR="00D92445" w:rsidRPr="005024ED">
        <w:rPr>
          <w:shd w:val="pct15" w:color="auto" w:fill="FFFFFF"/>
        </w:rPr>
        <w:t xml:space="preserve"> </w:t>
      </w:r>
      <w:proofErr w:type="gramStart"/>
      <w:r w:rsidR="00D92445" w:rsidRPr="005024ED">
        <w:rPr>
          <w:shd w:val="pct15" w:color="auto" w:fill="FFFFFF"/>
        </w:rPr>
        <w:t>= )</w:t>
      </w:r>
      <w:proofErr w:type="gramEnd"/>
      <w:r w:rsidR="00913BAC" w:rsidRPr="005024ED">
        <w:rPr>
          <w:shd w:val="pct15" w:color="auto" w:fill="FFFFFF"/>
        </w:rPr>
        <w:t xml:space="preserve"> or</w:t>
      </w:r>
      <w:r w:rsidR="009D1830" w:rsidRPr="005024ED">
        <w:rPr>
          <w:shd w:val="pct15" w:color="auto" w:fill="FFFFFF"/>
        </w:rPr>
        <w:t xml:space="preserve"> at</w:t>
      </w:r>
      <w:r w:rsidR="0037554E" w:rsidRPr="005024ED">
        <w:rPr>
          <w:shd w:val="pct15" w:color="auto" w:fill="FFFFFF"/>
        </w:rPr>
        <w:t xml:space="preserve"> 6-month follow-up</w:t>
      </w:r>
      <w:r w:rsidR="00D92445" w:rsidRPr="005024ED">
        <w:rPr>
          <w:shd w:val="pct15" w:color="auto" w:fill="FFFFFF"/>
        </w:rPr>
        <w:t xml:space="preserve"> (TranS-C: XX, PE: XX, </w:t>
      </w:r>
      <w:r w:rsidR="00D92445" w:rsidRPr="005024ED">
        <w:rPr>
          <w:i/>
          <w:shd w:val="pct15" w:color="auto" w:fill="FFFFFF"/>
        </w:rPr>
        <w:t>p</w:t>
      </w:r>
      <w:r w:rsidR="00D92445" w:rsidRPr="005024ED">
        <w:rPr>
          <w:shd w:val="pct15" w:color="auto" w:fill="FFFFFF"/>
        </w:rPr>
        <w:t xml:space="preserve"> =)</w:t>
      </w:r>
      <w:r w:rsidR="00872D0E" w:rsidRPr="005024ED">
        <w:rPr>
          <w:shd w:val="pct15" w:color="auto" w:fill="FFFFFF"/>
        </w:rPr>
        <w:t xml:space="preserve"> [to be updated]</w:t>
      </w:r>
      <w:r w:rsidR="0037554E" w:rsidRPr="005024ED">
        <w:t>.</w:t>
      </w:r>
      <w:r w:rsidR="0037554E" w:rsidRPr="00292779">
        <w:t xml:space="preserve"> </w:t>
      </w:r>
      <w:r w:rsidR="0000259D">
        <w:t>Table 2</w:t>
      </w:r>
      <w:r w:rsidR="00086500">
        <w:t xml:space="preserve"> presents demographic variables. </w:t>
      </w:r>
      <w:r w:rsidR="0000259D">
        <w:t>Table 3</w:t>
      </w:r>
      <w:r w:rsidR="000B16DF" w:rsidRPr="00292779">
        <w:t xml:space="preserve"> presents the descriptive statistics of all outcome variables.</w:t>
      </w:r>
    </w:p>
    <w:p w14:paraId="1268CE4F" w14:textId="00A38EF4" w:rsidR="00AB1259" w:rsidRPr="00BF6E90" w:rsidRDefault="006E403D" w:rsidP="00BF6E90">
      <w:pPr>
        <w:spacing w:line="480" w:lineRule="auto"/>
        <w:contextualSpacing/>
      </w:pPr>
      <w:r w:rsidRPr="00292779">
        <w:rPr>
          <w:b/>
        </w:rPr>
        <w:t xml:space="preserve">Sleep and Circadian Outcomes </w:t>
      </w:r>
      <w:r w:rsidR="00BC424D">
        <w:rPr>
          <w:b/>
        </w:rPr>
        <w:t>(Aim 1)</w:t>
      </w:r>
    </w:p>
    <w:p w14:paraId="59BF57A2" w14:textId="681C0DD2" w:rsidR="00202A2A" w:rsidRPr="00292779" w:rsidRDefault="005C2359" w:rsidP="00BF6E90">
      <w:pPr>
        <w:spacing w:line="480" w:lineRule="auto"/>
        <w:ind w:firstLine="720"/>
        <w:contextualSpacing/>
      </w:pPr>
      <w:r w:rsidRPr="00292779">
        <w:t xml:space="preserve">The primary sleep and circadian outcomes are </w:t>
      </w:r>
      <w:r w:rsidR="00647128">
        <w:t xml:space="preserve">weeknight </w:t>
      </w:r>
      <w:proofErr w:type="spellStart"/>
      <w:r w:rsidR="00647128">
        <w:t>TST</w:t>
      </w:r>
      <w:proofErr w:type="spellEnd"/>
      <w:r w:rsidR="000848DF">
        <w:t xml:space="preserve"> and BT as well as</w:t>
      </w:r>
      <w:r w:rsidR="004C75DB" w:rsidRPr="00292779">
        <w:t xml:space="preserve"> CMEP. </w:t>
      </w:r>
      <w:r w:rsidR="00B14856" w:rsidRPr="00292779">
        <w:t xml:space="preserve">Relative to PE, </w:t>
      </w:r>
      <w:r w:rsidR="004C75DB" w:rsidRPr="00292779">
        <w:t xml:space="preserve">TranS-C was </w:t>
      </w:r>
      <w:r w:rsidR="00B14856" w:rsidRPr="00292779">
        <w:t>associated</w:t>
      </w:r>
      <w:r w:rsidR="004C75DB" w:rsidRPr="00292779">
        <w:t xml:space="preserve"> with </w:t>
      </w:r>
      <w:r w:rsidR="0045425F" w:rsidRPr="00292779">
        <w:t xml:space="preserve">greater </w:t>
      </w:r>
      <w:r w:rsidR="00840D23" w:rsidRPr="00292779">
        <w:t xml:space="preserve">reduction in eveningness </w:t>
      </w:r>
      <w:r w:rsidR="00945C14" w:rsidRPr="00292779">
        <w:t xml:space="preserve">as indexed by greater </w:t>
      </w:r>
      <w:r w:rsidR="0045425F" w:rsidRPr="00292779">
        <w:t xml:space="preserve">increase in </w:t>
      </w:r>
      <w:r w:rsidR="004C75DB" w:rsidRPr="00292779">
        <w:t xml:space="preserve">CMEP </w:t>
      </w:r>
      <w:r w:rsidR="00EB193F" w:rsidRPr="00292779">
        <w:t xml:space="preserve">score </w:t>
      </w:r>
      <w:r w:rsidR="00C17FE7" w:rsidRPr="00292779">
        <w:t>from baseline through 6-month fol</w:t>
      </w:r>
      <w:r w:rsidR="007A7509" w:rsidRPr="00292779">
        <w:t>low-up</w:t>
      </w:r>
      <w:r w:rsidR="00B67B56" w:rsidRPr="00292779">
        <w:t xml:space="preserve"> (</w:t>
      </w:r>
      <w:r w:rsidR="00B67B56" w:rsidRPr="00BA01DA">
        <w:rPr>
          <w:i/>
        </w:rPr>
        <w:t>b</w:t>
      </w:r>
      <w:r w:rsidR="00B67B56" w:rsidRPr="00292779">
        <w:t xml:space="preserve"> = 1.84, </w:t>
      </w:r>
      <w:r w:rsidR="00B67B56" w:rsidRPr="000777A6">
        <w:rPr>
          <w:i/>
        </w:rPr>
        <w:t>p</w:t>
      </w:r>
      <w:r w:rsidR="00B67B56" w:rsidRPr="00292779">
        <w:t xml:space="preserve"> = 0.006)</w:t>
      </w:r>
      <w:r w:rsidR="007A7509" w:rsidRPr="00292779">
        <w:t>, and there was no significant difference between treatment conditions on CMEP from posttreatment to 6-month follow-up</w:t>
      </w:r>
      <w:r w:rsidR="0031022D" w:rsidRPr="00292779">
        <w:t xml:space="preserve"> (</w:t>
      </w:r>
      <w:r w:rsidR="0031022D" w:rsidRPr="00795CD4">
        <w:rPr>
          <w:i/>
        </w:rPr>
        <w:t>b</w:t>
      </w:r>
      <w:r w:rsidR="0031022D" w:rsidRPr="00292779">
        <w:t xml:space="preserve"> = -0.16, </w:t>
      </w:r>
      <w:r w:rsidR="0031022D" w:rsidRPr="00C729C2">
        <w:rPr>
          <w:i/>
        </w:rPr>
        <w:t>p</w:t>
      </w:r>
      <w:r w:rsidR="0031022D" w:rsidRPr="00292779">
        <w:t xml:space="preserve"> = 0.83)</w:t>
      </w:r>
      <w:r w:rsidR="007A7509" w:rsidRPr="00292779">
        <w:t xml:space="preserve">. </w:t>
      </w:r>
      <w:r w:rsidR="009C7644" w:rsidRPr="00292779">
        <w:t xml:space="preserve">There was no </w:t>
      </w:r>
      <w:r w:rsidR="00901AE7" w:rsidRPr="00292779">
        <w:t xml:space="preserve">significant </w:t>
      </w:r>
      <w:r w:rsidR="001F5866" w:rsidRPr="00292779">
        <w:t xml:space="preserve">difference between treatment conditions on weeknight </w:t>
      </w:r>
      <w:proofErr w:type="spellStart"/>
      <w:r w:rsidR="001F5866" w:rsidRPr="00292779">
        <w:t>TST</w:t>
      </w:r>
      <w:proofErr w:type="spellEnd"/>
      <w:r w:rsidR="001F5866" w:rsidRPr="00292779">
        <w:t xml:space="preserve"> or BT</w:t>
      </w:r>
      <w:r w:rsidR="00030734" w:rsidRPr="00292779">
        <w:t xml:space="preserve"> from baseline to posttreatment or 6-month follow-up</w:t>
      </w:r>
      <w:r w:rsidR="001F5866" w:rsidRPr="00292779">
        <w:t>.</w:t>
      </w:r>
    </w:p>
    <w:p w14:paraId="1C91BEC4" w14:textId="6AA68F9F" w:rsidR="000B5916" w:rsidRPr="00292779" w:rsidRDefault="00202A2A" w:rsidP="00E95946">
      <w:pPr>
        <w:spacing w:line="480" w:lineRule="auto"/>
        <w:ind w:firstLine="720"/>
        <w:contextualSpacing/>
        <w:rPr>
          <w:b/>
        </w:rPr>
      </w:pPr>
      <w:r w:rsidRPr="00292779">
        <w:lastRenderedPageBreak/>
        <w:t>The secondary sleep and circadian outcomes are weeknight-weekend discrepa</w:t>
      </w:r>
      <w:r w:rsidR="006F2002" w:rsidRPr="00292779">
        <w:t xml:space="preserve">ncy in </w:t>
      </w:r>
      <w:proofErr w:type="spellStart"/>
      <w:r w:rsidR="006F2002" w:rsidRPr="00292779">
        <w:t>T</w:t>
      </w:r>
      <w:r w:rsidR="00784558" w:rsidRPr="00292779">
        <w:t>ST</w:t>
      </w:r>
      <w:proofErr w:type="spellEnd"/>
      <w:r w:rsidR="00784558" w:rsidRPr="00292779">
        <w:t>, BT and w</w:t>
      </w:r>
      <w:r w:rsidR="0015127B">
        <w:t>akeup, and</w:t>
      </w:r>
      <w:r w:rsidR="006F2002" w:rsidRPr="00292779">
        <w:t xml:space="preserve"> sleepiness, </w:t>
      </w:r>
      <w:proofErr w:type="spellStart"/>
      <w:r w:rsidR="006F2002" w:rsidRPr="00292779">
        <w:t>PSQI</w:t>
      </w:r>
      <w:proofErr w:type="spellEnd"/>
      <w:r w:rsidR="006F2002" w:rsidRPr="00292779">
        <w:t xml:space="preserve">, and CBCL Sleep Composite. </w:t>
      </w:r>
      <w:r w:rsidR="004D4096" w:rsidRPr="00292779">
        <w:t>W</w:t>
      </w:r>
      <w:r w:rsidR="00320B7F" w:rsidRPr="00292779">
        <w:t xml:space="preserve">akeup time weeknight-weekend discrepancy, sleepiness, </w:t>
      </w:r>
      <w:proofErr w:type="spellStart"/>
      <w:r w:rsidR="00320B7F" w:rsidRPr="00292779">
        <w:t>PSQI</w:t>
      </w:r>
      <w:proofErr w:type="spellEnd"/>
      <w:r w:rsidR="00320B7F" w:rsidRPr="00292779">
        <w:t xml:space="preserve">, and CBCL Sleep Composite all showed </w:t>
      </w:r>
      <w:r w:rsidR="00FC1CD5" w:rsidRPr="00292779">
        <w:t xml:space="preserve">significant improvement for TranS-C </w:t>
      </w:r>
      <w:r w:rsidR="00D22078">
        <w:t>relative to</w:t>
      </w:r>
      <w:r w:rsidR="00FC1CD5" w:rsidRPr="00292779">
        <w:t xml:space="preserve"> PE from </w:t>
      </w:r>
      <w:r w:rsidR="00CF6FE3" w:rsidRPr="00292779">
        <w:t>baseline</w:t>
      </w:r>
      <w:r w:rsidR="00FC1CD5" w:rsidRPr="00292779">
        <w:t xml:space="preserve"> to posttrea</w:t>
      </w:r>
      <w:r w:rsidR="004D4096" w:rsidRPr="00292779">
        <w:t xml:space="preserve">tment. </w:t>
      </w:r>
      <w:r w:rsidR="000A314D" w:rsidRPr="00292779">
        <w:t>The a</w:t>
      </w:r>
      <w:r w:rsidR="00755553" w:rsidRPr="00292779">
        <w:t xml:space="preserve">dditional treatment gains associated with TranS-C </w:t>
      </w:r>
      <w:r w:rsidR="00FE3436" w:rsidRPr="00292779">
        <w:t xml:space="preserve">relative to PE </w:t>
      </w:r>
      <w:r w:rsidR="00755553" w:rsidRPr="00292779">
        <w:t xml:space="preserve">were maintained </w:t>
      </w:r>
      <w:r w:rsidR="002F33C0">
        <w:t xml:space="preserve">from baseline </w:t>
      </w:r>
      <w:r w:rsidR="00755553" w:rsidRPr="00292779">
        <w:t xml:space="preserve">through 6-month follow-up for </w:t>
      </w:r>
      <w:r w:rsidR="00CF6FE3" w:rsidRPr="00292779">
        <w:t>wakeup time weeknight-weekend</w:t>
      </w:r>
      <w:r w:rsidR="002A0D69" w:rsidRPr="00292779">
        <w:t xml:space="preserve"> (</w:t>
      </w:r>
      <w:r w:rsidR="001C2068" w:rsidRPr="0082187E">
        <w:rPr>
          <w:i/>
        </w:rPr>
        <w:t>b</w:t>
      </w:r>
      <w:r w:rsidR="001C2068" w:rsidRPr="00292779">
        <w:t xml:space="preserve"> = 0.72, </w:t>
      </w:r>
      <w:r w:rsidR="001C2068" w:rsidRPr="00B842A7">
        <w:rPr>
          <w:i/>
        </w:rPr>
        <w:t>p</w:t>
      </w:r>
      <w:r w:rsidR="001C2068" w:rsidRPr="00292779">
        <w:t xml:space="preserve"> = 0.01</w:t>
      </w:r>
      <w:r w:rsidR="002A0D69" w:rsidRPr="00292779">
        <w:t>)</w:t>
      </w:r>
      <w:r w:rsidR="00CF6FE3" w:rsidRPr="00292779">
        <w:t xml:space="preserve"> and </w:t>
      </w:r>
      <w:proofErr w:type="spellStart"/>
      <w:r w:rsidR="00CF6FE3" w:rsidRPr="00292779">
        <w:t>PSQI</w:t>
      </w:r>
      <w:proofErr w:type="spellEnd"/>
      <w:r w:rsidR="002145BD" w:rsidRPr="00292779">
        <w:t xml:space="preserve"> (</w:t>
      </w:r>
      <w:r w:rsidR="002145BD" w:rsidRPr="00384CE7">
        <w:rPr>
          <w:i/>
        </w:rPr>
        <w:t>b</w:t>
      </w:r>
      <w:r w:rsidR="002145BD" w:rsidRPr="00292779">
        <w:t xml:space="preserve"> = -1.09, </w:t>
      </w:r>
      <w:r w:rsidR="002145BD" w:rsidRPr="0065219D">
        <w:rPr>
          <w:i/>
        </w:rPr>
        <w:t>p</w:t>
      </w:r>
      <w:r w:rsidR="002145BD" w:rsidRPr="00292779">
        <w:t xml:space="preserve"> = 0.02)</w:t>
      </w:r>
      <w:r w:rsidR="00127CBB" w:rsidRPr="00292779">
        <w:t xml:space="preserve">, </w:t>
      </w:r>
      <w:r w:rsidR="00F00932">
        <w:t>and</w:t>
      </w:r>
      <w:r w:rsidR="00127CBB" w:rsidRPr="00292779">
        <w:t xml:space="preserve"> </w:t>
      </w:r>
      <w:r w:rsidR="00A378C8" w:rsidRPr="00292779">
        <w:t xml:space="preserve">there was </w:t>
      </w:r>
      <w:r w:rsidR="00127CBB" w:rsidRPr="00292779">
        <w:t>no</w:t>
      </w:r>
      <w:r w:rsidR="00336C86" w:rsidRPr="00292779">
        <w:t xml:space="preserve"> </w:t>
      </w:r>
      <w:r w:rsidR="003904DB" w:rsidRPr="00292779">
        <w:t>significant</w:t>
      </w:r>
      <w:r w:rsidR="00127CBB" w:rsidRPr="00292779">
        <w:t xml:space="preserve"> </w:t>
      </w:r>
      <w:r w:rsidR="000C03B8" w:rsidRPr="00292779">
        <w:t xml:space="preserve">difference between treatment conditions </w:t>
      </w:r>
      <w:r w:rsidR="00127CBB" w:rsidRPr="00292779">
        <w:t>from posttreatment to 6-month follow-up</w:t>
      </w:r>
      <w:r w:rsidR="00A24890" w:rsidRPr="00292779">
        <w:t xml:space="preserve"> on these two measures</w:t>
      </w:r>
      <w:r w:rsidR="0029574B" w:rsidRPr="00292779">
        <w:t xml:space="preserve">. </w:t>
      </w:r>
      <w:r w:rsidR="00401499" w:rsidRPr="00292779">
        <w:t xml:space="preserve">For sleepiness, </w:t>
      </w:r>
      <w:r w:rsidR="003D741A" w:rsidRPr="00292779">
        <w:t>both TranS-C and PE exhibited significant decrease from post to follow-up, so there was no advantage of TranS-</w:t>
      </w:r>
      <w:proofErr w:type="spellStart"/>
      <w:r w:rsidR="003D741A" w:rsidRPr="00292779">
        <w:t>C over</w:t>
      </w:r>
      <w:proofErr w:type="spellEnd"/>
      <w:r w:rsidR="003D741A" w:rsidRPr="00292779">
        <w:t xml:space="preserve"> PE </w:t>
      </w:r>
      <w:r w:rsidR="00F97DB2" w:rsidRPr="00292779">
        <w:t>by 6-month</w:t>
      </w:r>
      <w:r w:rsidR="003D741A" w:rsidRPr="00292779">
        <w:t xml:space="preserve"> follow-up</w:t>
      </w:r>
      <w:r w:rsidR="008267D0" w:rsidRPr="00292779">
        <w:t xml:space="preserve">. For </w:t>
      </w:r>
      <w:r w:rsidR="00537EBC" w:rsidRPr="00292779">
        <w:t>CBCL Sleep C</w:t>
      </w:r>
      <w:r w:rsidR="008267D0" w:rsidRPr="00292779">
        <w:t xml:space="preserve">omposite, </w:t>
      </w:r>
      <w:r w:rsidR="00E26EE9" w:rsidRPr="00292779">
        <w:t>there was an increase for TranS-C</w:t>
      </w:r>
      <w:r w:rsidR="009F0E0D" w:rsidRPr="00292779">
        <w:t xml:space="preserve"> and a decrease for PE </w:t>
      </w:r>
      <w:r w:rsidR="00A6535D" w:rsidRPr="00292779">
        <w:t>from post to 6-month follow-up and thus a</w:t>
      </w:r>
      <w:r w:rsidR="00126945" w:rsidRPr="00292779">
        <w:t xml:space="preserve">t 6-month follow-up </w:t>
      </w:r>
      <w:r w:rsidR="00E26EE9" w:rsidRPr="00292779">
        <w:t>TranS-C no long had a</w:t>
      </w:r>
      <w:r w:rsidR="0021761B">
        <w:t xml:space="preserve">n advantage over PE. </w:t>
      </w:r>
    </w:p>
    <w:p w14:paraId="5C37CC6D" w14:textId="3EF9144D" w:rsidR="00C822DA" w:rsidRPr="00A57182" w:rsidRDefault="00BA2BB3" w:rsidP="00E95946">
      <w:pPr>
        <w:spacing w:line="480" w:lineRule="auto"/>
        <w:contextualSpacing/>
        <w:rPr>
          <w:b/>
        </w:rPr>
      </w:pPr>
      <w:r w:rsidRPr="00292779">
        <w:rPr>
          <w:b/>
        </w:rPr>
        <w:t>Five Health Risk Domains</w:t>
      </w:r>
      <w:r w:rsidR="00B223D4">
        <w:rPr>
          <w:b/>
        </w:rPr>
        <w:t xml:space="preserve"> (Aim 2)</w:t>
      </w:r>
    </w:p>
    <w:p w14:paraId="63AA4C69" w14:textId="2E661842" w:rsidR="006C413D" w:rsidRPr="00292779" w:rsidRDefault="00317D75" w:rsidP="00E95946">
      <w:pPr>
        <w:spacing w:line="480" w:lineRule="auto"/>
        <w:ind w:firstLine="720"/>
        <w:contextualSpacing/>
      </w:pPr>
      <w:r w:rsidRPr="00292779">
        <w:t xml:space="preserve">The primary health outcomes are the five youth self-report composite risk scores. </w:t>
      </w:r>
      <w:r w:rsidR="003A521D" w:rsidRPr="00292779">
        <w:t xml:space="preserve">None of the five </w:t>
      </w:r>
      <w:r w:rsidR="001B1911" w:rsidRPr="00292779">
        <w:t xml:space="preserve">youth self-report composite risk scores </w:t>
      </w:r>
      <w:r w:rsidR="00407DB1" w:rsidRPr="00292779">
        <w:t>was significantly different</w:t>
      </w:r>
      <w:r w:rsidR="001B1911" w:rsidRPr="00292779">
        <w:t xml:space="preserve"> between treatment conditions in terms of their changes from baseline to posttreatment and to 6-month follow-up. </w:t>
      </w:r>
      <w:r w:rsidR="00FA3C03" w:rsidRPr="00292779">
        <w:t xml:space="preserve">We have also presented </w:t>
      </w:r>
      <w:r w:rsidR="00204D11">
        <w:t xml:space="preserve">exploratory </w:t>
      </w:r>
      <w:r w:rsidR="00BA0482" w:rsidRPr="00292779">
        <w:t xml:space="preserve">analyses </w:t>
      </w:r>
      <w:r w:rsidR="007049DE" w:rsidRPr="00292779">
        <w:t xml:space="preserve">using specific measures within each </w:t>
      </w:r>
      <w:r w:rsidR="00945B93" w:rsidRPr="00292779">
        <w:t xml:space="preserve">health domain. </w:t>
      </w:r>
      <w:r w:rsidR="00AE7C7A" w:rsidRPr="00292779">
        <w:t>TranS-C did not produce</w:t>
      </w:r>
      <w:r w:rsidR="00416AF5" w:rsidRPr="00292779">
        <w:t xml:space="preserve"> additional changes above and beyond PE on these </w:t>
      </w:r>
      <w:r w:rsidR="00AE7C7A" w:rsidRPr="00292779">
        <w:t>measures</w:t>
      </w:r>
      <w:r w:rsidR="00416AF5" w:rsidRPr="00292779">
        <w:t xml:space="preserve">. </w:t>
      </w:r>
      <w:r w:rsidR="00DC4278" w:rsidRPr="00292779">
        <w:t>For the Attention Control Scale</w:t>
      </w:r>
      <w:r w:rsidR="006C413D" w:rsidRPr="00292779">
        <w:t xml:space="preserve"> (</w:t>
      </w:r>
      <w:r w:rsidR="00DC4278" w:rsidRPr="00292779">
        <w:t>ACS</w:t>
      </w:r>
      <w:r w:rsidR="006C413D" w:rsidRPr="00292779">
        <w:t xml:space="preserve">), there was a significant </w:t>
      </w:r>
      <w:r w:rsidR="00C840C3" w:rsidRPr="00292779">
        <w:t xml:space="preserve">treatment </w:t>
      </w:r>
      <w:r w:rsidR="00583A20" w:rsidRPr="00292779">
        <w:t>by time</w:t>
      </w:r>
      <w:r w:rsidR="00C840C3" w:rsidRPr="00292779">
        <w:t xml:space="preserve"> interaction from posttreatment to 6-mon</w:t>
      </w:r>
      <w:r w:rsidR="0006151A" w:rsidRPr="00292779">
        <w:t>th follow-up</w:t>
      </w:r>
      <w:r w:rsidR="003335B8" w:rsidRPr="00292779">
        <w:t xml:space="preserve"> (</w:t>
      </w:r>
      <w:r w:rsidR="009242EA" w:rsidRPr="00CF12CC">
        <w:rPr>
          <w:i/>
        </w:rPr>
        <w:t>b</w:t>
      </w:r>
      <w:r w:rsidR="009242EA" w:rsidRPr="00292779">
        <w:t xml:space="preserve"> </w:t>
      </w:r>
      <w:r w:rsidR="00791037" w:rsidRPr="00292779">
        <w:t xml:space="preserve">= </w:t>
      </w:r>
      <w:r w:rsidR="003335B8" w:rsidRPr="00292779">
        <w:t>0.79</w:t>
      </w:r>
      <w:r w:rsidR="00791037" w:rsidRPr="00292779">
        <w:t xml:space="preserve">, </w:t>
      </w:r>
      <w:r w:rsidR="00791037" w:rsidRPr="00F03EE0">
        <w:rPr>
          <w:i/>
        </w:rPr>
        <w:t>p</w:t>
      </w:r>
      <w:r w:rsidR="00791037" w:rsidRPr="00292779">
        <w:t xml:space="preserve"> = 0.02</w:t>
      </w:r>
      <w:r w:rsidR="003335B8" w:rsidRPr="00292779">
        <w:t>)</w:t>
      </w:r>
      <w:r w:rsidR="0006151A" w:rsidRPr="00292779">
        <w:t xml:space="preserve"> in favor of PE, </w:t>
      </w:r>
      <w:r w:rsidR="001E588A" w:rsidRPr="00292779">
        <w:t xml:space="preserve">such that PE had </w:t>
      </w:r>
      <w:r w:rsidR="003F7B45" w:rsidRPr="00292779">
        <w:t xml:space="preserve">significantly </w:t>
      </w:r>
      <w:r w:rsidR="00B81787">
        <w:t>greater</w:t>
      </w:r>
      <w:r w:rsidR="001E588A" w:rsidRPr="00292779">
        <w:t xml:space="preserve"> </w:t>
      </w:r>
      <w:r w:rsidR="00C840C3" w:rsidRPr="00292779">
        <w:t>improvement in attention control (as indicat</w:t>
      </w:r>
      <w:r w:rsidR="0088055C" w:rsidRPr="00292779">
        <w:t>ed by an increase in ACS score)</w:t>
      </w:r>
      <w:r w:rsidR="00207A24" w:rsidRPr="00292779">
        <w:t xml:space="preserve"> than TranS-C</w:t>
      </w:r>
      <w:r w:rsidR="00744245">
        <w:t xml:space="preserve"> during this period</w:t>
      </w:r>
      <w:r w:rsidR="0088055C" w:rsidRPr="00292779">
        <w:t xml:space="preserve">. </w:t>
      </w:r>
      <w:r w:rsidR="004C49B3" w:rsidRPr="00A453C1">
        <w:rPr>
          <w:highlight w:val="yellow"/>
        </w:rPr>
        <w:t xml:space="preserve">However, </w:t>
      </w:r>
      <w:r w:rsidR="00F85914" w:rsidRPr="00A453C1">
        <w:rPr>
          <w:highlight w:val="yellow"/>
        </w:rPr>
        <w:t xml:space="preserve">none of </w:t>
      </w:r>
      <w:r w:rsidR="004C49B3" w:rsidRPr="00A453C1">
        <w:rPr>
          <w:highlight w:val="yellow"/>
        </w:rPr>
        <w:t>the changes from baseline</w:t>
      </w:r>
      <w:r w:rsidR="006C413D" w:rsidRPr="00A453C1">
        <w:rPr>
          <w:highlight w:val="yellow"/>
        </w:rPr>
        <w:t xml:space="preserve"> to post</w:t>
      </w:r>
      <w:r w:rsidR="004C49B3" w:rsidRPr="00A453C1">
        <w:rPr>
          <w:highlight w:val="yellow"/>
        </w:rPr>
        <w:t>treatment</w:t>
      </w:r>
      <w:r w:rsidR="006C413D" w:rsidRPr="00A453C1">
        <w:rPr>
          <w:highlight w:val="yellow"/>
        </w:rPr>
        <w:t xml:space="preserve"> or </w:t>
      </w:r>
      <w:r w:rsidR="004C49B3" w:rsidRPr="00A453C1">
        <w:rPr>
          <w:highlight w:val="yellow"/>
        </w:rPr>
        <w:lastRenderedPageBreak/>
        <w:t xml:space="preserve">6-month </w:t>
      </w:r>
      <w:r w:rsidR="006C413D" w:rsidRPr="00A453C1">
        <w:rPr>
          <w:highlight w:val="yellow"/>
        </w:rPr>
        <w:t xml:space="preserve">follow-up were </w:t>
      </w:r>
      <w:r w:rsidR="000E23BC" w:rsidRPr="00A453C1">
        <w:rPr>
          <w:highlight w:val="yellow"/>
        </w:rPr>
        <w:t>significant for</w:t>
      </w:r>
      <w:r w:rsidR="006C413D" w:rsidRPr="00A453C1">
        <w:rPr>
          <w:highlight w:val="yellow"/>
        </w:rPr>
        <w:t xml:space="preserve"> TranS-C </w:t>
      </w:r>
      <w:r w:rsidR="000E23BC" w:rsidRPr="00A453C1">
        <w:rPr>
          <w:highlight w:val="yellow"/>
        </w:rPr>
        <w:t>or</w:t>
      </w:r>
      <w:r w:rsidR="006C413D" w:rsidRPr="00A453C1">
        <w:rPr>
          <w:highlight w:val="yellow"/>
        </w:rPr>
        <w:t xml:space="preserve"> PE (all </w:t>
      </w:r>
      <w:proofErr w:type="spellStart"/>
      <w:r w:rsidR="006C413D" w:rsidRPr="00A453C1">
        <w:rPr>
          <w:i/>
          <w:highlight w:val="yellow"/>
        </w:rPr>
        <w:t>p</w:t>
      </w:r>
      <w:r w:rsidR="006C413D" w:rsidRPr="00A453C1">
        <w:rPr>
          <w:highlight w:val="yellow"/>
        </w:rPr>
        <w:t>s</w:t>
      </w:r>
      <w:proofErr w:type="spellEnd"/>
      <w:r w:rsidR="006C413D" w:rsidRPr="00A453C1">
        <w:rPr>
          <w:highlight w:val="yellow"/>
        </w:rPr>
        <w:t>&gt; 0.05)</w:t>
      </w:r>
      <w:r w:rsidR="00392F31">
        <w:rPr>
          <w:highlight w:val="yellow"/>
        </w:rPr>
        <w:t xml:space="preserve"> [not sure we need to add this/how to interpret this]</w:t>
      </w:r>
      <w:r w:rsidR="006C413D" w:rsidRPr="00A453C1">
        <w:rPr>
          <w:highlight w:val="yellow"/>
        </w:rPr>
        <w:t>.</w:t>
      </w:r>
      <w:r w:rsidR="006C413D" w:rsidRPr="00627A9C">
        <w:rPr>
          <w:strike/>
        </w:rPr>
        <w:t xml:space="preserve"> </w:t>
      </w:r>
    </w:p>
    <w:p w14:paraId="174237AE" w14:textId="026914D0" w:rsidR="007F6CED" w:rsidRPr="00292779" w:rsidRDefault="00F22B97" w:rsidP="007F6CED">
      <w:pPr>
        <w:spacing w:line="480" w:lineRule="auto"/>
        <w:contextualSpacing/>
      </w:pPr>
      <w:r w:rsidRPr="00292779">
        <w:tab/>
        <w:t>The secondary health outcomes are the parent-reported composite</w:t>
      </w:r>
      <w:r w:rsidR="00696E41" w:rsidRPr="00292779">
        <w:t xml:space="preserve"> risk</w:t>
      </w:r>
      <w:r w:rsidRPr="00292779">
        <w:t xml:space="preserve"> scores. </w:t>
      </w:r>
      <w:r w:rsidR="00415C8A" w:rsidRPr="00292779">
        <w:t>N</w:t>
      </w:r>
      <w:r w:rsidR="001E215B" w:rsidRPr="00292779">
        <w:t>one of the five parent-report composite risk scores was significantly different between treatment conditions from baseline to posttreatment or 6-month follow-up.</w:t>
      </w:r>
      <w:r w:rsidR="00415C8A" w:rsidRPr="00292779">
        <w:t xml:space="preserve"> There was a significant treatment by time interaction </w:t>
      </w:r>
      <w:r w:rsidR="00751B46">
        <w:t xml:space="preserve">in the behavioral health </w:t>
      </w:r>
      <w:r w:rsidR="00F4733F">
        <w:t xml:space="preserve">domain </w:t>
      </w:r>
      <w:r w:rsidR="00415C8A" w:rsidRPr="00292779">
        <w:t>from posttreatment to 6-month follow-up in favor of PE, such that there was significantly more reduction in the parent-report composite scores in the behavioral domain for PE over TranS-C during that period</w:t>
      </w:r>
      <w:r w:rsidR="00D03681" w:rsidRPr="00292779">
        <w:t xml:space="preserve">, although there was no significant difference between treatment </w:t>
      </w:r>
      <w:r w:rsidR="00124ABD" w:rsidRPr="00292779">
        <w:t>condition</w:t>
      </w:r>
      <w:r w:rsidR="00D03681" w:rsidRPr="00292779">
        <w:t xml:space="preserve"> </w:t>
      </w:r>
      <w:r w:rsidR="00056775" w:rsidRPr="00292779">
        <w:t>for the changes from baseline to</w:t>
      </w:r>
      <w:r w:rsidR="00D03681" w:rsidRPr="00292779">
        <w:t xml:space="preserve"> 6-month follow-up. </w:t>
      </w:r>
      <w:r w:rsidR="00FC65C1" w:rsidRPr="00292779">
        <w:t>We also pr</w:t>
      </w:r>
      <w:r w:rsidR="004C3693" w:rsidRPr="00292779">
        <w:t>esented specific subscale</w:t>
      </w:r>
      <w:r w:rsidR="008A53B5" w:rsidRPr="00292779">
        <w:t>s</w:t>
      </w:r>
      <w:r w:rsidR="004C3693" w:rsidRPr="00292779">
        <w:t xml:space="preserve"> </w:t>
      </w:r>
      <w:r w:rsidR="008A53B5" w:rsidRPr="00292779">
        <w:t xml:space="preserve">within each domain. </w:t>
      </w:r>
      <w:r w:rsidR="006C413D" w:rsidRPr="00292779">
        <w:t xml:space="preserve">For </w:t>
      </w:r>
      <w:r w:rsidR="00446955" w:rsidRPr="00292779">
        <w:t xml:space="preserve">the </w:t>
      </w:r>
      <w:r w:rsidR="006C413D" w:rsidRPr="00292779">
        <w:t>CBCL thought problem</w:t>
      </w:r>
      <w:r w:rsidR="00446955" w:rsidRPr="00292779">
        <w:t xml:space="preserve"> subscale</w:t>
      </w:r>
      <w:r w:rsidR="006C413D" w:rsidRPr="00292779">
        <w:t xml:space="preserve">, there was a significant advantage of TranS-C </w:t>
      </w:r>
      <w:r w:rsidR="00AB6794">
        <w:t>relative to</w:t>
      </w:r>
      <w:r w:rsidR="006C413D" w:rsidRPr="00292779">
        <w:t xml:space="preserve"> PE from pre to post. However, by 6-month follow-up, this advantage has diminished. At 6-month follow-up, both TranS-C and PE exhibited a significant decrease of thought problems compared to pre (both </w:t>
      </w:r>
      <w:proofErr w:type="spellStart"/>
      <w:r w:rsidR="006C413D" w:rsidRPr="00292779">
        <w:rPr>
          <w:i/>
        </w:rPr>
        <w:t>p</w:t>
      </w:r>
      <w:r w:rsidR="006C413D" w:rsidRPr="00292779">
        <w:t>s</w:t>
      </w:r>
      <w:proofErr w:type="spellEnd"/>
      <w:r w:rsidR="006C413D" w:rsidRPr="00292779">
        <w:t xml:space="preserve"> &lt; 0.002). TranS-C maintained the treatment gain for this outcome, but </w:t>
      </w:r>
      <w:r w:rsidR="004472E0" w:rsidRPr="00292779">
        <w:t>PE caught up</w:t>
      </w:r>
      <w:r w:rsidR="006C413D" w:rsidRPr="00292779">
        <w:t xml:space="preserve"> from post</w:t>
      </w:r>
      <w:r w:rsidR="004472E0" w:rsidRPr="00292779">
        <w:t>treatment</w:t>
      </w:r>
      <w:r w:rsidR="006C413D" w:rsidRPr="00292779">
        <w:t xml:space="preserve"> to follow-up. For CBCL rule breaking behavior, there was a significant difference in the slopes of TranS-C vs. PE from post to 6-month follow-up. </w:t>
      </w:r>
      <w:r w:rsidR="006C413D" w:rsidRPr="00A453C1">
        <w:rPr>
          <w:highlight w:val="yellow"/>
          <w:shd w:val="pct15" w:color="auto" w:fill="FFFFFF"/>
        </w:rPr>
        <w:t xml:space="preserve">However, the changes from pre to post or follow-up were not significant for both TranS-C and PE (all </w:t>
      </w:r>
      <w:proofErr w:type="spellStart"/>
      <w:r w:rsidR="006C413D" w:rsidRPr="00A453C1">
        <w:rPr>
          <w:i/>
          <w:highlight w:val="yellow"/>
          <w:shd w:val="pct15" w:color="auto" w:fill="FFFFFF"/>
        </w:rPr>
        <w:t>p</w:t>
      </w:r>
      <w:r w:rsidR="006C413D" w:rsidRPr="00A453C1">
        <w:rPr>
          <w:highlight w:val="yellow"/>
          <w:shd w:val="pct15" w:color="auto" w:fill="FFFFFF"/>
        </w:rPr>
        <w:t>s</w:t>
      </w:r>
      <w:proofErr w:type="spellEnd"/>
      <w:r w:rsidR="006C413D" w:rsidRPr="00A453C1">
        <w:rPr>
          <w:highlight w:val="yellow"/>
          <w:shd w:val="pct15" w:color="auto" w:fill="FFFFFF"/>
        </w:rPr>
        <w:t xml:space="preserve"> &gt; .05)</w:t>
      </w:r>
    </w:p>
    <w:p w14:paraId="625ED863" w14:textId="6BF0F042" w:rsidR="0073787E" w:rsidRPr="00292779" w:rsidRDefault="000E18EA" w:rsidP="002D2406">
      <w:pPr>
        <w:spacing w:line="480" w:lineRule="auto"/>
        <w:contextualSpacing/>
      </w:pPr>
      <w:r w:rsidRPr="00292779">
        <w:rPr>
          <w:b/>
        </w:rPr>
        <w:t>Treatment Moderators</w:t>
      </w:r>
      <w:r w:rsidR="00507B08" w:rsidRPr="00292779">
        <w:rPr>
          <w:b/>
        </w:rPr>
        <w:t xml:space="preserve"> </w:t>
      </w:r>
      <w:r w:rsidR="006662C0">
        <w:rPr>
          <w:b/>
        </w:rPr>
        <w:t>(Aim 3)</w:t>
      </w:r>
    </w:p>
    <w:p w14:paraId="3F3DAEC3" w14:textId="10FD2C02" w:rsidR="00177A47" w:rsidRDefault="00CB1C24" w:rsidP="0036738B">
      <w:pPr>
        <w:spacing w:line="480" w:lineRule="auto"/>
        <w:ind w:firstLine="720"/>
      </w:pPr>
      <w:r w:rsidRPr="00CB1C24">
        <w:t xml:space="preserve">Three moderators were tested: sex, age, and the </w:t>
      </w:r>
      <w:r w:rsidR="0048769E">
        <w:t>number of risk domains present</w:t>
      </w:r>
      <w:r w:rsidRPr="00CB1C24">
        <w:t xml:space="preserve"> at </w:t>
      </w:r>
      <w:r w:rsidRPr="00FA0B8B">
        <w:t>baseline</w:t>
      </w:r>
      <w:r w:rsidR="00076151" w:rsidRPr="00FA0B8B">
        <w:t xml:space="preserve"> (</w:t>
      </w:r>
      <w:r w:rsidR="00C82D61" w:rsidRPr="00FA0B8B">
        <w:t xml:space="preserve">participants met between one to five risk domains as part of the eligibility </w:t>
      </w:r>
      <w:r w:rsidR="00EE09C0" w:rsidRPr="00FA0B8B">
        <w:t xml:space="preserve">and inclusion </w:t>
      </w:r>
      <w:r w:rsidR="00C82D61" w:rsidRPr="00FA0B8B">
        <w:t>criteria</w:t>
      </w:r>
      <w:r w:rsidR="003D0C32" w:rsidRPr="00FA0B8B">
        <w:t xml:space="preserve"> at baseline</w:t>
      </w:r>
      <w:r w:rsidR="0004333B" w:rsidRPr="00FA0B8B">
        <w:t>, shown in</w:t>
      </w:r>
      <w:r w:rsidR="005928D5" w:rsidRPr="00FA0B8B">
        <w:t xml:space="preserve"> Table 1</w:t>
      </w:r>
      <w:r w:rsidR="00C82D61" w:rsidRPr="00FA0B8B">
        <w:t>)</w:t>
      </w:r>
      <w:r w:rsidRPr="00FA0B8B">
        <w:t>.</w:t>
      </w:r>
      <w:r w:rsidRPr="00FA0B8B">
        <w:rPr>
          <w:b/>
        </w:rPr>
        <w:t xml:space="preserve"> </w:t>
      </w:r>
      <w:r w:rsidR="00AA176C" w:rsidRPr="00FA0B8B">
        <w:t>T</w:t>
      </w:r>
      <w:r w:rsidR="003E64B5" w:rsidRPr="00FA0B8B">
        <w:t>ests of</w:t>
      </w:r>
      <w:r w:rsidR="003E64B5" w:rsidRPr="00FA0B8B">
        <w:rPr>
          <w:b/>
        </w:rPr>
        <w:t xml:space="preserve"> </w:t>
      </w:r>
      <w:r w:rsidR="003E64B5" w:rsidRPr="00FA0B8B">
        <w:t>the treatment by time by moderator interaction for all outcome variables are presented in Table X.</w:t>
      </w:r>
      <w:r w:rsidR="003E64B5">
        <w:t xml:space="preserve"> </w:t>
      </w:r>
    </w:p>
    <w:p w14:paraId="3B2D0AD0" w14:textId="77777777" w:rsidR="00177A47" w:rsidRDefault="002D7F22" w:rsidP="0036738B">
      <w:pPr>
        <w:spacing w:line="480" w:lineRule="auto"/>
        <w:ind w:firstLine="720"/>
      </w:pPr>
      <w:r w:rsidRPr="00292779">
        <w:lastRenderedPageBreak/>
        <w:t>Sex did not moderate the treatment effects from baseline to post or 6-month follow-up</w:t>
      </w:r>
      <w:r w:rsidR="008A7D0A" w:rsidRPr="00292779">
        <w:t xml:space="preserve"> for any of the sleep and circadian outcomes, youth self-reported </w:t>
      </w:r>
      <w:r w:rsidR="00CB1C24">
        <w:t xml:space="preserve">composite </w:t>
      </w:r>
      <w:r w:rsidR="008A7D0A" w:rsidRPr="00292779">
        <w:t xml:space="preserve">risk </w:t>
      </w:r>
      <w:r w:rsidR="00CB1C24">
        <w:t>scores</w:t>
      </w:r>
      <w:r w:rsidR="008A7D0A" w:rsidRPr="00292779">
        <w:t xml:space="preserve">, or </w:t>
      </w:r>
      <w:r w:rsidR="00E21E50" w:rsidRPr="00292779">
        <w:t xml:space="preserve">parent-reported </w:t>
      </w:r>
      <w:r w:rsidR="00CB1C24">
        <w:t>composite risk scores</w:t>
      </w:r>
      <w:r w:rsidR="00A743D7">
        <w:t xml:space="preserve">. </w:t>
      </w:r>
    </w:p>
    <w:p w14:paraId="75FD2843" w14:textId="67008EBE" w:rsidR="00990D98" w:rsidRDefault="00A743D7" w:rsidP="0036738B">
      <w:pPr>
        <w:spacing w:line="480" w:lineRule="auto"/>
        <w:ind w:firstLine="720"/>
      </w:pPr>
      <w:r>
        <w:t xml:space="preserve">For age, there was a significant 3-way interaction between treatment conditions, </w:t>
      </w:r>
      <w:r w:rsidR="009859F8">
        <w:t>time period, and age for weeknight bedtime</w:t>
      </w:r>
      <w:r w:rsidR="00E54269">
        <w:t>,</w:t>
      </w:r>
      <w:r w:rsidR="008C53B0">
        <w:t xml:space="preserve"> </w:t>
      </w:r>
      <w:r w:rsidR="00955744" w:rsidRPr="006754D9">
        <w:rPr>
          <w:i/>
          <w:iCs/>
          <w:color w:val="000000"/>
          <w:sz w:val="22"/>
          <w:szCs w:val="22"/>
        </w:rPr>
        <w:sym w:font="Symbol" w:char="F063"/>
      </w:r>
      <w:r w:rsidR="00955744" w:rsidRPr="006754D9">
        <w:rPr>
          <w:i/>
          <w:iCs/>
          <w:color w:val="000000"/>
          <w:sz w:val="22"/>
          <w:szCs w:val="22"/>
          <w:vertAlign w:val="superscript"/>
        </w:rPr>
        <w:t>2</w:t>
      </w:r>
      <w:r w:rsidR="000F5C91" w:rsidRPr="008C53B0">
        <w:t>(</w:t>
      </w:r>
      <w:r w:rsidR="008C53B0" w:rsidRPr="008C53B0">
        <w:t>2</w:t>
      </w:r>
      <w:r w:rsidR="009F1DBD">
        <w:t xml:space="preserve">, </w:t>
      </w:r>
      <w:r w:rsidR="009F1DBD" w:rsidRPr="009F1DBD">
        <w:rPr>
          <w:i/>
        </w:rPr>
        <w:t>N</w:t>
      </w:r>
      <w:r w:rsidR="009F1DBD">
        <w:t xml:space="preserve"> = 172</w:t>
      </w:r>
      <w:r w:rsidR="000F5C91" w:rsidRPr="008C53B0">
        <w:t>)</w:t>
      </w:r>
      <w:r w:rsidR="000F5C91">
        <w:t xml:space="preserve"> = 15.19, </w:t>
      </w:r>
      <w:r w:rsidR="000F5C91" w:rsidRPr="000F5C91">
        <w:rPr>
          <w:i/>
        </w:rPr>
        <w:t>p</w:t>
      </w:r>
      <w:r w:rsidR="000F5C91">
        <w:t xml:space="preserve"> = 0.0005</w:t>
      </w:r>
      <w:r w:rsidR="009859F8">
        <w:t xml:space="preserve">. </w:t>
      </w:r>
      <w:r w:rsidR="00935EC1">
        <w:t xml:space="preserve">Specifically, </w:t>
      </w:r>
      <w:r w:rsidR="00721EBF">
        <w:t xml:space="preserve">the slope of age for TranS-C </w:t>
      </w:r>
      <w:r w:rsidR="00A015E8">
        <w:t>relative to PE</w:t>
      </w:r>
      <w:r w:rsidR="00A015E8" w:rsidRPr="00165764">
        <w:t xml:space="preserve"> </w:t>
      </w:r>
      <w:r w:rsidR="00721EBF">
        <w:t xml:space="preserve">was significantly steeper </w:t>
      </w:r>
      <w:r w:rsidR="00E54142">
        <w:t>at 6-month follow-up versus baseline</w:t>
      </w:r>
      <w:r w:rsidR="00935EC1" w:rsidRPr="00165764">
        <w:t xml:space="preserve"> for weekday bedtime</w:t>
      </w:r>
      <w:r w:rsidR="008B6CBA">
        <w:t xml:space="preserve"> (</w:t>
      </w:r>
      <w:r w:rsidR="00935EC1" w:rsidRPr="00165764">
        <w:rPr>
          <w:i/>
        </w:rPr>
        <w:t>b</w:t>
      </w:r>
      <w:r w:rsidR="00935EC1" w:rsidRPr="00165764">
        <w:t xml:space="preserve"> = 0.21, </w:t>
      </w:r>
      <w:r w:rsidR="00935EC1" w:rsidRPr="00165764">
        <w:rPr>
          <w:i/>
        </w:rPr>
        <w:t>p</w:t>
      </w:r>
      <w:r w:rsidR="00935EC1" w:rsidRPr="00165764">
        <w:t xml:space="preserve"> = 0.016)</w:t>
      </w:r>
      <w:r w:rsidR="007523BA">
        <w:t xml:space="preserve">, </w:t>
      </w:r>
      <w:r w:rsidR="00145F46" w:rsidRPr="00560D86">
        <w:t>suggesting</w:t>
      </w:r>
      <w:r w:rsidR="00145F46">
        <w:t xml:space="preserve"> that treatment effect was better maintained for younger rather than older adolescents</w:t>
      </w:r>
      <w:r w:rsidR="00FB3C05">
        <w:t xml:space="preserve"> from posttreatment to 6-month follow-up</w:t>
      </w:r>
      <w:r w:rsidR="00145F46">
        <w:t xml:space="preserve"> (</w:t>
      </w:r>
      <w:r w:rsidR="00D87A5F">
        <w:t xml:space="preserve">TranS-C vs. PE contrast: </w:t>
      </w:r>
      <w:r w:rsidR="00D87A5F" w:rsidRPr="00494B4F">
        <w:rPr>
          <w:i/>
        </w:rPr>
        <w:t>b</w:t>
      </w:r>
      <w:r w:rsidR="00D87A5F">
        <w:t xml:space="preserve"> = 0.34, </w:t>
      </w:r>
      <w:r w:rsidR="00D87A5F" w:rsidRPr="00167BE6">
        <w:rPr>
          <w:i/>
        </w:rPr>
        <w:t>SE</w:t>
      </w:r>
      <w:r w:rsidR="00D87A5F">
        <w:t xml:space="preserve"> = 0.09, </w:t>
      </w:r>
      <w:r w:rsidR="00D87A5F" w:rsidRPr="00D87A5F">
        <w:rPr>
          <w:i/>
        </w:rPr>
        <w:t>p</w:t>
      </w:r>
      <w:r w:rsidR="00D87A5F">
        <w:t xml:space="preserve"> &lt; 0.001</w:t>
      </w:r>
      <w:r w:rsidR="00145F46">
        <w:t xml:space="preserve">). </w:t>
      </w:r>
    </w:p>
    <w:p w14:paraId="50B94E5F" w14:textId="500076F3" w:rsidR="00761E99" w:rsidRDefault="00287032" w:rsidP="00E95946">
      <w:pPr>
        <w:spacing w:line="480" w:lineRule="auto"/>
        <w:ind w:firstLine="720"/>
      </w:pPr>
      <w:r>
        <w:t xml:space="preserve">For the number </w:t>
      </w:r>
      <w:r w:rsidR="00F47E7B">
        <w:t xml:space="preserve">of risk domains present at baseline, </w:t>
      </w:r>
      <w:r w:rsidR="00CA0B6B" w:rsidRPr="00292779">
        <w:t xml:space="preserve">there was a significant </w:t>
      </w:r>
      <w:r w:rsidR="00DD7AB8" w:rsidRPr="00292779">
        <w:t xml:space="preserve">treatment by time by risk domains interaction </w:t>
      </w:r>
      <w:r w:rsidR="007C264D">
        <w:t xml:space="preserve">for youth self-report composite risk in behavioral </w:t>
      </w:r>
      <w:r w:rsidR="00B11B08">
        <w:t xml:space="preserve">health </w:t>
      </w:r>
      <w:r w:rsidR="007C264D">
        <w:t xml:space="preserve">domain, </w:t>
      </w:r>
      <w:r w:rsidR="007C264D" w:rsidRPr="006754D9">
        <w:rPr>
          <w:i/>
          <w:iCs/>
          <w:color w:val="000000"/>
          <w:sz w:val="22"/>
          <w:szCs w:val="22"/>
        </w:rPr>
        <w:sym w:font="Symbol" w:char="F063"/>
      </w:r>
      <w:r w:rsidR="007C264D" w:rsidRPr="006754D9">
        <w:rPr>
          <w:i/>
          <w:iCs/>
          <w:color w:val="000000"/>
          <w:sz w:val="22"/>
          <w:szCs w:val="22"/>
          <w:vertAlign w:val="superscript"/>
        </w:rPr>
        <w:t>2</w:t>
      </w:r>
      <w:r w:rsidR="007C264D" w:rsidRPr="008C53B0">
        <w:t>(2)</w:t>
      </w:r>
      <w:r w:rsidR="007C264D">
        <w:t xml:space="preserve"> = 15.19, </w:t>
      </w:r>
      <w:r w:rsidR="007C264D" w:rsidRPr="000F5C91">
        <w:rPr>
          <w:i/>
        </w:rPr>
        <w:t>p</w:t>
      </w:r>
      <w:r w:rsidR="007C264D">
        <w:t xml:space="preserve"> = 0.0022. </w:t>
      </w:r>
      <w:r w:rsidR="00FC05E7" w:rsidRPr="00D428EA">
        <w:t xml:space="preserve">Specifically, </w:t>
      </w:r>
      <w:r w:rsidR="005B13E9" w:rsidRPr="00D428EA">
        <w:t xml:space="preserve">the difference </w:t>
      </w:r>
      <w:r w:rsidR="00800B33" w:rsidRPr="00D428EA">
        <w:t xml:space="preserve">in the effects of risk domains at baseline on behavioral risk was significant comparing TranS-C versus PE </w:t>
      </w:r>
      <w:r w:rsidR="00DD7AB8" w:rsidRPr="00D428EA">
        <w:t>during treatment phase</w:t>
      </w:r>
      <w:r w:rsidR="00BB4AC2" w:rsidRPr="00D428EA">
        <w:t xml:space="preserve"> </w:t>
      </w:r>
      <w:r w:rsidR="003F5859" w:rsidRPr="00D428EA">
        <w:t>(</w:t>
      </w:r>
      <w:r w:rsidR="003F5859" w:rsidRPr="00D428EA">
        <w:rPr>
          <w:i/>
        </w:rPr>
        <w:t>b</w:t>
      </w:r>
      <w:r w:rsidR="003F5859" w:rsidRPr="00D428EA">
        <w:t xml:space="preserve"> = -0.21, </w:t>
      </w:r>
      <w:r w:rsidR="003F5859" w:rsidRPr="00D428EA">
        <w:rPr>
          <w:i/>
        </w:rPr>
        <w:t>p</w:t>
      </w:r>
      <w:r w:rsidR="003F5859" w:rsidRPr="00D428EA">
        <w:t xml:space="preserve"> = 0.01)</w:t>
      </w:r>
      <w:r w:rsidR="00DD7AB8" w:rsidRPr="00D428EA">
        <w:t xml:space="preserve"> and through 6-month follow-up </w:t>
      </w:r>
      <w:r w:rsidR="002C47F0" w:rsidRPr="00D428EA">
        <w:t>(</w:t>
      </w:r>
      <w:r w:rsidR="002C47F0" w:rsidRPr="00D428EA">
        <w:rPr>
          <w:i/>
        </w:rPr>
        <w:t>b</w:t>
      </w:r>
      <w:r w:rsidR="002C47F0" w:rsidRPr="00D428EA">
        <w:t xml:space="preserve"> = -0.28, </w:t>
      </w:r>
      <w:r w:rsidR="002C47F0" w:rsidRPr="00D428EA">
        <w:rPr>
          <w:i/>
        </w:rPr>
        <w:t>p</w:t>
      </w:r>
      <w:r w:rsidR="002C47F0" w:rsidRPr="00D428EA">
        <w:t xml:space="preserve"> = 0.001)</w:t>
      </w:r>
      <w:r w:rsidR="00755081" w:rsidRPr="00D428EA">
        <w:t>.</w:t>
      </w:r>
      <w:r w:rsidR="00096F6B" w:rsidRPr="00292779">
        <w:t xml:space="preserve"> </w:t>
      </w:r>
      <w:r w:rsidR="00124D23">
        <w:t xml:space="preserve">As shown in </w:t>
      </w:r>
      <w:r w:rsidR="00124D23" w:rsidRPr="00124D23">
        <w:rPr>
          <w:i/>
        </w:rPr>
        <w:t>Figure X</w:t>
      </w:r>
      <w:r w:rsidR="00124D23">
        <w:t xml:space="preserve">, </w:t>
      </w:r>
      <w:r w:rsidR="00FB0046">
        <w:t xml:space="preserve">adolescents </w:t>
      </w:r>
      <w:r w:rsidR="00E550E5">
        <w:t xml:space="preserve">who </w:t>
      </w:r>
      <w:r w:rsidR="00FB0046">
        <w:t xml:space="preserve">met criteria in 3 or more risk domains </w:t>
      </w:r>
      <w:r w:rsidR="00782112">
        <w:t xml:space="preserve">had significant greater reduction in behavioral risk </w:t>
      </w:r>
      <w:r w:rsidR="00D90BDC">
        <w:t>from pretreatment to</w:t>
      </w:r>
      <w:r w:rsidR="002D6542">
        <w:t xml:space="preserve"> posttreatment</w:t>
      </w:r>
      <w:r w:rsidR="00FE03F0">
        <w:t xml:space="preserve"> (</w:t>
      </w:r>
      <w:r w:rsidR="004F1DEC">
        <w:t xml:space="preserve">TranS-C vs. PE </w:t>
      </w:r>
      <w:r w:rsidR="00FE03F0">
        <w:t>contrast</w:t>
      </w:r>
      <w:r w:rsidR="004F1DEC">
        <w:t xml:space="preserve">: </w:t>
      </w:r>
      <w:r w:rsidR="004F1DEC" w:rsidRPr="004F1DEC">
        <w:rPr>
          <w:i/>
        </w:rPr>
        <w:t>b</w:t>
      </w:r>
      <w:r w:rsidR="004F1DEC">
        <w:t xml:space="preserve"> = -0.41, </w:t>
      </w:r>
      <w:r w:rsidR="004F1DEC" w:rsidRPr="0099482F">
        <w:rPr>
          <w:i/>
        </w:rPr>
        <w:t>SE</w:t>
      </w:r>
      <w:r w:rsidR="004F1DEC">
        <w:t xml:space="preserve"> = 0.20, </w:t>
      </w:r>
      <w:r w:rsidR="004F1DEC" w:rsidRPr="000E0C0A">
        <w:rPr>
          <w:i/>
        </w:rPr>
        <w:t>p</w:t>
      </w:r>
      <w:r w:rsidR="004F1DEC">
        <w:t xml:space="preserve"> = 0.04</w:t>
      </w:r>
      <w:r w:rsidR="00FE03F0">
        <w:t>)</w:t>
      </w:r>
      <w:r w:rsidR="002D6542">
        <w:t xml:space="preserve"> and</w:t>
      </w:r>
      <w:r w:rsidR="00E01576">
        <w:t xml:space="preserve"> from pretreatment to</w:t>
      </w:r>
      <w:r w:rsidR="00D90BDC">
        <w:t xml:space="preserve"> 6-month follow-up</w:t>
      </w:r>
      <w:r w:rsidR="006D7BF1">
        <w:t xml:space="preserve"> (TranS-C vs. PE contrast: </w:t>
      </w:r>
      <w:r w:rsidR="006D7BF1" w:rsidRPr="004F1DEC">
        <w:rPr>
          <w:i/>
        </w:rPr>
        <w:t>b</w:t>
      </w:r>
      <w:r w:rsidR="00DE2DCA">
        <w:t xml:space="preserve"> = -0.57</w:t>
      </w:r>
      <w:r w:rsidR="006D7BF1">
        <w:t xml:space="preserve">, </w:t>
      </w:r>
      <w:r w:rsidR="006D7BF1" w:rsidRPr="0099482F">
        <w:rPr>
          <w:i/>
        </w:rPr>
        <w:t>SE</w:t>
      </w:r>
      <w:r w:rsidR="006D7BF1">
        <w:t xml:space="preserve"> = 0.20, </w:t>
      </w:r>
      <w:r w:rsidR="006D7BF1" w:rsidRPr="000E0C0A">
        <w:rPr>
          <w:i/>
        </w:rPr>
        <w:t>p</w:t>
      </w:r>
      <w:r w:rsidR="00D602DE">
        <w:t xml:space="preserve"> &lt; 0.001</w:t>
      </w:r>
      <w:r w:rsidR="006D7BF1">
        <w:t>)</w:t>
      </w:r>
      <w:r w:rsidR="002D6542">
        <w:t>.</w:t>
      </w:r>
      <w:r w:rsidR="00FB0046">
        <w:t xml:space="preserve"> </w:t>
      </w:r>
      <w:r w:rsidR="00E550E5">
        <w:t xml:space="preserve"> </w:t>
      </w:r>
      <w:r w:rsidR="00A713E5">
        <w:t>We also explored the specific measure</w:t>
      </w:r>
      <w:r w:rsidR="007B0E28">
        <w:t xml:space="preserve">s within the behavioral domain. </w:t>
      </w:r>
      <w:r w:rsidR="006B6549">
        <w:t xml:space="preserve">The difference in the effects </w:t>
      </w:r>
      <w:r w:rsidR="00605D7D">
        <w:t xml:space="preserve">of risk domains at baseline on </w:t>
      </w:r>
      <w:r w:rsidR="00D171F5">
        <w:t xml:space="preserve">self-reported substance use comparing TranS-C versus PE was significant </w:t>
      </w:r>
      <w:r w:rsidR="00AF66C7" w:rsidRPr="00173BB6">
        <w:t>during treatment phase (</w:t>
      </w:r>
      <w:r w:rsidR="00AF66C7" w:rsidRPr="00173BB6">
        <w:rPr>
          <w:i/>
        </w:rPr>
        <w:t>b</w:t>
      </w:r>
      <w:r w:rsidR="00AF66C7" w:rsidRPr="00173BB6">
        <w:t xml:space="preserve"> = -1.49, </w:t>
      </w:r>
      <w:r w:rsidR="00AF66C7" w:rsidRPr="00173BB6">
        <w:rPr>
          <w:i/>
        </w:rPr>
        <w:t>p</w:t>
      </w:r>
      <w:r w:rsidR="00AF66C7" w:rsidRPr="00173BB6">
        <w:t xml:space="preserve"> = 0.045) and</w:t>
      </w:r>
      <w:r w:rsidR="00AF66C7" w:rsidRPr="00292779">
        <w:t xml:space="preserve"> through 6-month follow-up (</w:t>
      </w:r>
      <w:r w:rsidR="00AF66C7" w:rsidRPr="00292779">
        <w:rPr>
          <w:i/>
        </w:rPr>
        <w:t>b</w:t>
      </w:r>
      <w:r w:rsidR="00AF66C7" w:rsidRPr="00292779">
        <w:t xml:space="preserve"> = -2.80, </w:t>
      </w:r>
      <w:r w:rsidR="00AF66C7" w:rsidRPr="00292779">
        <w:rPr>
          <w:i/>
        </w:rPr>
        <w:t>p</w:t>
      </w:r>
      <w:r w:rsidR="00AF66C7" w:rsidRPr="00292779">
        <w:t xml:space="preserve"> &lt; 0.001)</w:t>
      </w:r>
      <w:r w:rsidR="00AF66C7">
        <w:t xml:space="preserve">. </w:t>
      </w:r>
    </w:p>
    <w:p w14:paraId="6C04E4A1" w14:textId="77777777" w:rsidR="00737E60" w:rsidRPr="00E921CB" w:rsidRDefault="00737E60" w:rsidP="002D2406">
      <w:pPr>
        <w:spacing w:line="480" w:lineRule="auto"/>
        <w:rPr>
          <w:i/>
          <w:color w:val="FF0000"/>
        </w:rPr>
      </w:pPr>
      <w:r w:rsidRPr="00E921CB">
        <w:rPr>
          <w:i/>
          <w:color w:val="FF0000"/>
        </w:rPr>
        <w:t xml:space="preserve">Note to self: </w:t>
      </w:r>
    </w:p>
    <w:p w14:paraId="5317FDC1" w14:textId="78753A60" w:rsidR="003A6324" w:rsidRPr="005060B3" w:rsidRDefault="003A6324" w:rsidP="002D2406">
      <w:pPr>
        <w:spacing w:line="480" w:lineRule="auto"/>
        <w:rPr>
          <w:color w:val="FF0000"/>
        </w:rPr>
      </w:pPr>
      <w:r w:rsidRPr="005060B3">
        <w:rPr>
          <w:color w:val="FF0000"/>
        </w:rPr>
        <w:lastRenderedPageBreak/>
        <w:t xml:space="preserve">*need a table to report corrected </w:t>
      </w:r>
      <w:r w:rsidRPr="005060B3">
        <w:rPr>
          <w:i/>
          <w:color w:val="FF0000"/>
        </w:rPr>
        <w:t>p</w:t>
      </w:r>
      <w:r w:rsidRPr="005060B3">
        <w:rPr>
          <w:color w:val="FF0000"/>
        </w:rPr>
        <w:t xml:space="preserve">-values </w:t>
      </w:r>
      <w:r w:rsidR="00025FB9" w:rsidRPr="005060B3">
        <w:rPr>
          <w:color w:val="FF0000"/>
        </w:rPr>
        <w:t xml:space="preserve">for </w:t>
      </w:r>
      <w:proofErr w:type="spellStart"/>
      <w:r w:rsidR="005060B3" w:rsidRPr="005060B3">
        <w:rPr>
          <w:color w:val="FF0000"/>
        </w:rPr>
        <w:t>tx</w:t>
      </w:r>
      <w:proofErr w:type="spellEnd"/>
      <w:r w:rsidR="00025FB9" w:rsidRPr="005060B3">
        <w:rPr>
          <w:color w:val="FF0000"/>
        </w:rPr>
        <w:t xml:space="preserve"> moderation </w:t>
      </w:r>
      <w:r w:rsidRPr="005060B3">
        <w:rPr>
          <w:color w:val="FF0000"/>
        </w:rPr>
        <w:t>(Blake study has a table that can serve as a template)</w:t>
      </w:r>
    </w:p>
    <w:p w14:paraId="5A6EBA44" w14:textId="47A3BAC3" w:rsidR="007D791A" w:rsidRDefault="007D791A" w:rsidP="002D2406">
      <w:pPr>
        <w:spacing w:line="480" w:lineRule="auto"/>
        <w:rPr>
          <w:color w:val="FF0000"/>
        </w:rPr>
      </w:pPr>
      <w:r w:rsidRPr="00292779">
        <w:rPr>
          <w:color w:val="FF0000"/>
        </w:rPr>
        <w:t>*</w:t>
      </w:r>
      <w:r w:rsidR="005060B3">
        <w:rPr>
          <w:color w:val="FF0000"/>
        </w:rPr>
        <w:t xml:space="preserve">simple slope analysis for the </w:t>
      </w:r>
      <w:r w:rsidR="000613ED">
        <w:rPr>
          <w:color w:val="FF0000"/>
        </w:rPr>
        <w:t>significant</w:t>
      </w:r>
      <w:r w:rsidR="005060B3">
        <w:rPr>
          <w:color w:val="FF0000"/>
        </w:rPr>
        <w:t xml:space="preserve"> age moderation? </w:t>
      </w:r>
      <w:r w:rsidR="000613ED">
        <w:rPr>
          <w:color w:val="FF0000"/>
        </w:rPr>
        <w:t xml:space="preserve">Make a graph for this. </w:t>
      </w:r>
    </w:p>
    <w:p w14:paraId="6F40A400" w14:textId="58C93850" w:rsidR="000613ED" w:rsidRPr="00292779" w:rsidRDefault="000613ED" w:rsidP="002D2406">
      <w:pPr>
        <w:spacing w:line="480" w:lineRule="auto"/>
        <w:rPr>
          <w:color w:val="FF0000"/>
        </w:rPr>
      </w:pPr>
      <w:r>
        <w:rPr>
          <w:color w:val="FF0000"/>
        </w:rPr>
        <w:t>*</w:t>
      </w:r>
      <w:r w:rsidR="00833ACC">
        <w:rPr>
          <w:color w:val="FF0000"/>
        </w:rPr>
        <w:t>multiplicity correction for Aim 2 (exploratory analyses on specific measures)</w:t>
      </w:r>
    </w:p>
    <w:p w14:paraId="1AB3B576" w14:textId="77777777" w:rsidR="00371E12" w:rsidRDefault="00F06D12" w:rsidP="00F06D12">
      <w:pPr>
        <w:jc w:val="center"/>
        <w:rPr>
          <w:b/>
        </w:rPr>
        <w:sectPr w:rsidR="00371E12" w:rsidSect="009B6718">
          <w:pgSz w:w="12240" w:h="15840"/>
          <w:pgMar w:top="1440" w:right="1440" w:bottom="1440" w:left="1440" w:header="720" w:footer="720" w:gutter="0"/>
          <w:cols w:space="720"/>
          <w:docGrid w:linePitch="360"/>
        </w:sectPr>
      </w:pPr>
      <w:r w:rsidRPr="00292779">
        <w:rPr>
          <w:b/>
        </w:rPr>
        <w:t>Discussion</w:t>
      </w:r>
    </w:p>
    <w:p w14:paraId="657A83F1" w14:textId="29AB5323" w:rsidR="007D791A" w:rsidRDefault="00371E12" w:rsidP="00A96411">
      <w:pPr>
        <w:spacing w:line="480" w:lineRule="auto"/>
        <w:jc w:val="center"/>
        <w:rPr>
          <w:b/>
        </w:rPr>
      </w:pPr>
      <w:r>
        <w:rPr>
          <w:b/>
        </w:rPr>
        <w:lastRenderedPageBreak/>
        <w:t xml:space="preserve">References </w:t>
      </w:r>
    </w:p>
    <w:p w14:paraId="59AA211E" w14:textId="1BAEA32F" w:rsidR="00740A83" w:rsidRPr="00740A83" w:rsidRDefault="00371E12" w:rsidP="00740A83">
      <w:pPr>
        <w:widowControl w:val="0"/>
        <w:autoSpaceDE w:val="0"/>
        <w:autoSpaceDN w:val="0"/>
        <w:adjustRightInd w:val="0"/>
        <w:spacing w:line="480" w:lineRule="auto"/>
        <w:ind w:left="480" w:hanging="480"/>
        <w:rPr>
          <w:noProof/>
        </w:rPr>
      </w:pPr>
      <w:r>
        <w:rPr>
          <w:b/>
        </w:rPr>
        <w:fldChar w:fldCharType="begin" w:fldLock="1"/>
      </w:r>
      <w:r>
        <w:rPr>
          <w:b/>
        </w:rPr>
        <w:instrText xml:space="preserve">ADDIN Mendeley Bibliography CSL_BIBLIOGRAPHY </w:instrText>
      </w:r>
      <w:r>
        <w:rPr>
          <w:b/>
        </w:rPr>
        <w:fldChar w:fldCharType="separate"/>
      </w:r>
      <w:r w:rsidR="00740A83" w:rsidRPr="00740A83">
        <w:rPr>
          <w:noProof/>
        </w:rPr>
        <w:t xml:space="preserve">Aaron, D. J., &amp; Kriska, A. M. (1997). Modifiable activity questionnaire for adolescents. </w:t>
      </w:r>
      <w:r w:rsidR="00740A83" w:rsidRPr="00740A83">
        <w:rPr>
          <w:i/>
          <w:iCs/>
          <w:noProof/>
        </w:rPr>
        <w:t>Medicine and Science in Sports and Exercise</w:t>
      </w:r>
      <w:r w:rsidR="00740A83" w:rsidRPr="00740A83">
        <w:rPr>
          <w:noProof/>
        </w:rPr>
        <w:t xml:space="preserve">, </w:t>
      </w:r>
      <w:r w:rsidR="00740A83" w:rsidRPr="00740A83">
        <w:rPr>
          <w:i/>
          <w:iCs/>
          <w:noProof/>
        </w:rPr>
        <w:t>29</w:t>
      </w:r>
      <w:r w:rsidR="00740A83" w:rsidRPr="00740A83">
        <w:rPr>
          <w:noProof/>
        </w:rPr>
        <w:t>, s79–s82.</w:t>
      </w:r>
    </w:p>
    <w:p w14:paraId="6EC561A6"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Achenbach, T. M., &amp; Rescorla, L. A. (2001). </w:t>
      </w:r>
      <w:r w:rsidRPr="00740A83">
        <w:rPr>
          <w:i/>
          <w:iCs/>
          <w:noProof/>
        </w:rPr>
        <w:t>Manual for the ASEBA School-Age Forms &amp; Profiles: Child Behavior Checklist for Ages 6 - 18, Teacher’s Report Form, &amp; Youth Self-Report</w:t>
      </w:r>
      <w:r w:rsidRPr="00740A83">
        <w:rPr>
          <w:noProof/>
        </w:rPr>
        <w:t>. Burlington, VT: University of Vermont, Research Center for Children, Youth &amp; Families.</w:t>
      </w:r>
    </w:p>
    <w:p w14:paraId="254010C5"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Adan, A., Archer, S. N., Hidalgo, M. P., Di Milia, L., Natale, V., &amp; Randler, C. (2012). Circadian Typology: A Comprehensive Review. </w:t>
      </w:r>
      <w:r w:rsidRPr="00740A83">
        <w:rPr>
          <w:i/>
          <w:iCs/>
          <w:noProof/>
        </w:rPr>
        <w:t>Chronobiology International</w:t>
      </w:r>
      <w:r w:rsidRPr="00740A83">
        <w:rPr>
          <w:noProof/>
        </w:rPr>
        <w:t xml:space="preserve">, </w:t>
      </w:r>
      <w:r w:rsidRPr="00740A83">
        <w:rPr>
          <w:i/>
          <w:iCs/>
          <w:noProof/>
        </w:rPr>
        <w:t>29</w:t>
      </w:r>
      <w:r w:rsidRPr="00740A83">
        <w:rPr>
          <w:noProof/>
        </w:rPr>
        <w:t>(9), 1153–1175. http://doi.org/10.3109/07420528.2012.719971</w:t>
      </w:r>
    </w:p>
    <w:p w14:paraId="25D02BF6"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Becker, S. P., Ramsey, R. R., &amp; Byars, K. C. (2015). Convergent validity of the Child Behavior Checklist sleep items with validated sleep measures and sleep disorder diagnoses in children and adolescents referred to a sleep disorders center. </w:t>
      </w:r>
      <w:r w:rsidRPr="00740A83">
        <w:rPr>
          <w:i/>
          <w:iCs/>
          <w:noProof/>
        </w:rPr>
        <w:t>Sleep Medicine</w:t>
      </w:r>
      <w:r w:rsidRPr="00740A83">
        <w:rPr>
          <w:noProof/>
        </w:rPr>
        <w:t xml:space="preserve">, </w:t>
      </w:r>
      <w:r w:rsidRPr="00740A83">
        <w:rPr>
          <w:i/>
          <w:iCs/>
          <w:noProof/>
        </w:rPr>
        <w:t>16</w:t>
      </w:r>
      <w:r w:rsidRPr="00740A83">
        <w:rPr>
          <w:noProof/>
        </w:rPr>
        <w:t>(1), 79–86. http://doi.org/10.1016/j.sleep.2014.09.008</w:t>
      </w:r>
    </w:p>
    <w:p w14:paraId="3E334067"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Buysse, D. J., Reynolds, C. F., Monk, T. H., Berman, S. R., Kupfer, D. J., III, C. F. R., … Kupfer, D. J. (1989). The Pittsburgh Sleep Quality Index: a new instrument for psychiatric practice and research. </w:t>
      </w:r>
      <w:r w:rsidRPr="00740A83">
        <w:rPr>
          <w:i/>
          <w:iCs/>
          <w:noProof/>
        </w:rPr>
        <w:t>Psychiatry Research</w:t>
      </w:r>
      <w:r w:rsidRPr="00740A83">
        <w:rPr>
          <w:noProof/>
        </w:rPr>
        <w:t xml:space="preserve">, </w:t>
      </w:r>
      <w:r w:rsidRPr="00740A83">
        <w:rPr>
          <w:i/>
          <w:iCs/>
          <w:noProof/>
        </w:rPr>
        <w:t>28</w:t>
      </w:r>
      <w:r w:rsidRPr="00740A83">
        <w:rPr>
          <w:noProof/>
        </w:rPr>
        <w:t>(2), 193–213. http://doi.org/10.1016/0165-1781(89)90047-4</w:t>
      </w:r>
    </w:p>
    <w:p w14:paraId="4F3A868F"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Crowley, S. J., Acebo, C., &amp; Carskadon, M. A. (2007). Sleep, circadian rhythms, and delayed phase in adolescence. </w:t>
      </w:r>
      <w:r w:rsidRPr="00740A83">
        <w:rPr>
          <w:i/>
          <w:iCs/>
          <w:noProof/>
        </w:rPr>
        <w:t>Sleep Medicine</w:t>
      </w:r>
      <w:r w:rsidRPr="00740A83">
        <w:rPr>
          <w:noProof/>
        </w:rPr>
        <w:t xml:space="preserve">, </w:t>
      </w:r>
      <w:r w:rsidRPr="00740A83">
        <w:rPr>
          <w:i/>
          <w:iCs/>
          <w:noProof/>
        </w:rPr>
        <w:t>8</w:t>
      </w:r>
      <w:r w:rsidRPr="00740A83">
        <w:rPr>
          <w:noProof/>
        </w:rPr>
        <w:t>(6), 602–612. http://doi.org/10.1016/j.sleep.2006.12.002</w:t>
      </w:r>
    </w:p>
    <w:p w14:paraId="1348FF4F"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Dagys, N., McGlinchey, E. L., Talbot, L. S., Kaplan, K. A., Dahl, R. E., &amp; Harvey, A. G. (2012). Double trouble? The effects of sleep deprivation and chronotype on adolescent affect. </w:t>
      </w:r>
      <w:r w:rsidRPr="00740A83">
        <w:rPr>
          <w:i/>
          <w:iCs/>
          <w:noProof/>
        </w:rPr>
        <w:lastRenderedPageBreak/>
        <w:t>Journal of Child Psychology and Psychiatry and Allied Disciplines</w:t>
      </w:r>
      <w:r w:rsidRPr="00740A83">
        <w:rPr>
          <w:noProof/>
        </w:rPr>
        <w:t xml:space="preserve">, </w:t>
      </w:r>
      <w:r w:rsidRPr="00740A83">
        <w:rPr>
          <w:i/>
          <w:iCs/>
          <w:noProof/>
        </w:rPr>
        <w:t>53</w:t>
      </w:r>
      <w:r w:rsidRPr="00740A83">
        <w:rPr>
          <w:noProof/>
        </w:rPr>
        <w:t>(6), 660–667. http://doi.org/10.1111/j.1469-7610.2011.02502.x</w:t>
      </w:r>
    </w:p>
    <w:p w14:paraId="727727A1"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Derryberry, D., &amp; Reed, M. A. (2002). Anxiety-related attentional biases and their regulation by attentional control. </w:t>
      </w:r>
      <w:r w:rsidRPr="00740A83">
        <w:rPr>
          <w:i/>
          <w:iCs/>
          <w:noProof/>
        </w:rPr>
        <w:t>Journal of Abnormal Psychology</w:t>
      </w:r>
      <w:r w:rsidRPr="00740A83">
        <w:rPr>
          <w:noProof/>
        </w:rPr>
        <w:t xml:space="preserve">, </w:t>
      </w:r>
      <w:r w:rsidRPr="00740A83">
        <w:rPr>
          <w:i/>
          <w:iCs/>
          <w:noProof/>
        </w:rPr>
        <w:t>111</w:t>
      </w:r>
      <w:r w:rsidRPr="00740A83">
        <w:rPr>
          <w:noProof/>
        </w:rPr>
        <w:t>(2), 225–236. http://doi.org/10.1037/0021-843X.111.2.225</w:t>
      </w:r>
    </w:p>
    <w:p w14:paraId="60383297"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Dong, L., Gumport, N. B., Martinez, A. J., &amp; Harvey, A. G. (2018). Modifying the impact of eveningness chronotype in adolescence: A pathway to better health? A mediation analysis. </w:t>
      </w:r>
      <w:r w:rsidRPr="00740A83">
        <w:rPr>
          <w:i/>
          <w:iCs/>
          <w:noProof/>
        </w:rPr>
        <w:t>Manuscript Submitted for Publication</w:t>
      </w:r>
      <w:r w:rsidRPr="00740A83">
        <w:rPr>
          <w:noProof/>
        </w:rPr>
        <w:t>.</w:t>
      </w:r>
    </w:p>
    <w:p w14:paraId="66F9A24B"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Frank, E., Kupfer, D. J., Thase, M. E., Mallinger, A. G., Swartz, H. A., Fagiolini, A. M., … Monk, T. (2005). Two-Year Outcomes for Interpersonal and Social Rhythm Therapy in Individuals With Bipolar I Disorder. </w:t>
      </w:r>
      <w:r w:rsidRPr="00740A83">
        <w:rPr>
          <w:i/>
          <w:iCs/>
          <w:noProof/>
        </w:rPr>
        <w:t>Archives of General Psychiatry</w:t>
      </w:r>
      <w:r w:rsidRPr="00740A83">
        <w:rPr>
          <w:noProof/>
        </w:rPr>
        <w:t xml:space="preserve">, </w:t>
      </w:r>
      <w:r w:rsidRPr="00740A83">
        <w:rPr>
          <w:i/>
          <w:iCs/>
          <w:noProof/>
        </w:rPr>
        <w:t>62</w:t>
      </w:r>
      <w:r w:rsidRPr="00740A83">
        <w:rPr>
          <w:noProof/>
        </w:rPr>
        <w:t>(9), 996. http://doi.org/10.1001/archpsyc.62.9.996</w:t>
      </w:r>
    </w:p>
    <w:p w14:paraId="11D4167A"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Gradisar, M., Gardner, G., &amp; Dohnt, H. (2011). Recent worldwide sleep patterns and problems during adolescence: A review and meta-analysis of age, region, and sleep. </w:t>
      </w:r>
      <w:r w:rsidRPr="00740A83">
        <w:rPr>
          <w:i/>
          <w:iCs/>
          <w:noProof/>
        </w:rPr>
        <w:t>Sleep Medicine</w:t>
      </w:r>
      <w:r w:rsidRPr="00740A83">
        <w:rPr>
          <w:noProof/>
        </w:rPr>
        <w:t xml:space="preserve">, </w:t>
      </w:r>
      <w:r w:rsidRPr="00740A83">
        <w:rPr>
          <w:i/>
          <w:iCs/>
          <w:noProof/>
        </w:rPr>
        <w:t>12</w:t>
      </w:r>
      <w:r w:rsidRPr="00740A83">
        <w:rPr>
          <w:noProof/>
        </w:rPr>
        <w:t>(2), 110–118. http://doi.org/10.1016/j.sleep.2010.11.008</w:t>
      </w:r>
    </w:p>
    <w:p w14:paraId="106F0A22"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Gradisar, M., Wolfson, A. R., Harvey, A. G., Hale, L., Rosenberg, R., &amp; Czeisler, C. A. (2013). The sleep and technology use of Americans: Findings from the National Sleep Foundation’s 2011 sleep in America poll. </w:t>
      </w:r>
      <w:r w:rsidRPr="00740A83">
        <w:rPr>
          <w:i/>
          <w:iCs/>
          <w:noProof/>
        </w:rPr>
        <w:t>Journal of Clinical Sleep Medicine</w:t>
      </w:r>
      <w:r w:rsidRPr="00740A83">
        <w:rPr>
          <w:noProof/>
        </w:rPr>
        <w:t xml:space="preserve">, </w:t>
      </w:r>
      <w:r w:rsidRPr="00740A83">
        <w:rPr>
          <w:i/>
          <w:iCs/>
          <w:noProof/>
        </w:rPr>
        <w:t>9</w:t>
      </w:r>
      <w:r w:rsidRPr="00740A83">
        <w:rPr>
          <w:noProof/>
        </w:rPr>
        <w:t>(12), 1291–1299. http://doi.org/10.5664/jcsm.3272</w:t>
      </w:r>
    </w:p>
    <w:p w14:paraId="0EE47C97"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Harvey, A. G. (2016). A Transdiagnostic Intervention for Youth Sleep and Circadian Problems. </w:t>
      </w:r>
      <w:r w:rsidRPr="00740A83">
        <w:rPr>
          <w:i/>
          <w:iCs/>
          <w:noProof/>
        </w:rPr>
        <w:t>Cognitive and Behavioral Practice</w:t>
      </w:r>
      <w:r w:rsidRPr="00740A83">
        <w:rPr>
          <w:noProof/>
        </w:rPr>
        <w:t xml:space="preserve">, </w:t>
      </w:r>
      <w:r w:rsidRPr="00740A83">
        <w:rPr>
          <w:i/>
          <w:iCs/>
          <w:noProof/>
        </w:rPr>
        <w:t>23</w:t>
      </w:r>
      <w:r w:rsidRPr="00740A83">
        <w:rPr>
          <w:noProof/>
        </w:rPr>
        <w:t>(3), 341–355. http://doi.org/10.1016/j.cbpra.2015.06.001</w:t>
      </w:r>
    </w:p>
    <w:p w14:paraId="6E8C7635"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Harvey, A. G., &amp; Buysse, D. J. (2017). </w:t>
      </w:r>
      <w:r w:rsidRPr="00740A83">
        <w:rPr>
          <w:i/>
          <w:iCs/>
          <w:noProof/>
        </w:rPr>
        <w:t>Treating Sleep Problems: A Transdiagnostic Approach</w:t>
      </w:r>
      <w:r w:rsidRPr="00740A83">
        <w:rPr>
          <w:noProof/>
        </w:rPr>
        <w:t xml:space="preserve">. </w:t>
      </w:r>
      <w:r w:rsidRPr="00740A83">
        <w:rPr>
          <w:noProof/>
        </w:rPr>
        <w:lastRenderedPageBreak/>
        <w:t>New York, NY: The Guilford Press.</w:t>
      </w:r>
    </w:p>
    <w:p w14:paraId="1D9FC8CA"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Harvey, A. G., Hein, K., Dolsen, M., Dong, L., Rabe-Hesketh, S., Gumport, N. B., … Blum, D. J. (2018). Modifying the impact of eveningness chronotype (‘night-owls’) in adolescence: A randomized controlled trial. </w:t>
      </w:r>
      <w:r w:rsidRPr="00740A83">
        <w:rPr>
          <w:i/>
          <w:iCs/>
          <w:noProof/>
        </w:rPr>
        <w:t>Journal of the American Academy of Child and Adolescent Psychiatry</w:t>
      </w:r>
      <w:r w:rsidRPr="00740A83">
        <w:rPr>
          <w:noProof/>
        </w:rPr>
        <w:t>.</w:t>
      </w:r>
    </w:p>
    <w:p w14:paraId="15E6B8D7"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Harvey, A. G., Soehner, A. M., Kaplan, K. A., Hein, K., Lee, J., Kanady, J., … Buysse, D. J. (2015). Treating insomnia improves mood state, sleep, and functioning in bipolar disorder: A pilot randomized controlled trial. </w:t>
      </w:r>
      <w:r w:rsidRPr="00740A83">
        <w:rPr>
          <w:i/>
          <w:iCs/>
          <w:noProof/>
        </w:rPr>
        <w:t>Journal of Consulting and Clinical Psychology</w:t>
      </w:r>
      <w:r w:rsidRPr="00740A83">
        <w:rPr>
          <w:noProof/>
        </w:rPr>
        <w:t xml:space="preserve">, </w:t>
      </w:r>
      <w:r w:rsidRPr="00740A83">
        <w:rPr>
          <w:i/>
          <w:iCs/>
          <w:noProof/>
        </w:rPr>
        <w:t>83</w:t>
      </w:r>
      <w:r w:rsidRPr="00740A83">
        <w:rPr>
          <w:noProof/>
        </w:rPr>
        <w:t>(3), 564–577. http://doi.org/10.1037/a0038655</w:t>
      </w:r>
    </w:p>
    <w:p w14:paraId="4F4DC035"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Hochberg, Y. (1988). A sharper Bonferroni procedure for multiple tests of significance. </w:t>
      </w:r>
      <w:r w:rsidRPr="00740A83">
        <w:rPr>
          <w:i/>
          <w:iCs/>
          <w:noProof/>
        </w:rPr>
        <w:t>Biometrika</w:t>
      </w:r>
      <w:r w:rsidRPr="00740A83">
        <w:rPr>
          <w:noProof/>
        </w:rPr>
        <w:t xml:space="preserve">, </w:t>
      </w:r>
      <w:r w:rsidRPr="00740A83">
        <w:rPr>
          <w:i/>
          <w:iCs/>
          <w:noProof/>
        </w:rPr>
        <w:t>75</w:t>
      </w:r>
      <w:r w:rsidRPr="00740A83">
        <w:rPr>
          <w:noProof/>
        </w:rPr>
        <w:t>, 800–802. http://doi.org/10.1093/biomet/75.4.800</w:t>
      </w:r>
    </w:p>
    <w:p w14:paraId="74D3A29E"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Hoyle, R. H., Stephenson, M. T., Palmgreen, P., Lorch, E. P., &amp; Donohew, R. L. (2002). Reliability and validity of a brief measure of sensation seeking. </w:t>
      </w:r>
      <w:r w:rsidRPr="00740A83">
        <w:rPr>
          <w:i/>
          <w:iCs/>
          <w:noProof/>
        </w:rPr>
        <w:t>Personality and Individual Differences</w:t>
      </w:r>
      <w:r w:rsidRPr="00740A83">
        <w:rPr>
          <w:noProof/>
        </w:rPr>
        <w:t xml:space="preserve">, </w:t>
      </w:r>
      <w:r w:rsidRPr="00740A83">
        <w:rPr>
          <w:i/>
          <w:iCs/>
          <w:noProof/>
        </w:rPr>
        <w:t>32</w:t>
      </w:r>
      <w:r w:rsidRPr="00740A83">
        <w:rPr>
          <w:noProof/>
        </w:rPr>
        <w:t>(3), 401–414. http://doi.org/10.1016/S0191-8869(01)00032-0</w:t>
      </w:r>
    </w:p>
    <w:p w14:paraId="761280C7"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Johnston, L. D., Malley, P. M. O., Bachman, J. G., &amp; Schulenberg, J. E. (2009). Monitoring the Future: National Results on Adolescent Drug Use. Overview of Key Findings, 2008. </w:t>
      </w:r>
      <w:r w:rsidRPr="00740A83">
        <w:rPr>
          <w:i/>
          <w:iCs/>
          <w:noProof/>
        </w:rPr>
        <w:t>National Institute on Drug Abuse (NIDA)</w:t>
      </w:r>
      <w:r w:rsidRPr="00740A83">
        <w:rPr>
          <w:noProof/>
        </w:rPr>
        <w:t>, 1–90.</w:t>
      </w:r>
    </w:p>
    <w:p w14:paraId="3EE35C63"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Kaufman, J., Birmaher, B., Brent, D., Rao, U., Flynn, C., Moreci, P., … Ryan, N. (1997). Schedule for Affective Disorders and Schizophrenia for School-Age Children-Present and Lifetime Version (K-SADS-PL): initial reliability and validity data. </w:t>
      </w:r>
      <w:r w:rsidRPr="00740A83">
        <w:rPr>
          <w:i/>
          <w:iCs/>
          <w:noProof/>
        </w:rPr>
        <w:t>Journal of the American Academy of Child and Adolescent Psychiatry</w:t>
      </w:r>
      <w:r w:rsidRPr="00740A83">
        <w:rPr>
          <w:noProof/>
        </w:rPr>
        <w:t xml:space="preserve">, </w:t>
      </w:r>
      <w:r w:rsidRPr="00740A83">
        <w:rPr>
          <w:i/>
          <w:iCs/>
          <w:noProof/>
        </w:rPr>
        <w:t>36</w:t>
      </w:r>
      <w:r w:rsidRPr="00740A83">
        <w:rPr>
          <w:noProof/>
        </w:rPr>
        <w:t>(7), 980–8. http://doi.org/10.1097/00004583-199707000-00021</w:t>
      </w:r>
    </w:p>
    <w:p w14:paraId="335C12D0"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Kroenke, K., Spitzer, R. L., &amp; Williams, J. B. W. (2002). The PHQ-15: validity of a new </w:t>
      </w:r>
      <w:r w:rsidRPr="00740A83">
        <w:rPr>
          <w:noProof/>
        </w:rPr>
        <w:lastRenderedPageBreak/>
        <w:t xml:space="preserve">measure for evaluating the severity of somatic symptoms. </w:t>
      </w:r>
      <w:r w:rsidRPr="00740A83">
        <w:rPr>
          <w:i/>
          <w:iCs/>
          <w:noProof/>
        </w:rPr>
        <w:t>Psychosomatic Medicine</w:t>
      </w:r>
      <w:r w:rsidRPr="00740A83">
        <w:rPr>
          <w:noProof/>
        </w:rPr>
        <w:t xml:space="preserve">, </w:t>
      </w:r>
      <w:r w:rsidRPr="00740A83">
        <w:rPr>
          <w:i/>
          <w:iCs/>
          <w:noProof/>
        </w:rPr>
        <w:t>64</w:t>
      </w:r>
      <w:r w:rsidRPr="00740A83">
        <w:rPr>
          <w:noProof/>
        </w:rPr>
        <w:t>(2), 258–66. http://doi.org/10.1097/00006842-200203000-00008</w:t>
      </w:r>
    </w:p>
    <w:p w14:paraId="6E4A8F06"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March, J. S., Sullivan, K., &amp; Parker, J. (1999). Test-Retest Reliability of the Multidimensional Anxiety Scale for Children. </w:t>
      </w:r>
      <w:r w:rsidRPr="00740A83">
        <w:rPr>
          <w:i/>
          <w:iCs/>
          <w:noProof/>
        </w:rPr>
        <w:t>Journal of Anxiety Disorders</w:t>
      </w:r>
      <w:r w:rsidRPr="00740A83">
        <w:rPr>
          <w:noProof/>
        </w:rPr>
        <w:t xml:space="preserve">, </w:t>
      </w:r>
      <w:r w:rsidRPr="00740A83">
        <w:rPr>
          <w:i/>
          <w:iCs/>
          <w:noProof/>
        </w:rPr>
        <w:t>13</w:t>
      </w:r>
      <w:r w:rsidRPr="00740A83">
        <w:rPr>
          <w:noProof/>
        </w:rPr>
        <w:t>(4), 349–358. http://doi.org/10.1016/S0887-6185(99)00009-2</w:t>
      </w:r>
    </w:p>
    <w:p w14:paraId="3D5DD4BD"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Miller, W. R., &amp; Rollnick, S. (2002). </w:t>
      </w:r>
      <w:r w:rsidRPr="00740A83">
        <w:rPr>
          <w:i/>
          <w:iCs/>
          <w:noProof/>
        </w:rPr>
        <w:t>Motivational interviewing: Preparing people for change</w:t>
      </w:r>
      <w:r w:rsidRPr="00740A83">
        <w:rPr>
          <w:noProof/>
        </w:rPr>
        <w:t>. New York: Guilford Press.</w:t>
      </w:r>
    </w:p>
    <w:p w14:paraId="53B71E5E"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Morin, C. M., Bootzin, R. R., Buysse, D. J., Edinger, J. D., Espie, C. A., &amp; Lichstein, K. L. (2006). Psychological And Behavioral Treatment Of Insomnia: Update Of The Recent Evidence (1998–2004). </w:t>
      </w:r>
      <w:r w:rsidRPr="00740A83">
        <w:rPr>
          <w:i/>
          <w:iCs/>
          <w:noProof/>
        </w:rPr>
        <w:t>Sleep</w:t>
      </w:r>
      <w:r w:rsidRPr="00740A83">
        <w:rPr>
          <w:noProof/>
        </w:rPr>
        <w:t xml:space="preserve">, </w:t>
      </w:r>
      <w:r w:rsidRPr="00740A83">
        <w:rPr>
          <w:i/>
          <w:iCs/>
          <w:noProof/>
        </w:rPr>
        <w:t>29</w:t>
      </w:r>
      <w:r w:rsidRPr="00740A83">
        <w:rPr>
          <w:noProof/>
        </w:rPr>
        <w:t>(11), 1398–1414. http://doi.org/10.1093/sleep/29.11.1398</w:t>
      </w:r>
    </w:p>
    <w:p w14:paraId="3314CF78"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Morin, C. M., &amp; Espie, C. A. (2003). </w:t>
      </w:r>
      <w:r w:rsidRPr="00740A83">
        <w:rPr>
          <w:i/>
          <w:iCs/>
          <w:noProof/>
        </w:rPr>
        <w:t>Insomnia: A clinical guide to assessment and treatment</w:t>
      </w:r>
      <w:r w:rsidRPr="00740A83">
        <w:rPr>
          <w:noProof/>
        </w:rPr>
        <w:t>. New York, NY: Kluwer Academic/Plenum Publishers.</w:t>
      </w:r>
    </w:p>
    <w:p w14:paraId="406807D5"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Owens, J., Adolescent Sleep Working Group, &amp; Committee on Adolescence. (2014). Insufficient sleep in adolescents and young adults: an update on causes and consequences. </w:t>
      </w:r>
      <w:r w:rsidRPr="00740A83">
        <w:rPr>
          <w:i/>
          <w:iCs/>
          <w:noProof/>
        </w:rPr>
        <w:t>Pediatrics</w:t>
      </w:r>
      <w:r w:rsidRPr="00740A83">
        <w:rPr>
          <w:noProof/>
        </w:rPr>
        <w:t xml:space="preserve">, </w:t>
      </w:r>
      <w:r w:rsidRPr="00740A83">
        <w:rPr>
          <w:i/>
          <w:iCs/>
          <w:noProof/>
        </w:rPr>
        <w:t>134</w:t>
      </w:r>
      <w:r w:rsidRPr="00740A83">
        <w:rPr>
          <w:noProof/>
        </w:rPr>
        <w:t>(3), e921-32. http://doi.org/10.1542/peds.2014-1696</w:t>
      </w:r>
    </w:p>
    <w:p w14:paraId="72015D07"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Perlis, M. L., Aloia, M. S., &amp; Kuhn, B. (2011). </w:t>
      </w:r>
      <w:r w:rsidRPr="00740A83">
        <w:rPr>
          <w:i/>
          <w:iCs/>
          <w:noProof/>
        </w:rPr>
        <w:t>Behavioral Treatment for Sleep Disorders: A Comprehensive Primer of Behavioral Sleep Medicine</w:t>
      </w:r>
      <w:r w:rsidRPr="00740A83">
        <w:rPr>
          <w:noProof/>
        </w:rPr>
        <w:t>. Amsterdam: Elsevier.</w:t>
      </w:r>
    </w:p>
    <w:p w14:paraId="395ACFE7"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Poznanski, E. O., Grossman, J. A., Buchsbaum, Y., Banegas, M., Freeman, L., &amp; Gibbons, R. (1984). Preliminary studies of the reliability and validity of the children’s depression rating scale. </w:t>
      </w:r>
      <w:r w:rsidRPr="00740A83">
        <w:rPr>
          <w:i/>
          <w:iCs/>
          <w:noProof/>
        </w:rPr>
        <w:t>Journal of the American Academy of Child Psychiatry</w:t>
      </w:r>
      <w:r w:rsidRPr="00740A83">
        <w:rPr>
          <w:noProof/>
        </w:rPr>
        <w:t xml:space="preserve">, </w:t>
      </w:r>
      <w:r w:rsidRPr="00740A83">
        <w:rPr>
          <w:i/>
          <w:iCs/>
          <w:noProof/>
        </w:rPr>
        <w:t>23</w:t>
      </w:r>
      <w:r w:rsidRPr="00740A83">
        <w:rPr>
          <w:noProof/>
        </w:rPr>
        <w:t>(2), 191–7. http://doi.org/10.1097/00004583-198403000-00011</w:t>
      </w:r>
    </w:p>
    <w:p w14:paraId="6BE69C38"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Randler, C. (2011). Age and gender differences in morningness-eveningness during adolescence. </w:t>
      </w:r>
      <w:r w:rsidRPr="00740A83">
        <w:rPr>
          <w:i/>
          <w:iCs/>
          <w:noProof/>
        </w:rPr>
        <w:t>Journal of Genetic Psychology</w:t>
      </w:r>
      <w:r w:rsidRPr="00740A83">
        <w:rPr>
          <w:noProof/>
        </w:rPr>
        <w:t xml:space="preserve">, </w:t>
      </w:r>
      <w:r w:rsidRPr="00740A83">
        <w:rPr>
          <w:i/>
          <w:iCs/>
          <w:noProof/>
        </w:rPr>
        <w:t>172</w:t>
      </w:r>
      <w:r w:rsidRPr="00740A83">
        <w:rPr>
          <w:noProof/>
        </w:rPr>
        <w:t xml:space="preserve">(3), 302–308. </w:t>
      </w:r>
      <w:r w:rsidRPr="00740A83">
        <w:rPr>
          <w:noProof/>
        </w:rPr>
        <w:lastRenderedPageBreak/>
        <w:t>http://doi.org/10.1080/00221325.2010.535225</w:t>
      </w:r>
    </w:p>
    <w:p w14:paraId="0903FF3E"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Roenneberg, T., Kuehnle, T., Pramstaller, P. P., Ricken, J., Havel, M., Guth, A., &amp; Merrow, M. (2004). A marker for the end of adolescence. </w:t>
      </w:r>
      <w:r w:rsidRPr="00740A83">
        <w:rPr>
          <w:i/>
          <w:iCs/>
          <w:noProof/>
        </w:rPr>
        <w:t>Current Biology</w:t>
      </w:r>
      <w:r w:rsidRPr="00740A83">
        <w:rPr>
          <w:noProof/>
        </w:rPr>
        <w:t xml:space="preserve">, </w:t>
      </w:r>
      <w:r w:rsidRPr="00740A83">
        <w:rPr>
          <w:i/>
          <w:iCs/>
          <w:noProof/>
        </w:rPr>
        <w:t>14</w:t>
      </w:r>
      <w:r w:rsidRPr="00740A83">
        <w:rPr>
          <w:noProof/>
        </w:rPr>
        <w:t>(24), R1038–R1039. http://doi.org/10.1016/j.cub.2004.11.039</w:t>
      </w:r>
    </w:p>
    <w:p w14:paraId="79639A67"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Russo, M. F., Stokes, G. S., Lahey, B. B., Christ, M. A. G., McBurnett, K., Loeber, R., … Green, S. M. (1993). A sensation seeking scale for children: Further refinement and psychometric development. </w:t>
      </w:r>
      <w:r w:rsidRPr="00740A83">
        <w:rPr>
          <w:i/>
          <w:iCs/>
          <w:noProof/>
        </w:rPr>
        <w:t>Journal of Psychopathology and Behavioral Assessment</w:t>
      </w:r>
      <w:r w:rsidRPr="00740A83">
        <w:rPr>
          <w:noProof/>
        </w:rPr>
        <w:t xml:space="preserve">, </w:t>
      </w:r>
      <w:r w:rsidRPr="00740A83">
        <w:rPr>
          <w:i/>
          <w:iCs/>
          <w:noProof/>
        </w:rPr>
        <w:t>15</w:t>
      </w:r>
      <w:r w:rsidRPr="00740A83">
        <w:rPr>
          <w:noProof/>
        </w:rPr>
        <w:t>(2), 69–86. http://doi.org/10.1007/BF00960609</w:t>
      </w:r>
    </w:p>
    <w:p w14:paraId="7D275A0D"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Schaal, S., Peter, M., &amp; Randler, C. (2010). Morningness</w:t>
      </w:r>
      <w:r w:rsidRPr="00740A83">
        <w:rPr>
          <w:rFonts w:ascii="Cambria Math" w:hAnsi="Cambria Math" w:cs="Cambria Math"/>
          <w:noProof/>
        </w:rPr>
        <w:t>‐</w:t>
      </w:r>
      <w:r w:rsidRPr="00740A83">
        <w:rPr>
          <w:noProof/>
        </w:rPr>
        <w:t xml:space="preserve">eveningness and physical activity in adolescents. </w:t>
      </w:r>
      <w:r w:rsidRPr="00740A83">
        <w:rPr>
          <w:i/>
          <w:iCs/>
          <w:noProof/>
        </w:rPr>
        <w:t>International Journal of Sport and Exercise Psychology</w:t>
      </w:r>
      <w:r w:rsidRPr="00740A83">
        <w:rPr>
          <w:noProof/>
        </w:rPr>
        <w:t xml:space="preserve">, </w:t>
      </w:r>
      <w:r w:rsidRPr="00740A83">
        <w:rPr>
          <w:i/>
          <w:iCs/>
          <w:noProof/>
        </w:rPr>
        <w:t>8</w:t>
      </w:r>
      <w:r w:rsidRPr="00740A83">
        <w:rPr>
          <w:noProof/>
        </w:rPr>
        <w:t>(2), 147–159. http://doi.org/10.1080/1612197X.2010.9671939</w:t>
      </w:r>
    </w:p>
    <w:p w14:paraId="69B68FA5"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Schlarb, A. a, Sopp, R., Ambiel, D., &amp; Grünwald, J. (2014). Chronotype-related differences in childhood and adolescent aggression and antisocial behavior--a review of the literature. </w:t>
      </w:r>
      <w:r w:rsidRPr="00740A83">
        <w:rPr>
          <w:i/>
          <w:iCs/>
          <w:noProof/>
        </w:rPr>
        <w:t>Chronobiology International</w:t>
      </w:r>
      <w:r w:rsidRPr="00740A83">
        <w:rPr>
          <w:noProof/>
        </w:rPr>
        <w:t xml:space="preserve">, </w:t>
      </w:r>
      <w:r w:rsidRPr="00740A83">
        <w:rPr>
          <w:i/>
          <w:iCs/>
          <w:noProof/>
        </w:rPr>
        <w:t>31</w:t>
      </w:r>
      <w:r w:rsidRPr="00740A83">
        <w:rPr>
          <w:noProof/>
        </w:rPr>
        <w:t>(1), 1–16. http://doi.org/10.3109/07420528.2013.829846</w:t>
      </w:r>
    </w:p>
    <w:p w14:paraId="1BB18E93"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StataCorp. (2017). </w:t>
      </w:r>
      <w:r w:rsidRPr="00740A83">
        <w:rPr>
          <w:i/>
          <w:iCs/>
          <w:noProof/>
        </w:rPr>
        <w:t>Stata Statistical Software: Release 15.</w:t>
      </w:r>
      <w:r w:rsidRPr="00740A83">
        <w:rPr>
          <w:noProof/>
        </w:rPr>
        <w:t xml:space="preserve"> College Station, TX: StataCorp LLC.</w:t>
      </w:r>
    </w:p>
    <w:p w14:paraId="05B76AE2"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Stephenson, M. T., Hoyle, R. H., Palmgreen, P., &amp; Slater, M. D. (2003). Brief measures of sensation seeking for screening and large-scale surveys. </w:t>
      </w:r>
      <w:r w:rsidRPr="00740A83">
        <w:rPr>
          <w:i/>
          <w:iCs/>
          <w:noProof/>
        </w:rPr>
        <w:t>Drug and Alcohol Dependence</w:t>
      </w:r>
      <w:r w:rsidRPr="00740A83">
        <w:rPr>
          <w:noProof/>
        </w:rPr>
        <w:t xml:space="preserve">, </w:t>
      </w:r>
      <w:r w:rsidRPr="00740A83">
        <w:rPr>
          <w:i/>
          <w:iCs/>
          <w:noProof/>
        </w:rPr>
        <w:t>72</w:t>
      </w:r>
      <w:r w:rsidRPr="00740A83">
        <w:rPr>
          <w:noProof/>
        </w:rPr>
        <w:t>(3), 279–286. http://doi.org/10.1016/j.drugalcdep.2003.08.003</w:t>
      </w:r>
    </w:p>
    <w:p w14:paraId="688C0C88"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Talbot, L. S., McGlinchey, E. L., Kaplan, K. A., Dahl, R. E., &amp; Harvey, A. G. (2010). Sleep Deprivation in Adolescents and Adults: Changes in Affect. </w:t>
      </w:r>
      <w:r w:rsidRPr="00740A83">
        <w:rPr>
          <w:i/>
          <w:iCs/>
          <w:noProof/>
        </w:rPr>
        <w:t>Emotion</w:t>
      </w:r>
      <w:r w:rsidRPr="00740A83">
        <w:rPr>
          <w:noProof/>
        </w:rPr>
        <w:t xml:space="preserve">, </w:t>
      </w:r>
      <w:r w:rsidRPr="00740A83">
        <w:rPr>
          <w:i/>
          <w:iCs/>
          <w:noProof/>
        </w:rPr>
        <w:t>10</w:t>
      </w:r>
      <w:r w:rsidRPr="00740A83">
        <w:rPr>
          <w:noProof/>
        </w:rPr>
        <w:t>(6), 831–841. http://doi.org/10.1037/a0020138</w:t>
      </w:r>
    </w:p>
    <w:p w14:paraId="5FC9B298"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Weissman, M. M., Orvaschel, H., &amp; Padian, N. (1980). Children’s symptom and social functioning self-report scales: Comparison of mothers’ and children’s reports. </w:t>
      </w:r>
      <w:r w:rsidRPr="00740A83">
        <w:rPr>
          <w:i/>
          <w:iCs/>
          <w:noProof/>
        </w:rPr>
        <w:t xml:space="preserve">The Journal </w:t>
      </w:r>
      <w:r w:rsidRPr="00740A83">
        <w:rPr>
          <w:i/>
          <w:iCs/>
          <w:noProof/>
        </w:rPr>
        <w:lastRenderedPageBreak/>
        <w:t>of Nervous and Mental Disease</w:t>
      </w:r>
      <w:r w:rsidRPr="00740A83">
        <w:rPr>
          <w:noProof/>
        </w:rPr>
        <w:t>. http://doi.org/10.1097/00005053-198012000-00005</w:t>
      </w:r>
    </w:p>
    <w:p w14:paraId="57D54E5A"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Wirz-Justice, A., Benedetti, F., &amp; Terman, M. (2009). </w:t>
      </w:r>
      <w:r w:rsidRPr="00740A83">
        <w:rPr>
          <w:i/>
          <w:iCs/>
          <w:noProof/>
        </w:rPr>
        <w:t>Chronotherapeutics for Affective Disorders: A Clinician’s Manual for Light &amp; Wake Therapy</w:t>
      </w:r>
      <w:r w:rsidRPr="00740A83">
        <w:rPr>
          <w:noProof/>
        </w:rPr>
        <w:t>. Basel: Karger.</w:t>
      </w:r>
    </w:p>
    <w:p w14:paraId="2D2BCA6F"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Wittmann, M., Dinich, J., Merrow, M., &amp; Roenneberg, T. (2006). Social Jetlag: Misalignment of Biological and Social Time. </w:t>
      </w:r>
      <w:r w:rsidRPr="00740A83">
        <w:rPr>
          <w:i/>
          <w:iCs/>
          <w:noProof/>
        </w:rPr>
        <w:t>Chronobiology International</w:t>
      </w:r>
      <w:r w:rsidRPr="00740A83">
        <w:rPr>
          <w:noProof/>
        </w:rPr>
        <w:t xml:space="preserve">, </w:t>
      </w:r>
      <w:r w:rsidRPr="00740A83">
        <w:rPr>
          <w:i/>
          <w:iCs/>
          <w:noProof/>
        </w:rPr>
        <w:t>23</w:t>
      </w:r>
      <w:r w:rsidRPr="00740A83">
        <w:rPr>
          <w:noProof/>
        </w:rPr>
        <w:t>(1–2), 497–509. http://doi.org/10.1080/07420520500545979</w:t>
      </w:r>
    </w:p>
    <w:p w14:paraId="0401C1D8" w14:textId="77777777" w:rsidR="00740A83" w:rsidRPr="00740A83" w:rsidRDefault="00740A83" w:rsidP="00740A83">
      <w:pPr>
        <w:widowControl w:val="0"/>
        <w:autoSpaceDE w:val="0"/>
        <w:autoSpaceDN w:val="0"/>
        <w:adjustRightInd w:val="0"/>
        <w:spacing w:line="480" w:lineRule="auto"/>
        <w:ind w:left="480" w:hanging="480"/>
        <w:rPr>
          <w:noProof/>
        </w:rPr>
      </w:pPr>
      <w:r w:rsidRPr="00740A83">
        <w:rPr>
          <w:noProof/>
        </w:rPr>
        <w:t xml:space="preserve">Wolfson, A. R., &amp; Carskadon, M. A. (1998). Sleep Schedules and Daytime Functioning in Adolescents. </w:t>
      </w:r>
      <w:r w:rsidRPr="00740A83">
        <w:rPr>
          <w:i/>
          <w:iCs/>
          <w:noProof/>
        </w:rPr>
        <w:t>Child Development</w:t>
      </w:r>
      <w:r w:rsidRPr="00740A83">
        <w:rPr>
          <w:noProof/>
        </w:rPr>
        <w:t xml:space="preserve">, </w:t>
      </w:r>
      <w:r w:rsidRPr="00740A83">
        <w:rPr>
          <w:i/>
          <w:iCs/>
          <w:noProof/>
        </w:rPr>
        <w:t>69</w:t>
      </w:r>
      <w:r w:rsidRPr="00740A83">
        <w:rPr>
          <w:noProof/>
        </w:rPr>
        <w:t>(4), 875–887. http://doi.org/10.1111/j.1467-8624.1998.tb06149.x</w:t>
      </w:r>
    </w:p>
    <w:p w14:paraId="7B453912" w14:textId="4FF05C08" w:rsidR="00371E12" w:rsidRPr="00292779" w:rsidRDefault="00371E12" w:rsidP="00740A83">
      <w:pPr>
        <w:widowControl w:val="0"/>
        <w:autoSpaceDE w:val="0"/>
        <w:autoSpaceDN w:val="0"/>
        <w:adjustRightInd w:val="0"/>
        <w:spacing w:line="480" w:lineRule="auto"/>
        <w:ind w:left="480" w:hanging="480"/>
        <w:rPr>
          <w:b/>
        </w:rPr>
      </w:pPr>
      <w:r>
        <w:rPr>
          <w:b/>
        </w:rPr>
        <w:fldChar w:fldCharType="end"/>
      </w:r>
    </w:p>
    <w:p w14:paraId="282494FC" w14:textId="77777777" w:rsidR="00F06D12" w:rsidRPr="00292779" w:rsidRDefault="004748DF" w:rsidP="00F06D12">
      <w:r w:rsidRPr="00292779">
        <w:tab/>
      </w:r>
    </w:p>
    <w:p w14:paraId="707893C4" w14:textId="77777777" w:rsidR="00101C96" w:rsidRPr="00292779" w:rsidRDefault="00101C96" w:rsidP="00EA40E9">
      <w:pPr>
        <w:sectPr w:rsidR="00101C96" w:rsidRPr="00292779" w:rsidSect="009B6718">
          <w:pgSz w:w="12240" w:h="15840"/>
          <w:pgMar w:top="1440" w:right="1440" w:bottom="1440" w:left="1440" w:header="720" w:footer="720" w:gutter="0"/>
          <w:cols w:space="720"/>
          <w:docGrid w:linePitch="360"/>
        </w:sectPr>
      </w:pPr>
    </w:p>
    <w:p w14:paraId="6B7B4A39" w14:textId="77777777" w:rsidR="00616F2C" w:rsidRPr="00DE3CEA" w:rsidRDefault="00616F2C" w:rsidP="00616F2C">
      <w:r w:rsidRPr="00DE3CEA">
        <w:lastRenderedPageBreak/>
        <w:t>Table 1.</w:t>
      </w:r>
    </w:p>
    <w:p w14:paraId="73DB5EF8" w14:textId="77777777" w:rsidR="00616F2C" w:rsidRPr="00DE3CEA" w:rsidRDefault="00616F2C" w:rsidP="00616F2C"/>
    <w:p w14:paraId="41D75072" w14:textId="77777777" w:rsidR="00616F2C" w:rsidRPr="00DE3CEA" w:rsidRDefault="00616F2C" w:rsidP="00616F2C">
      <w:pPr>
        <w:rPr>
          <w:i/>
        </w:rPr>
      </w:pPr>
      <w:r w:rsidRPr="00DE3CEA">
        <w:rPr>
          <w:i/>
        </w:rPr>
        <w:t xml:space="preserve">Inclusion Criteria Operationalizing ‘At Risk’ for the Five Health Domains </w:t>
      </w:r>
    </w:p>
    <w:p w14:paraId="7C360518" w14:textId="77777777" w:rsidR="00616F2C" w:rsidRPr="00DE3CEA" w:rsidRDefault="00616F2C" w:rsidP="00616F2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7"/>
        <w:gridCol w:w="7730"/>
      </w:tblGrid>
      <w:tr w:rsidR="00616F2C" w:rsidRPr="00DE3CEA" w14:paraId="62796FAF" w14:textId="77777777" w:rsidTr="005E63E4">
        <w:trPr>
          <w:trHeight w:val="142"/>
        </w:trPr>
        <w:tc>
          <w:tcPr>
            <w:tcW w:w="1527" w:type="dxa"/>
            <w:tcBorders>
              <w:top w:val="single" w:sz="4" w:space="0" w:color="auto"/>
              <w:bottom w:val="single" w:sz="4" w:space="0" w:color="auto"/>
            </w:tcBorders>
            <w:vAlign w:val="center"/>
          </w:tcPr>
          <w:p w14:paraId="3F6E6833" w14:textId="77777777" w:rsidR="00616F2C" w:rsidRPr="00DE3CEA" w:rsidRDefault="00616F2C" w:rsidP="00F54ACD">
            <w:r w:rsidRPr="00DE3CEA">
              <w:t>Risk Domain</w:t>
            </w:r>
          </w:p>
        </w:tc>
        <w:tc>
          <w:tcPr>
            <w:tcW w:w="7730" w:type="dxa"/>
            <w:tcBorders>
              <w:top w:val="single" w:sz="4" w:space="0" w:color="auto"/>
              <w:bottom w:val="single" w:sz="4" w:space="0" w:color="auto"/>
            </w:tcBorders>
            <w:vAlign w:val="center"/>
          </w:tcPr>
          <w:p w14:paraId="09A03762" w14:textId="77777777" w:rsidR="00616F2C" w:rsidRPr="00DE3CEA" w:rsidRDefault="00616F2C" w:rsidP="00F54ACD">
            <w:pPr>
              <w:jc w:val="center"/>
            </w:pPr>
            <w:r w:rsidRPr="00DE3CEA">
              <w:t>Criteria for Inclusion</w:t>
            </w:r>
          </w:p>
        </w:tc>
      </w:tr>
      <w:tr w:rsidR="00616F2C" w:rsidRPr="00DE3CEA" w14:paraId="159551A5" w14:textId="77777777" w:rsidTr="005E63E4">
        <w:trPr>
          <w:trHeight w:val="576"/>
        </w:trPr>
        <w:tc>
          <w:tcPr>
            <w:tcW w:w="1527" w:type="dxa"/>
            <w:tcBorders>
              <w:top w:val="single" w:sz="4" w:space="0" w:color="auto"/>
            </w:tcBorders>
          </w:tcPr>
          <w:p w14:paraId="67BE788B" w14:textId="77777777" w:rsidR="00616F2C" w:rsidRPr="00DE3CEA" w:rsidRDefault="00616F2C" w:rsidP="00F54ACD">
            <w:r w:rsidRPr="00DE3CEA">
              <w:t xml:space="preserve">Emotional </w:t>
            </w:r>
          </w:p>
        </w:tc>
        <w:tc>
          <w:tcPr>
            <w:tcW w:w="7730" w:type="dxa"/>
            <w:tcBorders>
              <w:top w:val="single" w:sz="4" w:space="0" w:color="auto"/>
            </w:tcBorders>
          </w:tcPr>
          <w:p w14:paraId="112362E3" w14:textId="77777777" w:rsidR="00616F2C" w:rsidRPr="00DE3CEA" w:rsidRDefault="00616F2C" w:rsidP="00F54ACD">
            <w:pPr>
              <w:rPr>
                <w:lang w:eastAsia="ja-JP"/>
              </w:rPr>
            </w:pPr>
            <w:r w:rsidRPr="00DE3CEA">
              <w:rPr>
                <w:color w:val="000000"/>
              </w:rPr>
              <w:t xml:space="preserve">≥ 4 on any of the following items on the </w:t>
            </w:r>
            <w:proofErr w:type="spellStart"/>
            <w:r w:rsidRPr="00DE3CEA">
              <w:rPr>
                <w:color w:val="000000"/>
              </w:rPr>
              <w:t>CDRS</w:t>
            </w:r>
            <w:proofErr w:type="spellEnd"/>
            <w:r w:rsidRPr="00DE3CEA">
              <w:rPr>
                <w:color w:val="000000"/>
              </w:rPr>
              <w:t xml:space="preserve">: Difficulty Having Fun, Social Withdrawal, Irritability, Depressed Feelings, Excessive Weeping, </w:t>
            </w:r>
            <w:r w:rsidRPr="00DE3CEA">
              <w:rPr>
                <w:i/>
                <w:color w:val="000000"/>
                <w:u w:val="single"/>
              </w:rPr>
              <w:t>or</w:t>
            </w:r>
            <w:r w:rsidRPr="00DE3CEA">
              <w:rPr>
                <w:color w:val="000000"/>
              </w:rPr>
              <w:t xml:space="preserve"> a T-score of 61 or</w:t>
            </w:r>
            <w:r w:rsidRPr="00DE3CEA">
              <w:rPr>
                <w:i/>
                <w:color w:val="000000"/>
              </w:rPr>
              <w:t xml:space="preserve"> </w:t>
            </w:r>
            <w:r w:rsidRPr="00DE3CEA">
              <w:rPr>
                <w:color w:val="000000"/>
              </w:rPr>
              <w:t>above on the MASC-10, based on age group (10-11 years, 12-15 year, 16-19 years) using the MASC-10 Profile.</w:t>
            </w:r>
          </w:p>
        </w:tc>
      </w:tr>
      <w:tr w:rsidR="00616F2C" w:rsidRPr="00DE3CEA" w14:paraId="328DDC7F" w14:textId="77777777" w:rsidTr="005E63E4">
        <w:trPr>
          <w:trHeight w:val="727"/>
        </w:trPr>
        <w:tc>
          <w:tcPr>
            <w:tcW w:w="1527" w:type="dxa"/>
          </w:tcPr>
          <w:p w14:paraId="1C69DCBE" w14:textId="77777777" w:rsidR="00616F2C" w:rsidRPr="00DE3CEA" w:rsidRDefault="00616F2C" w:rsidP="00F54ACD">
            <w:r w:rsidRPr="00DE3CEA">
              <w:t xml:space="preserve">Behavioral </w:t>
            </w:r>
          </w:p>
        </w:tc>
        <w:tc>
          <w:tcPr>
            <w:tcW w:w="7730" w:type="dxa"/>
          </w:tcPr>
          <w:p w14:paraId="24462889" w14:textId="77777777" w:rsidR="00616F2C" w:rsidRPr="00DE3CEA" w:rsidRDefault="00616F2C" w:rsidP="00F54ACD">
            <w:proofErr w:type="gramStart"/>
            <w:r w:rsidRPr="00DE3CEA">
              <w:rPr>
                <w:color w:val="000000"/>
              </w:rPr>
              <w:t>A</w:t>
            </w:r>
            <w:proofErr w:type="gramEnd"/>
            <w:r w:rsidRPr="00DE3CEA">
              <w:rPr>
                <w:color w:val="000000"/>
              </w:rPr>
              <w:t xml:space="preserve"> SSS score greater than 3.93 for males aged 10-13, greater than 3.19 for females aged 10-13, greater than 4.07 for males aged 14-18, or greater than 3.19 for females aged 14-18 </w:t>
            </w:r>
            <w:r w:rsidRPr="00DE3CEA">
              <w:rPr>
                <w:i/>
                <w:color w:val="000000"/>
                <w:u w:val="single"/>
              </w:rPr>
              <w:t>or</w:t>
            </w:r>
            <w:r w:rsidRPr="00DE3CEA">
              <w:rPr>
                <w:color w:val="000000"/>
              </w:rPr>
              <w:t xml:space="preserve"> taking ADHD medication or the </w:t>
            </w:r>
            <w:proofErr w:type="spellStart"/>
            <w:r w:rsidRPr="00DE3CEA">
              <w:rPr>
                <w:color w:val="000000"/>
              </w:rPr>
              <w:t>KSADS</w:t>
            </w:r>
            <w:proofErr w:type="spellEnd"/>
            <w:r w:rsidRPr="00DE3CEA">
              <w:rPr>
                <w:color w:val="000000"/>
              </w:rPr>
              <w:t xml:space="preserve"> indicating a diagnosis of ADHD </w:t>
            </w:r>
            <w:r w:rsidRPr="00DE3CEA">
              <w:rPr>
                <w:i/>
                <w:color w:val="000000"/>
                <w:u w:val="single"/>
              </w:rPr>
              <w:t>or</w:t>
            </w:r>
            <w:r w:rsidRPr="00DE3CEA">
              <w:rPr>
                <w:color w:val="000000"/>
              </w:rPr>
              <w:t xml:space="preserve"> current alcohol or substance abuse assessed with the </w:t>
            </w:r>
            <w:proofErr w:type="spellStart"/>
            <w:r w:rsidRPr="00DE3CEA">
              <w:rPr>
                <w:color w:val="000000"/>
              </w:rPr>
              <w:t>KSADS</w:t>
            </w:r>
            <w:proofErr w:type="spellEnd"/>
            <w:r w:rsidRPr="00DE3CEA">
              <w:rPr>
                <w:color w:val="000000"/>
              </w:rPr>
              <w:t xml:space="preserve">. </w:t>
            </w:r>
          </w:p>
        </w:tc>
      </w:tr>
      <w:tr w:rsidR="00616F2C" w:rsidRPr="00DE3CEA" w14:paraId="4BDDD82A" w14:textId="77777777" w:rsidTr="005E63E4">
        <w:trPr>
          <w:trHeight w:val="284"/>
        </w:trPr>
        <w:tc>
          <w:tcPr>
            <w:tcW w:w="1527" w:type="dxa"/>
          </w:tcPr>
          <w:p w14:paraId="0750CDFB" w14:textId="77777777" w:rsidR="00616F2C" w:rsidRPr="00DE3CEA" w:rsidRDefault="00616F2C" w:rsidP="00F54ACD">
            <w:r w:rsidRPr="00DE3CEA">
              <w:t xml:space="preserve">Social </w:t>
            </w:r>
          </w:p>
        </w:tc>
        <w:tc>
          <w:tcPr>
            <w:tcW w:w="7730" w:type="dxa"/>
          </w:tcPr>
          <w:p w14:paraId="41FAC17E" w14:textId="77777777" w:rsidR="00616F2C" w:rsidRPr="00DE3CEA" w:rsidRDefault="00616F2C" w:rsidP="00F54ACD">
            <w:r w:rsidRPr="00DE3CEA">
              <w:rPr>
                <w:color w:val="000000"/>
              </w:rPr>
              <w:t>A parent rating their child as "worse" than others the participants age on one or more of the social behavior items (Section VI) from the CBCL.</w:t>
            </w:r>
          </w:p>
        </w:tc>
      </w:tr>
      <w:tr w:rsidR="00616F2C" w:rsidRPr="00DE3CEA" w14:paraId="745A3D72" w14:textId="77777777" w:rsidTr="005E63E4">
        <w:trPr>
          <w:trHeight w:val="292"/>
        </w:trPr>
        <w:tc>
          <w:tcPr>
            <w:tcW w:w="1527" w:type="dxa"/>
          </w:tcPr>
          <w:p w14:paraId="18BA917C" w14:textId="77777777" w:rsidR="00616F2C" w:rsidRPr="00DE3CEA" w:rsidRDefault="00616F2C" w:rsidP="00F54ACD">
            <w:r w:rsidRPr="00DE3CEA">
              <w:t>Cognitive</w:t>
            </w:r>
          </w:p>
        </w:tc>
        <w:tc>
          <w:tcPr>
            <w:tcW w:w="7730" w:type="dxa"/>
          </w:tcPr>
          <w:p w14:paraId="486C0DCD" w14:textId="77777777" w:rsidR="00616F2C" w:rsidRPr="00DE3CEA" w:rsidRDefault="00616F2C" w:rsidP="00F54ACD">
            <w:r w:rsidRPr="00DE3CEA">
              <w:rPr>
                <w:color w:val="000000"/>
              </w:rPr>
              <w:t>A parent rating their child as “failing”</w:t>
            </w:r>
            <w:r w:rsidRPr="00DE3CEA">
              <w:rPr>
                <w:rStyle w:val="FootnoteReference"/>
                <w:color w:val="000000"/>
              </w:rPr>
              <w:t xml:space="preserve"> </w:t>
            </w:r>
            <w:r w:rsidRPr="00DE3CEA">
              <w:rPr>
                <w:color w:val="000000"/>
              </w:rPr>
              <w:t>in one or more academic class from CBCL Section VII.</w:t>
            </w:r>
          </w:p>
        </w:tc>
      </w:tr>
      <w:tr w:rsidR="00616F2C" w:rsidRPr="00DE3CEA" w14:paraId="17941E86" w14:textId="77777777" w:rsidTr="005E63E4">
        <w:trPr>
          <w:trHeight w:val="284"/>
        </w:trPr>
        <w:tc>
          <w:tcPr>
            <w:tcW w:w="1527" w:type="dxa"/>
          </w:tcPr>
          <w:p w14:paraId="44F445A9" w14:textId="77777777" w:rsidR="00616F2C" w:rsidRPr="00DE3CEA" w:rsidRDefault="00616F2C" w:rsidP="00F54ACD">
            <w:r w:rsidRPr="00DE3CEA">
              <w:t>Physical</w:t>
            </w:r>
          </w:p>
        </w:tc>
        <w:tc>
          <w:tcPr>
            <w:tcW w:w="7730" w:type="dxa"/>
          </w:tcPr>
          <w:p w14:paraId="6A2138FC" w14:textId="77777777" w:rsidR="00616F2C" w:rsidRPr="00DE3CEA" w:rsidRDefault="00616F2C" w:rsidP="00F54ACD">
            <w:r w:rsidRPr="00DE3CEA">
              <w:rPr>
                <w:color w:val="000000"/>
              </w:rPr>
              <w:t>A score of 4 or above on the PHQ-15, six or more days of school absences, or a BMI above the 85th percentile for the participant's sex and age.</w:t>
            </w:r>
          </w:p>
        </w:tc>
      </w:tr>
    </w:tbl>
    <w:p w14:paraId="2863C1A3" w14:textId="77777777" w:rsidR="00616F2C" w:rsidRPr="00DE3CEA" w:rsidRDefault="00616F2C" w:rsidP="00616F2C"/>
    <w:p w14:paraId="16086495" w14:textId="65F45665" w:rsidR="00616F2C" w:rsidRPr="00DE3CEA" w:rsidRDefault="00616F2C" w:rsidP="00616F2C">
      <w:pPr>
        <w:rPr>
          <w:sz w:val="22"/>
        </w:rPr>
      </w:pPr>
      <w:r w:rsidRPr="00DE3CEA">
        <w:rPr>
          <w:i/>
          <w:sz w:val="22"/>
        </w:rPr>
        <w:t>Note.</w:t>
      </w:r>
      <w:r w:rsidRPr="00DE3CEA">
        <w:rPr>
          <w:sz w:val="22"/>
        </w:rPr>
        <w:t xml:space="preserve"> </w:t>
      </w:r>
      <w:proofErr w:type="spellStart"/>
      <w:r w:rsidRPr="00DE3CEA">
        <w:rPr>
          <w:sz w:val="22"/>
        </w:rPr>
        <w:t>CDRS</w:t>
      </w:r>
      <w:proofErr w:type="spellEnd"/>
      <w:r w:rsidRPr="00DE3CEA">
        <w:rPr>
          <w:sz w:val="22"/>
        </w:rPr>
        <w:t xml:space="preserve"> = </w:t>
      </w:r>
      <w:r w:rsidRPr="00DE3CEA">
        <w:rPr>
          <w:color w:val="000000"/>
          <w:sz w:val="22"/>
        </w:rPr>
        <w:t xml:space="preserve">Child Depression Rating Scale </w:t>
      </w:r>
      <w:r w:rsidRPr="00DE3CEA">
        <w:rPr>
          <w:color w:val="000000"/>
          <w:sz w:val="22"/>
        </w:rPr>
        <w:fldChar w:fldCharType="begin" w:fldLock="1"/>
      </w:r>
      <w:r w:rsidR="009F1676">
        <w:rPr>
          <w:color w:val="000000"/>
          <w:sz w:val="22"/>
        </w:rPr>
        <w:instrText>ADDIN CSL_CITATION {"citationItems":[{"id":"ITEM-1","itemData":{"DOI":"10.1097/00004583-198403000-00011","ISBN":"0890-8567","ISSN":"0002-7138","PMID":"6715741","abstract":"The Children's Depression Rating Scale, revised version (CDRS-R), is a reliable, clinician-rated scale which differentiates the depressed from the nondepressed child. The sum score of the CDRS-R appears to provide a better estimate of depressive symptomatology than does clinical impression. The relationship of the sum of the CDRS-R with global clinical ratings of depression indicates that the scale measures the severity of depression which is its primary purpose. The scale is not affected by the age of the child in our clinical sample, and the content of the items grouped as mood, somatic, subjective, and behavior all show good correlations with depression. The CDRS-R has been shown to be useful in a variety of settings, suggesting it is useful in both primary and secondary depressions.","author":[{"dropping-particle":"","family":"Poznanski","given":"E O","non-dropping-particle":"","parse-names":false,"suffix":""},{"dropping-particle":"","family":"Grossman","given":"J A","non-dropping-particle":"","parse-names":false,"suffix":""},{"dropping-particle":"","family":"Buchsbaum","given":"Y","non-dropping-particle":"","parse-names":false,"suffix":""},{"dropping-particle":"","family":"Banegas","given":"M","non-dropping-particle":"","parse-names":false,"suffix":""},{"dropping-particle":"","family":"Freeman","given":"L","non-dropping-particle":"","parse-names":false,"suffix":""},{"dropping-particle":"","family":"Gibbons","given":"R","non-dropping-particle":"","parse-names":false,"suffix":""}],"container-title":"Journal of the American Academy of Child Psychiatry","id":"ITEM-1","issue":"2","issued":{"date-parts":[["1984","3"]]},"page":"191-7","title":"Preliminary studies of the reliability and validity of the children's depression rating scale.","type":"article-journal","volume":"23"},"uris":["http://www.mendeley.com/documents/?uuid=c571b791-1361-48b4-9734-c0a08db78483"]}],"mendeley":{"formattedCitation":"(Poznanski et al., 1984)","plainTextFormattedCitation":"(Poznanski et al., 1984)","previouslyFormattedCitation":"(Poznanski et al., 1984)"},"properties":{"noteIndex":0},"schema":"https://github.com/citation-style-language/schema/raw/master/csl-citation.json"}</w:instrText>
      </w:r>
      <w:r w:rsidRPr="00DE3CEA">
        <w:rPr>
          <w:color w:val="000000"/>
          <w:sz w:val="22"/>
        </w:rPr>
        <w:fldChar w:fldCharType="separate"/>
      </w:r>
      <w:r w:rsidRPr="00DE3CEA">
        <w:rPr>
          <w:noProof/>
          <w:color w:val="000000"/>
          <w:sz w:val="22"/>
        </w:rPr>
        <w:t>(Poznanski et al., 1984)</w:t>
      </w:r>
      <w:r w:rsidRPr="00DE3CEA">
        <w:rPr>
          <w:color w:val="000000"/>
          <w:sz w:val="22"/>
        </w:rPr>
        <w:fldChar w:fldCharType="end"/>
      </w:r>
      <w:r w:rsidRPr="00DE3CEA">
        <w:rPr>
          <w:color w:val="000000"/>
          <w:sz w:val="22"/>
        </w:rPr>
        <w:t>, the cutoff is commensurate with “clinical symptoms.” MASC-10 = Multidimensional Anxiety Scale for Children, the cutoff T-score was selected to capture the ‘slightly elevated’ through to the ‘very elevated’ range</w:t>
      </w:r>
      <w:r w:rsidRPr="00DE3CEA">
        <w:rPr>
          <w:iCs/>
          <w:color w:val="000000"/>
          <w:sz w:val="22"/>
        </w:rPr>
        <w:t xml:space="preserve"> </w:t>
      </w:r>
      <w:r w:rsidRPr="00DE3CEA">
        <w:rPr>
          <w:iCs/>
          <w:color w:val="000000"/>
          <w:sz w:val="22"/>
        </w:rPr>
        <w:fldChar w:fldCharType="begin" w:fldLock="1"/>
      </w:r>
      <w:r w:rsidR="009F1676">
        <w:rPr>
          <w:iCs/>
          <w:color w:val="000000"/>
          <w:sz w:val="22"/>
        </w:rPr>
        <w:instrText>ADDIN CSL_CITATION {"citationItems":[{"id":"ITEM-1","itemData":{"DOI":"10.1016/S0887-6185(99)00009-2","ISBN":"0887-6185","ISSN":"08876185","PMID":"10504106","abstract":"We examined the test-retest reliability of the Multidimensional Anxiety Scale for Children (MASC) in a school-based sample of children and adolescents. One classroom at each grade from 3 to 12 was randomly selected to participate. Teachers were trained to administer the MASC at baseline and again 3 weeks later. The intraclass correlation coefficient (ICC) was used to estimate stability of the MASC over time. For both single case and mean ICCs, the MASC exhibited satisfactory to excellent stability across all factors and subfactors. Stability was unaffected by age or gender, but was lower for African American than Caucasian subjects. Satisfactory test-retest reliability also was demonstrated for two empirically derived subscales, the MASC-10 and Anxiety Index. Copyright (C) 1999 Elsevier Science Ltd.","author":[{"dropping-particle":"","family":"March","given":"John S.","non-dropping-particle":"","parse-names":false,"suffix":""},{"dropping-particle":"","family":"Sullivan","given":"Kevin","non-dropping-particle":"","parse-names":false,"suffix":""},{"dropping-particle":"","family":"Parker","given":"James","non-dropping-particle":"","parse-names":false,"suffix":""}],"container-title":"Journal of Anxiety Disorders","id":"ITEM-1","issue":"4","issued":{"date-parts":[["1999","7"]]},"page":"349-358","title":"Test-Retest Reliability of the Multidimensional Anxiety Scale for Children","type":"article-journal","volume":"13"},"uris":["http://www.mendeley.com/documents/?uuid=d6237412-4e9d-4869-aa46-78ca6d5ff4f1"]}],"mendeley":{"formattedCitation":"(March et al., 1999)","plainTextFormattedCitation":"(March et al., 1999)","previouslyFormattedCitation":"(March et al., 1999)"},"properties":{"noteIndex":0},"schema":"https://github.com/citation-style-language/schema/raw/master/csl-citation.json"}</w:instrText>
      </w:r>
      <w:r w:rsidRPr="00DE3CEA">
        <w:rPr>
          <w:iCs/>
          <w:color w:val="000000"/>
          <w:sz w:val="22"/>
        </w:rPr>
        <w:fldChar w:fldCharType="separate"/>
      </w:r>
      <w:r w:rsidRPr="00DE3CEA">
        <w:rPr>
          <w:iCs/>
          <w:noProof/>
          <w:color w:val="000000"/>
          <w:sz w:val="22"/>
        </w:rPr>
        <w:t>(March et al., 1999)</w:t>
      </w:r>
      <w:r w:rsidRPr="00DE3CEA">
        <w:rPr>
          <w:iCs/>
          <w:color w:val="000000"/>
          <w:sz w:val="22"/>
        </w:rPr>
        <w:fldChar w:fldCharType="end"/>
      </w:r>
      <w:r w:rsidRPr="00DE3CEA">
        <w:rPr>
          <w:color w:val="000000"/>
          <w:sz w:val="22"/>
        </w:rPr>
        <w:t>. SSS = Sensation Seeking Scale</w:t>
      </w:r>
      <w:r w:rsidRPr="00DE3CEA">
        <w:rPr>
          <w:sz w:val="22"/>
        </w:rPr>
        <w:t xml:space="preserve"> </w:t>
      </w:r>
      <w:r w:rsidRPr="00DE3CEA">
        <w:rPr>
          <w:sz w:val="22"/>
        </w:rPr>
        <w:fldChar w:fldCharType="begin" w:fldLock="1"/>
      </w:r>
      <w:r w:rsidR="009F1676">
        <w:rPr>
          <w:sz w:val="22"/>
        </w:rPr>
        <w:instrText>ADDIN CSL_CITATION {"citationItems":[{"id":"ITEM-1","itemData":{"DOI":"10.1007/BF00960609","ISBN":"0882-2689","ISSN":"08822689","abstract":"A revision of the Sensation Seeking Scale for Children (SSSC) was standardized and validated on a community sample of 660 elementary- and middle-school children and 168 clinic-referred male children. Factor analysis of the combined samples yielded three unique factors, entitled Thrill and Adventure Seeking, Drug and Alcohol Attitudes, and Social Disinhibition. Psychometric indices of reliability and validity were acceptable, but test-retest reliability was only moderate. Differences in SSSC scores according to sex, ethnic group, age, and intellectual status were similar to those found previously with the adult Sensation Seeking Scales. Consistent with documented relations between adult antisocial personality and sensation seeking, the SSSC distinguished boys with conduct disorder (CD) from clinic controls, but the SSSC scores of boys with CD did not differ from those of the community sample boys. Discussion includes suggestions as to the continued study of the assessment of sensation seeking in children .","author":[{"dropping-particle":"","family":"Russo","given":"Mary F.","non-dropping-particle":"","parse-names":false,"suffix":""},{"dropping-particle":"","family":"Stokes","given":"Garnett S.","non-dropping-particle":"","parse-names":false,"suffix":""},{"dropping-particle":"","family":"Lahey","given":"Benjamin B.","non-dropping-particle":"","parse-names":false,"suffix":""},{"dropping-particle":"","family":"Christ","given":"Mary Anne G","non-dropping-particle":"","parse-names":false,"suffix":""},{"dropping-particle":"","family":"McBurnett","given":"Keith","non-dropping-particle":"","parse-names":false,"suffix":""},{"dropping-particle":"","family":"Loeber","given":"Rolf","non-dropping-particle":"","parse-names":false,"suffix":""},{"dropping-particle":"","family":"Stouthamer-Loeber","given":"Magda","non-dropping-particle":"","parse-names":false,"suffix":""},{"dropping-particle":"","family":"Green","given":"Stephanie M.","non-dropping-particle":"","parse-names":false,"suffix":""}],"container-title":"Journal of Psychopathology and Behavioral Assessment","id":"ITEM-1","issue":"2","issued":{"date-parts":[["1993"]]},"page":"69-86","title":"A sensation seeking scale for children: Further refinement and psychometric development","type":"article-journal","volume":"15"},"uris":["http://www.mendeley.com/documents/?uuid=e6842367-0ad9-4c67-b015-1830c5d5275b"]}],"mendeley":{"formattedCitation":"(Russo et al., 1993)","plainTextFormattedCitation":"(Russo et al., 1993)","previouslyFormattedCitation":"(Russo et al., 1993)"},"properties":{"noteIndex":0},"schema":"https://github.com/citation-style-language/schema/raw/master/csl-citation.json"}</w:instrText>
      </w:r>
      <w:r w:rsidRPr="00DE3CEA">
        <w:rPr>
          <w:sz w:val="22"/>
        </w:rPr>
        <w:fldChar w:fldCharType="separate"/>
      </w:r>
      <w:r w:rsidRPr="00DE3CEA">
        <w:rPr>
          <w:noProof/>
          <w:sz w:val="22"/>
        </w:rPr>
        <w:t>(Russo et al., 1993)</w:t>
      </w:r>
      <w:r w:rsidRPr="00DE3CEA">
        <w:rPr>
          <w:sz w:val="22"/>
        </w:rPr>
        <w:fldChar w:fldCharType="end"/>
      </w:r>
      <w:r w:rsidRPr="00DE3CEA">
        <w:rPr>
          <w:sz w:val="22"/>
        </w:rPr>
        <w:t>, the cutoff correspond to at or above one standard deviation over the normative average</w:t>
      </w:r>
      <w:r w:rsidRPr="00DE3CEA">
        <w:rPr>
          <w:color w:val="000000"/>
          <w:sz w:val="22"/>
        </w:rPr>
        <w:t xml:space="preserve"> </w:t>
      </w:r>
      <w:r w:rsidRPr="00DE3CEA">
        <w:rPr>
          <w:color w:val="000000"/>
          <w:sz w:val="22"/>
        </w:rPr>
        <w:fldChar w:fldCharType="begin" w:fldLock="1"/>
      </w:r>
      <w:r w:rsidR="009F1676">
        <w:rPr>
          <w:color w:val="000000"/>
          <w:sz w:val="22"/>
        </w:rPr>
        <w:instrText>ADDIN CSL_CITATION {"citationItems":[{"id":"ITEM-1","itemData":{"DOI":"10.1016/j.drugalcdep.2003.08.003","ISBN":"0376-8716","ISSN":"03768716","PMID":"14643945","abstract":"Sensation seeking is central to research on the prevention of risky health behaviors, but current measures of sensation seeking are fairly long, thereby reducing their chances of inclusion in some research projects. Hence, we developed and evaluated two brief indices of sensation seeking, a four-item measure that retains the framework of the Sensation Seeking Scale-Form V (SSS-V) and a shorter two-item measure focusing on the risk-taking elements of sensation seeking. We compared the performance of the new indices with that of two well documented but longer measures of sensation seeking. The evaluation was based on data provided by more than 5000 teens and pre-teens in grades 7 through 11. Psychometric analyses revealed that the internal consistency of the two new measures was very good overall and across grade and sex categories. Additionally, the new indices correlated as expected with a series of risk and protective factors as well as tobacco, alcohol, and marijuana use. Both indices performed in ways remarkably similar to the established measures of sensation seeking and should prove useful for future research involving risky health behaviors. © 2003 Elsevier Ireland Ltd. All rights reserved.","author":[{"dropping-particle":"","family":"Stephenson","given":"Michael T.","non-dropping-particle":"","parse-names":false,"suffix":""},{"dropping-particle":"","family":"Hoyle","given":"Rick H.","non-dropping-particle":"","parse-names":false,"suffix":""},{"dropping-particle":"","family":"Palmgreen","given":"Philip","non-dropping-particle":"","parse-names":false,"suffix":""},{"dropping-particle":"","family":"Slater","given":"Michael D.","non-dropping-particle":"","parse-names":false,"suffix":""}],"container-title":"Drug and Alcohol Dependence","id":"ITEM-1","issue":"3","issued":{"date-parts":[["2003","12"]]},"page":"279-286","title":"Brief measures of sensation seeking for screening and large-scale surveys","type":"article-journal","volume":"72"},"uris":["http://www.mendeley.com/documents/?uuid=abb70183-5366-4a04-8e81-8381db3ae622"]}],"mendeley":{"formattedCitation":"(Stephenson, Hoyle, Palmgreen, &amp; Slater, 2003)","plainTextFormattedCitation":"(Stephenson, Hoyle, Palmgreen, &amp; Slater, 2003)","previouslyFormattedCitation":"(Stephenson, Hoyle, Palmgreen, &amp; Slater, 2003)"},"properties":{"noteIndex":0},"schema":"https://github.com/citation-style-language/schema/raw/master/csl-citation.json"}</w:instrText>
      </w:r>
      <w:r w:rsidRPr="00DE3CEA">
        <w:rPr>
          <w:color w:val="000000"/>
          <w:sz w:val="22"/>
        </w:rPr>
        <w:fldChar w:fldCharType="separate"/>
      </w:r>
      <w:r w:rsidRPr="00DE3CEA">
        <w:rPr>
          <w:noProof/>
          <w:color w:val="000000"/>
          <w:sz w:val="22"/>
        </w:rPr>
        <w:t>(Stephenson, Hoyle, Palmgreen, &amp; Slater, 2003)</w:t>
      </w:r>
      <w:r w:rsidRPr="00DE3CEA">
        <w:rPr>
          <w:color w:val="000000"/>
          <w:sz w:val="22"/>
        </w:rPr>
        <w:fldChar w:fldCharType="end"/>
      </w:r>
      <w:r w:rsidRPr="00DE3CEA">
        <w:rPr>
          <w:color w:val="000000"/>
          <w:sz w:val="22"/>
        </w:rPr>
        <w:t>. K-</w:t>
      </w:r>
      <w:proofErr w:type="spellStart"/>
      <w:r w:rsidRPr="00DE3CEA">
        <w:rPr>
          <w:color w:val="000000"/>
          <w:sz w:val="22"/>
        </w:rPr>
        <w:t>SADS</w:t>
      </w:r>
      <w:proofErr w:type="spellEnd"/>
      <w:r w:rsidRPr="00DE3CEA">
        <w:rPr>
          <w:color w:val="000000"/>
          <w:sz w:val="22"/>
        </w:rPr>
        <w:t xml:space="preserve"> = Schedule for Affective Disorders and Schizophrenia for School-Age Children</w:t>
      </w:r>
      <w:r w:rsidRPr="00DE3CEA">
        <w:rPr>
          <w:sz w:val="22"/>
        </w:rPr>
        <w:t xml:space="preserve"> </w:t>
      </w:r>
      <w:r w:rsidRPr="00DE3CEA">
        <w:rPr>
          <w:sz w:val="22"/>
        </w:rPr>
        <w:fldChar w:fldCharType="begin" w:fldLock="1"/>
      </w:r>
      <w:r w:rsidR="009F1676">
        <w:rPr>
          <w:sz w:val="22"/>
        </w:rPr>
        <w:instrText>ADDIN CSL_CITATION {"citationItems":[{"id":"ITEM-1","itemData":{"DOI":"10.1097/00004583-199707000-00021","ISBN":"9780874216561","ISSN":"0890-8567","PMID":"9204677","abstract":"OBJECTIVE To describe the psychometric properties of the Schedule for Affective Disorders and Schizophrenia for School-Age Children-Present and Lifetime version (K-SADS-PL) interview, which surveys additional disorders not assessed in prior K-SADS, contains improved probes and anchor points, includes diagnosis-specific impairment ratings, generates DSM-III-R and DSM-IV diagnoses, and divides symptoms surveyed into a screening interview and five diagnostic supplements. METHOD Subjects were 55 psychiatric outpatients and 11 normal controls (aged 7 through 17 years). Both parents and children were used as informants. Concurrent validity of the screen criteria and the K-SADS-PL diagnoses was assessed against standard self-report scales. Interrater (n = 15) and test-retest (n = 20) reliability data were also collected (mean retest interval: 18 days; range: 2 to 36 days). RESULTS Rating scale data support the concurrent validity of screens and K-SADS-PL diagnoses. Interrater agreement in scoring screens and diagnoses was high (range: 93% to 100%). Test-retest reliability kappa coefficients were in the excellent range for present and/or lifetime diagnoses of major depression, any bipolar, generalized anxiety, conduct, and oppositional defiant disorder (.77 to 1.00) and in the good range for present diagnoses of posttraumatic stress disorder and attention-deficit hyperactivity disorder (.63 to .67). CONCLUSION Results suggest the K-SADS-PL generates reliable and valid child psychiatric diagnoses.","author":[{"dropping-particle":"","family":"Kaufman","given":"J","non-dropping-particle":"","parse-names":false,"suffix":""},{"dropping-particle":"","family":"Birmaher","given":"B","non-dropping-particle":"","parse-names":false,"suffix":""},{"dropping-particle":"","family":"Brent","given":"D","non-dropping-particle":"","parse-names":false,"suffix":""},{"dropping-particle":"","family":"Rao","given":"U","non-dropping-particle":"","parse-names":false,"suffix":""},{"dropping-particle":"","family":"Flynn","given":"C","non-dropping-particle":"","parse-names":false,"suffix":""},{"dropping-particle":"","family":"Moreci","given":"P","non-dropping-particle":"","parse-names":false,"suffix":""},{"dropping-particle":"","family":"Williamson","given":"D","non-dropping-particle":"","parse-names":false,"suffix":""},{"dropping-particle":"","family":"Ryan","given":"N","non-dropping-particle":"","parse-names":false,"suffix":""}],"container-title":"Journal of the American Academy of Child and Adolescent Psychiatry","id":"ITEM-1","issue":"7","issued":{"date-parts":[["1997","7"]]},"page":"980-8","publisher":"The American Academy of Child and Adolescent Psychiatry","title":"Schedule for Affective Disorders and Schizophrenia for School-Age Children-Present and Lifetime Version (K-SADS-PL): initial reliability and validity data.","type":"article-journal","volume":"36"},"uris":["http://www.mendeley.com/documents/?uuid=9e54212c-fcc8-4dd2-bb77-1f2e15391289"]}],"mendeley":{"formattedCitation":"(Kaufman et al., 1997)","plainTextFormattedCitation":"(Kaufman et al., 1997)","previouslyFormattedCitation":"(Kaufman et al., 1997)"},"properties":{"noteIndex":0},"schema":"https://github.com/citation-style-language/schema/raw/master/csl-citation.json"}</w:instrText>
      </w:r>
      <w:r w:rsidRPr="00DE3CEA">
        <w:rPr>
          <w:sz w:val="22"/>
        </w:rPr>
        <w:fldChar w:fldCharType="separate"/>
      </w:r>
      <w:r w:rsidRPr="00DE3CEA">
        <w:rPr>
          <w:noProof/>
          <w:sz w:val="22"/>
        </w:rPr>
        <w:t>(Kaufman et al., 1997)</w:t>
      </w:r>
      <w:r w:rsidRPr="00DE3CEA">
        <w:rPr>
          <w:sz w:val="22"/>
        </w:rPr>
        <w:fldChar w:fldCharType="end"/>
      </w:r>
      <w:r w:rsidRPr="00DE3CEA">
        <w:rPr>
          <w:color w:val="000000"/>
          <w:sz w:val="22"/>
        </w:rPr>
        <w:t>. CBCL = Child Behavior Checklist</w:t>
      </w:r>
      <w:r w:rsidRPr="00DE3CEA">
        <w:rPr>
          <w:iCs/>
          <w:color w:val="000000"/>
          <w:sz w:val="22"/>
        </w:rPr>
        <w:t xml:space="preserve"> </w:t>
      </w:r>
      <w:r w:rsidRPr="00DE3CEA">
        <w:rPr>
          <w:iCs/>
          <w:color w:val="000000"/>
          <w:sz w:val="22"/>
        </w:rPr>
        <w:fldChar w:fldCharType="begin" w:fldLock="1"/>
      </w:r>
      <w:r w:rsidR="009F1676">
        <w:rPr>
          <w:iCs/>
          <w:color w:val="000000"/>
          <w:sz w:val="22"/>
        </w:rPr>
        <w:instrText>ADDIN CSL_CITATION {"citationItems":[{"id":"ITEM-1","itemData":{"DOI":"10.1016/j.sleep.2014.09.008","ISBN":"1389-9457","ISSN":"13899457","PMID":"25454985","abstract":"Objective: The Child Behavior Checklist (CBCL) is a commonly used measure of child and adolescent functioning, and a handful of items from the CBCL are often used to measure sleep functioning. The objective of this study was to examine the convergent, discriminant, and external validity of the individual CBCL sleep items and a CBCL sleep composite with validated measures of sleep functioning and youth adjustment as well as sleep disorder diagnoses. Methods: The participants were 383 youths (ages 6-18 years; 52.5% male; 80% non-Hispanic White) evaluated in a behavioral sleep medicine clinic. A sleep psychologist diagnosed sleep disorders following a comprehensive evaluation. Parents completed the CBCL in addition to the Children's Sleep Habits Questionnaire (CSHQ) and the Sleep Disorders Inventory for Students (SDIS). Adolescents completed the Adolescent Sleep-Wake Scale (ASWS). Results: Individual CBCL sleep items were generally associated with sleep scales on validated sleep measures and with sleep disorder diagnoses. The CBCL sleep composite was associated with total scores on each of the sleep-specific measures, as well as with the CBCL attention, social, internalizing, and externalizing problems scales. Conclusions: Although the CBCL is inadequate for thoroughly assessing sleep problems and disorders, sleep items on the CBCL may be useful in epidemiological/archival studies that lack a more comprehensive sleep measure or to clinicians who do not use other validated sleep measures in their typical practice. Individual CBCL sleep items may be optimal when assessing specific facets of sleep functioning whereas the CBCL sleep composite may be optimal when examining overall sleep functioning and external correlates of sleep.","author":[{"dropping-particle":"","family":"Becker","given":"Stephen P.","non-dropping-particle":"","parse-names":false,"suffix":""},{"dropping-particle":"","family":"Ramsey","given":"Rachelle R.","non-dropping-particle":"","parse-names":false,"suffix":""},{"dropping-particle":"","family":"Byars","given":"Kelly C.","non-dropping-particle":"","parse-names":false,"suffix":""}],"container-title":"Sleep Medicine","id":"ITEM-1","issue":"1","issued":{"date-parts":[["2015","1"]]},"page":"79-86","publisher":"Elsevier B.V.","title":"Convergent validity of the Child Behavior Checklist sleep items with validated sleep measures and sleep disorder diagnoses in children and adolescents referred to a sleep disorders center","type":"article-journal","volume":"16"},"uris":["http://www.mendeley.com/documents/?uuid=34b9f5da-7451-4614-a841-8d1ee968641a"]}],"mendeley":{"formattedCitation":"(Becker et al., 2015)","plainTextFormattedCitation":"(Becker et al., 2015)","previouslyFormattedCitation":"(Becker et al., 2015)"},"properties":{"noteIndex":0},"schema":"https://github.com/citation-style-language/schema/raw/master/csl-citation.json"}</w:instrText>
      </w:r>
      <w:r w:rsidRPr="00DE3CEA">
        <w:rPr>
          <w:iCs/>
          <w:color w:val="000000"/>
          <w:sz w:val="22"/>
        </w:rPr>
        <w:fldChar w:fldCharType="separate"/>
      </w:r>
      <w:r w:rsidRPr="00DE3CEA">
        <w:rPr>
          <w:iCs/>
          <w:noProof/>
          <w:color w:val="000000"/>
          <w:sz w:val="22"/>
        </w:rPr>
        <w:t>(Becker et al., 2015)</w:t>
      </w:r>
      <w:r w:rsidRPr="00DE3CEA">
        <w:rPr>
          <w:iCs/>
          <w:color w:val="000000"/>
          <w:sz w:val="22"/>
        </w:rPr>
        <w:fldChar w:fldCharType="end"/>
      </w:r>
      <w:r w:rsidRPr="00DE3CEA">
        <w:rPr>
          <w:color w:val="000000"/>
          <w:sz w:val="22"/>
        </w:rPr>
        <w:t xml:space="preserve">, </w:t>
      </w:r>
      <w:r w:rsidRPr="00DE3CEA">
        <w:rPr>
          <w:sz w:val="22"/>
        </w:rPr>
        <w:t>which asks the parent if their child does "worse", "average", or "better" than other teens their age or if the teen is "failing", "below average", " average" or "above average"</w:t>
      </w:r>
      <w:r w:rsidRPr="00DE3CEA">
        <w:rPr>
          <w:color w:val="000000"/>
          <w:sz w:val="22"/>
        </w:rPr>
        <w:t>. PHQ-15 = Physical Health Questionnaire-15, the cutoff corresponds to ‘minimal somatic symptom severity’ through to the ‘high somatic symptom severity’ range</w:t>
      </w:r>
      <w:r w:rsidRPr="00DE3CEA">
        <w:rPr>
          <w:sz w:val="22"/>
        </w:rPr>
        <w:t xml:space="preserve"> </w:t>
      </w:r>
      <w:r w:rsidRPr="00DE3CEA">
        <w:rPr>
          <w:sz w:val="22"/>
        </w:rPr>
        <w:fldChar w:fldCharType="begin" w:fldLock="1"/>
      </w:r>
      <w:r w:rsidR="009F1676">
        <w:rPr>
          <w:sz w:val="22"/>
        </w:rPr>
        <w:instrText>ADDIN CSL_CITATION {"citationItems":[{"id":"ITEM-1","itemData":{"DOI":"10.1097/00006842-200203000-00008","ISBN":"0033-3174","ISSN":"0033-3174","PMID":"11914441","abstract":"OBJECTIVE Somatization is prevalent in primary care and is associated with substantial functional impairment and healthcare utilization. However, instruments for identifying and monitoring somatic symptoms are few in number and not widely used. Therefore, we examined the validity of a brief measure of the severity of somatic symptoms. METHODS The Patient Health Questionnaire (PHQ) is a self-administered version of the PRIME-MD diagnostic instrument for common mental disorders. The PHQ-15 comprises 15 somatic symptoms from the PHQ, each symptom scored from 0 (\"not bothered at all\") to 2 (\"bothered a lot\"). The PHQ-15 was administered to 6000 patients in eight general internal medicine and family practice clinics and seven obstetrics-gynecology clinics. Outcomes included functional status as assessed by the 20-item Short-Form General Health Survey (SF-20), self-reported sick days and clinic visits, and symptom-related difficulty. RESULTS As PHQ-15 somatic symptom severity increased, there was a substantial stepwise decrement in functional status on all six SF-20 subscales. Also, symptom-related difficulty, sick days, and healthcare utilization increased. PHQ-15 scores of 5, 10, 15, represented cutoff points for low, medium, and high somatic symptom severity, respectively. Somatic and depressive symptom severity had differential effects on outcomes. Results were similar in the primary care and obstetrics-gynecology samples. CONCLUSIONS The PHQ-15 is a brief, self-administered questionnaire that may be useful in screening for somatization and in monitoring somatic symptom severity in clinical practice and research.","author":[{"dropping-particle":"","family":"Kroenke","given":"Kurt","non-dropping-particle":"","parse-names":false,"suffix":""},{"dropping-particle":"","family":"Spitzer","given":"Robert L.","non-dropping-particle":"","parse-names":false,"suffix":""},{"dropping-particle":"","family":"Williams","given":"Janet B. W.","non-dropping-particle":"","parse-names":false,"suffix":""}],"container-title":"Psychosomatic medicine","id":"ITEM-1","issue":"2","issued":{"date-parts":[["2002"]]},"page":"258-66","title":"The PHQ-15: validity of a new measure for evaluating the severity of somatic symptoms.","type":"article-journal","volume":"64"},"uris":["http://www.mendeley.com/documents/?uuid=a22e846f-ccbd-4771-addf-7a4ada1d1a53"]}],"mendeley":{"formattedCitation":"(Kroenke et al., 2002)","plainTextFormattedCitation":"(Kroenke et al., 2002)","previouslyFormattedCitation":"(Kroenke et al., 2002)"},"properties":{"noteIndex":0},"schema":"https://github.com/citation-style-language/schema/raw/master/csl-citation.json"}</w:instrText>
      </w:r>
      <w:r w:rsidRPr="00DE3CEA">
        <w:rPr>
          <w:sz w:val="22"/>
        </w:rPr>
        <w:fldChar w:fldCharType="separate"/>
      </w:r>
      <w:r w:rsidRPr="00DE3CEA">
        <w:rPr>
          <w:noProof/>
          <w:sz w:val="22"/>
        </w:rPr>
        <w:t>(Kroenke et al., 2002)</w:t>
      </w:r>
      <w:r w:rsidRPr="00DE3CEA">
        <w:rPr>
          <w:sz w:val="22"/>
        </w:rPr>
        <w:fldChar w:fldCharType="end"/>
      </w:r>
      <w:r w:rsidRPr="00DE3CEA">
        <w:rPr>
          <w:color w:val="000000"/>
          <w:sz w:val="22"/>
        </w:rPr>
        <w:t xml:space="preserve">. BMI = Body Mass Index, the cutoff corresponds to 1 standard deviation above the mean. </w:t>
      </w:r>
    </w:p>
    <w:p w14:paraId="5B075DDA" w14:textId="77777777" w:rsidR="00616F2C" w:rsidRPr="00DE3CEA" w:rsidRDefault="00616F2C" w:rsidP="00616F2C"/>
    <w:p w14:paraId="45205A2E" w14:textId="053077E6" w:rsidR="00616F2C" w:rsidRPr="00616F2C" w:rsidRDefault="00616F2C" w:rsidP="00616F2C">
      <w:pPr>
        <w:sectPr w:rsidR="00616F2C" w:rsidRPr="00616F2C" w:rsidSect="005E63E4">
          <w:pgSz w:w="12240" w:h="15840"/>
          <w:pgMar w:top="1440" w:right="1440" w:bottom="1440" w:left="1440" w:header="720" w:footer="720" w:gutter="0"/>
          <w:cols w:space="720"/>
          <w:docGrid w:linePitch="360"/>
        </w:sectPr>
      </w:pPr>
    </w:p>
    <w:p w14:paraId="71ED85DC" w14:textId="77777777" w:rsidR="005E63E4" w:rsidRPr="00DE3CEA" w:rsidRDefault="005E63E4" w:rsidP="005E63E4">
      <w:pPr>
        <w:contextualSpacing/>
      </w:pPr>
      <w:r w:rsidRPr="00DE3CEA">
        <w:lastRenderedPageBreak/>
        <w:t xml:space="preserve">Table 2. </w:t>
      </w:r>
    </w:p>
    <w:p w14:paraId="40352FCC" w14:textId="77777777" w:rsidR="005E63E4" w:rsidRPr="00DE3CEA" w:rsidRDefault="005E63E4" w:rsidP="005E63E4">
      <w:pPr>
        <w:contextualSpacing/>
      </w:pPr>
    </w:p>
    <w:p w14:paraId="53778E15" w14:textId="77777777" w:rsidR="005E63E4" w:rsidRPr="00DE3CEA" w:rsidRDefault="005E63E4" w:rsidP="005E63E4">
      <w:pPr>
        <w:contextualSpacing/>
        <w:outlineLvl w:val="0"/>
        <w:rPr>
          <w:i/>
        </w:rPr>
      </w:pPr>
      <w:r w:rsidRPr="00DE3CEA">
        <w:rPr>
          <w:i/>
        </w:rPr>
        <w:t>Demographic Variables and Sample Characteristics.</w:t>
      </w:r>
    </w:p>
    <w:p w14:paraId="2C92A7D4" w14:textId="77777777" w:rsidR="005E63E4" w:rsidRPr="00DE3CEA" w:rsidRDefault="005E63E4" w:rsidP="005E63E4">
      <w:pPr>
        <w:contextualSpacing/>
        <w:rPr>
          <w:i/>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1658"/>
        <w:gridCol w:w="1658"/>
        <w:gridCol w:w="1658"/>
      </w:tblGrid>
      <w:tr w:rsidR="005E63E4" w:rsidRPr="00DE3CEA" w14:paraId="0B63521E" w14:textId="77777777" w:rsidTr="00F54ACD">
        <w:trPr>
          <w:trHeight w:val="473"/>
        </w:trPr>
        <w:tc>
          <w:tcPr>
            <w:tcW w:w="4386" w:type="dxa"/>
            <w:tcBorders>
              <w:top w:val="single" w:sz="4" w:space="0" w:color="auto"/>
              <w:bottom w:val="single" w:sz="4" w:space="0" w:color="auto"/>
            </w:tcBorders>
            <w:vAlign w:val="center"/>
          </w:tcPr>
          <w:p w14:paraId="113D2E95" w14:textId="77777777" w:rsidR="005E63E4" w:rsidRPr="00DE3CEA" w:rsidRDefault="005E63E4" w:rsidP="00F54ACD">
            <w:pPr>
              <w:contextualSpacing/>
              <w:jc w:val="center"/>
            </w:pPr>
            <w:r w:rsidRPr="00DE3CEA">
              <w:t>Characteristic</w:t>
            </w:r>
          </w:p>
        </w:tc>
        <w:tc>
          <w:tcPr>
            <w:tcW w:w="1658" w:type="dxa"/>
            <w:tcBorders>
              <w:top w:val="single" w:sz="4" w:space="0" w:color="auto"/>
              <w:bottom w:val="single" w:sz="4" w:space="0" w:color="auto"/>
            </w:tcBorders>
            <w:vAlign w:val="center"/>
          </w:tcPr>
          <w:p w14:paraId="7330D74D" w14:textId="77777777" w:rsidR="005E63E4" w:rsidRPr="00DE3CEA" w:rsidRDefault="005E63E4" w:rsidP="00F54ACD">
            <w:pPr>
              <w:contextualSpacing/>
              <w:jc w:val="center"/>
            </w:pPr>
            <w:r w:rsidRPr="00DE3CEA">
              <w:t>Whole Sample (</w:t>
            </w:r>
            <w:r w:rsidRPr="00DE3CEA">
              <w:rPr>
                <w:i/>
              </w:rPr>
              <w:t>N</w:t>
            </w:r>
            <w:r w:rsidRPr="00DE3CEA">
              <w:t>=176)</w:t>
            </w:r>
          </w:p>
        </w:tc>
        <w:tc>
          <w:tcPr>
            <w:tcW w:w="1658" w:type="dxa"/>
            <w:tcBorders>
              <w:top w:val="single" w:sz="4" w:space="0" w:color="auto"/>
              <w:bottom w:val="single" w:sz="4" w:space="0" w:color="auto"/>
            </w:tcBorders>
            <w:vAlign w:val="center"/>
          </w:tcPr>
          <w:p w14:paraId="33C0A89F" w14:textId="77777777" w:rsidR="005E63E4" w:rsidRPr="00DE3CEA" w:rsidRDefault="005E63E4" w:rsidP="00F54ACD">
            <w:pPr>
              <w:contextualSpacing/>
              <w:jc w:val="center"/>
            </w:pPr>
            <w:r w:rsidRPr="00DE3CEA">
              <w:t>TranS-C</w:t>
            </w:r>
          </w:p>
          <w:p w14:paraId="0111BB26" w14:textId="77777777" w:rsidR="005E63E4" w:rsidRPr="00DE3CEA" w:rsidRDefault="005E63E4" w:rsidP="00F54ACD">
            <w:pPr>
              <w:contextualSpacing/>
              <w:jc w:val="center"/>
            </w:pPr>
            <w:r w:rsidRPr="00DE3CEA">
              <w:t>(</w:t>
            </w:r>
            <w:r w:rsidRPr="00DE3CEA">
              <w:rPr>
                <w:i/>
              </w:rPr>
              <w:t>N</w:t>
            </w:r>
            <w:r w:rsidRPr="00DE3CEA">
              <w:t>=89)</w:t>
            </w:r>
          </w:p>
        </w:tc>
        <w:tc>
          <w:tcPr>
            <w:tcW w:w="1658" w:type="dxa"/>
            <w:tcBorders>
              <w:top w:val="single" w:sz="4" w:space="0" w:color="auto"/>
              <w:bottom w:val="single" w:sz="4" w:space="0" w:color="auto"/>
            </w:tcBorders>
            <w:vAlign w:val="center"/>
          </w:tcPr>
          <w:p w14:paraId="20455D0D" w14:textId="77777777" w:rsidR="005E63E4" w:rsidRPr="00DE3CEA" w:rsidRDefault="005E63E4" w:rsidP="00F54ACD">
            <w:pPr>
              <w:contextualSpacing/>
              <w:jc w:val="center"/>
            </w:pPr>
            <w:r w:rsidRPr="00DE3CEA">
              <w:t>PE</w:t>
            </w:r>
          </w:p>
          <w:p w14:paraId="200F70B3" w14:textId="77777777" w:rsidR="005E63E4" w:rsidRPr="00DE3CEA" w:rsidRDefault="005E63E4" w:rsidP="00F54ACD">
            <w:pPr>
              <w:contextualSpacing/>
              <w:jc w:val="center"/>
            </w:pPr>
            <w:r w:rsidRPr="00DE3CEA">
              <w:t>(</w:t>
            </w:r>
            <w:r w:rsidRPr="00DE3CEA">
              <w:rPr>
                <w:i/>
              </w:rPr>
              <w:t>N</w:t>
            </w:r>
            <w:r w:rsidRPr="00DE3CEA">
              <w:t>=87)</w:t>
            </w:r>
          </w:p>
        </w:tc>
      </w:tr>
      <w:tr w:rsidR="005E63E4" w:rsidRPr="00DE3CEA" w14:paraId="7F438A44" w14:textId="77777777" w:rsidTr="00F54ACD">
        <w:trPr>
          <w:trHeight w:val="243"/>
        </w:trPr>
        <w:tc>
          <w:tcPr>
            <w:tcW w:w="4386" w:type="dxa"/>
            <w:tcBorders>
              <w:top w:val="single" w:sz="4" w:space="0" w:color="auto"/>
            </w:tcBorders>
          </w:tcPr>
          <w:p w14:paraId="7C5204E0" w14:textId="77777777" w:rsidR="005E63E4" w:rsidRPr="00DE3CEA" w:rsidRDefault="005E63E4" w:rsidP="00F54ACD">
            <w:pPr>
              <w:contextualSpacing/>
              <w:rPr>
                <w:u w:val="single"/>
              </w:rPr>
            </w:pPr>
          </w:p>
        </w:tc>
        <w:tc>
          <w:tcPr>
            <w:tcW w:w="1658" w:type="dxa"/>
            <w:tcBorders>
              <w:top w:val="single" w:sz="4" w:space="0" w:color="auto"/>
            </w:tcBorders>
          </w:tcPr>
          <w:p w14:paraId="719201DE" w14:textId="77777777" w:rsidR="005E63E4" w:rsidRPr="00DE3CEA" w:rsidRDefault="005E63E4" w:rsidP="00F54ACD">
            <w:pPr>
              <w:contextualSpacing/>
              <w:jc w:val="center"/>
              <w:rPr>
                <w:i/>
                <w:u w:val="single"/>
              </w:rPr>
            </w:pPr>
            <w:r w:rsidRPr="00DE3CEA">
              <w:rPr>
                <w:i/>
                <w:u w:val="single"/>
              </w:rPr>
              <w:t>N (%)</w:t>
            </w:r>
          </w:p>
        </w:tc>
        <w:tc>
          <w:tcPr>
            <w:tcW w:w="1658" w:type="dxa"/>
            <w:tcBorders>
              <w:top w:val="single" w:sz="4" w:space="0" w:color="auto"/>
            </w:tcBorders>
          </w:tcPr>
          <w:p w14:paraId="095E86E1" w14:textId="77777777" w:rsidR="005E63E4" w:rsidRPr="00DE3CEA" w:rsidRDefault="005E63E4" w:rsidP="00F54ACD">
            <w:pPr>
              <w:contextualSpacing/>
              <w:jc w:val="center"/>
              <w:rPr>
                <w:b/>
                <w:u w:val="single"/>
              </w:rPr>
            </w:pPr>
            <w:r w:rsidRPr="00DE3CEA">
              <w:rPr>
                <w:i/>
                <w:u w:val="single"/>
              </w:rPr>
              <w:t>N (%)</w:t>
            </w:r>
          </w:p>
        </w:tc>
        <w:tc>
          <w:tcPr>
            <w:tcW w:w="1658" w:type="dxa"/>
            <w:tcBorders>
              <w:top w:val="single" w:sz="4" w:space="0" w:color="auto"/>
            </w:tcBorders>
          </w:tcPr>
          <w:p w14:paraId="0A692881" w14:textId="77777777" w:rsidR="005E63E4" w:rsidRPr="00DE3CEA" w:rsidRDefault="005E63E4" w:rsidP="00F54ACD">
            <w:pPr>
              <w:contextualSpacing/>
              <w:jc w:val="center"/>
              <w:rPr>
                <w:b/>
                <w:u w:val="single"/>
              </w:rPr>
            </w:pPr>
            <w:r w:rsidRPr="00DE3CEA">
              <w:rPr>
                <w:i/>
                <w:u w:val="single"/>
              </w:rPr>
              <w:t>N (%)</w:t>
            </w:r>
          </w:p>
        </w:tc>
      </w:tr>
      <w:tr w:rsidR="005E63E4" w:rsidRPr="00DE3CEA" w14:paraId="19FB9E55" w14:textId="77777777" w:rsidTr="00F54ACD">
        <w:trPr>
          <w:trHeight w:val="250"/>
        </w:trPr>
        <w:tc>
          <w:tcPr>
            <w:tcW w:w="4386" w:type="dxa"/>
          </w:tcPr>
          <w:p w14:paraId="5D1C55C0" w14:textId="77777777" w:rsidR="005E63E4" w:rsidRPr="00DE3CEA" w:rsidRDefault="005E63E4" w:rsidP="00F54ACD">
            <w:pPr>
              <w:contextualSpacing/>
            </w:pPr>
            <w:r w:rsidRPr="00DE3CEA">
              <w:t>Female</w:t>
            </w:r>
          </w:p>
        </w:tc>
        <w:tc>
          <w:tcPr>
            <w:tcW w:w="1658" w:type="dxa"/>
          </w:tcPr>
          <w:p w14:paraId="23129B1E" w14:textId="77777777" w:rsidR="005E63E4" w:rsidRPr="00DE3CEA" w:rsidRDefault="005E63E4" w:rsidP="00F54ACD">
            <w:pPr>
              <w:contextualSpacing/>
              <w:jc w:val="center"/>
            </w:pPr>
            <w:r w:rsidRPr="00DE3CEA">
              <w:t>102 (58)</w:t>
            </w:r>
          </w:p>
        </w:tc>
        <w:tc>
          <w:tcPr>
            <w:tcW w:w="1658" w:type="dxa"/>
          </w:tcPr>
          <w:p w14:paraId="1BD584C0" w14:textId="77777777" w:rsidR="005E63E4" w:rsidRPr="00DE3CEA" w:rsidRDefault="005E63E4" w:rsidP="00F54ACD">
            <w:pPr>
              <w:contextualSpacing/>
              <w:jc w:val="center"/>
            </w:pPr>
            <w:r w:rsidRPr="00DE3CEA">
              <w:t>49(55)</w:t>
            </w:r>
          </w:p>
        </w:tc>
        <w:tc>
          <w:tcPr>
            <w:tcW w:w="1658" w:type="dxa"/>
          </w:tcPr>
          <w:p w14:paraId="69526BBA" w14:textId="77777777" w:rsidR="005E63E4" w:rsidRPr="00DE3CEA" w:rsidRDefault="005E63E4" w:rsidP="00F54ACD">
            <w:pPr>
              <w:contextualSpacing/>
              <w:jc w:val="center"/>
            </w:pPr>
            <w:r w:rsidRPr="00DE3CEA">
              <w:t>53(61)</w:t>
            </w:r>
          </w:p>
        </w:tc>
      </w:tr>
      <w:tr w:rsidR="005E63E4" w:rsidRPr="00DE3CEA" w14:paraId="4721CFF8" w14:textId="77777777" w:rsidTr="00F54ACD">
        <w:trPr>
          <w:trHeight w:val="226"/>
        </w:trPr>
        <w:tc>
          <w:tcPr>
            <w:tcW w:w="4386" w:type="dxa"/>
          </w:tcPr>
          <w:p w14:paraId="64F5DB99" w14:textId="77777777" w:rsidR="005E63E4" w:rsidRPr="00DE3CEA" w:rsidRDefault="005E63E4" w:rsidP="00F54ACD">
            <w:pPr>
              <w:contextualSpacing/>
            </w:pPr>
            <w:r w:rsidRPr="00DE3CEA">
              <w:t>Hispanic/Latino</w:t>
            </w:r>
          </w:p>
        </w:tc>
        <w:tc>
          <w:tcPr>
            <w:tcW w:w="1658" w:type="dxa"/>
          </w:tcPr>
          <w:p w14:paraId="46F669AD" w14:textId="77777777" w:rsidR="005E63E4" w:rsidRPr="00DE3CEA" w:rsidRDefault="005E63E4" w:rsidP="00F54ACD">
            <w:pPr>
              <w:contextualSpacing/>
              <w:jc w:val="center"/>
            </w:pPr>
            <w:r w:rsidRPr="00DE3CEA">
              <w:t>27(15)</w:t>
            </w:r>
          </w:p>
        </w:tc>
        <w:tc>
          <w:tcPr>
            <w:tcW w:w="1658" w:type="dxa"/>
          </w:tcPr>
          <w:p w14:paraId="7640FDAB" w14:textId="77777777" w:rsidR="005E63E4" w:rsidRPr="00DE3CEA" w:rsidRDefault="005E63E4" w:rsidP="00F54ACD">
            <w:pPr>
              <w:contextualSpacing/>
              <w:jc w:val="center"/>
            </w:pPr>
            <w:r w:rsidRPr="00DE3CEA">
              <w:t>14(16)</w:t>
            </w:r>
          </w:p>
        </w:tc>
        <w:tc>
          <w:tcPr>
            <w:tcW w:w="1658" w:type="dxa"/>
          </w:tcPr>
          <w:p w14:paraId="36507192" w14:textId="77777777" w:rsidR="005E63E4" w:rsidRPr="00DE3CEA" w:rsidRDefault="005E63E4" w:rsidP="00F54ACD">
            <w:pPr>
              <w:contextualSpacing/>
              <w:jc w:val="center"/>
            </w:pPr>
            <w:r w:rsidRPr="00DE3CEA">
              <w:t>13(15)</w:t>
            </w:r>
          </w:p>
        </w:tc>
      </w:tr>
      <w:tr w:rsidR="005E63E4" w:rsidRPr="00DE3CEA" w14:paraId="7BC3E017" w14:textId="77777777" w:rsidTr="00F54ACD">
        <w:trPr>
          <w:trHeight w:val="243"/>
        </w:trPr>
        <w:tc>
          <w:tcPr>
            <w:tcW w:w="4386" w:type="dxa"/>
          </w:tcPr>
          <w:p w14:paraId="77344671" w14:textId="77777777" w:rsidR="005E63E4" w:rsidRPr="00DE3CEA" w:rsidRDefault="005E63E4" w:rsidP="00F54ACD">
            <w:pPr>
              <w:contextualSpacing/>
            </w:pPr>
            <w:r w:rsidRPr="00DE3CEA">
              <w:t>Race</w:t>
            </w:r>
          </w:p>
        </w:tc>
        <w:tc>
          <w:tcPr>
            <w:tcW w:w="1658" w:type="dxa"/>
          </w:tcPr>
          <w:p w14:paraId="2B7F45BA" w14:textId="77777777" w:rsidR="005E63E4" w:rsidRPr="00DE3CEA" w:rsidRDefault="005E63E4" w:rsidP="00F54ACD">
            <w:pPr>
              <w:contextualSpacing/>
              <w:jc w:val="center"/>
            </w:pPr>
          </w:p>
        </w:tc>
        <w:tc>
          <w:tcPr>
            <w:tcW w:w="1658" w:type="dxa"/>
          </w:tcPr>
          <w:p w14:paraId="4CA2C0F8" w14:textId="77777777" w:rsidR="005E63E4" w:rsidRPr="00DE3CEA" w:rsidRDefault="005E63E4" w:rsidP="00F54ACD">
            <w:pPr>
              <w:contextualSpacing/>
              <w:jc w:val="center"/>
            </w:pPr>
          </w:p>
        </w:tc>
        <w:tc>
          <w:tcPr>
            <w:tcW w:w="1658" w:type="dxa"/>
          </w:tcPr>
          <w:p w14:paraId="1AD1C01D" w14:textId="77777777" w:rsidR="005E63E4" w:rsidRPr="00DE3CEA" w:rsidRDefault="005E63E4" w:rsidP="00F54ACD">
            <w:pPr>
              <w:contextualSpacing/>
              <w:jc w:val="center"/>
            </w:pPr>
          </w:p>
        </w:tc>
      </w:tr>
      <w:tr w:rsidR="005E63E4" w:rsidRPr="00DE3CEA" w14:paraId="7A22B32F" w14:textId="77777777" w:rsidTr="00F54ACD">
        <w:trPr>
          <w:trHeight w:val="243"/>
        </w:trPr>
        <w:tc>
          <w:tcPr>
            <w:tcW w:w="4386" w:type="dxa"/>
          </w:tcPr>
          <w:p w14:paraId="2478BE1B" w14:textId="77777777" w:rsidR="005E63E4" w:rsidRPr="00DE3CEA" w:rsidRDefault="005E63E4" w:rsidP="00F54ACD">
            <w:pPr>
              <w:ind w:left="165"/>
              <w:contextualSpacing/>
            </w:pPr>
            <w:r w:rsidRPr="00DE3CEA">
              <w:t>Caucasian</w:t>
            </w:r>
          </w:p>
        </w:tc>
        <w:tc>
          <w:tcPr>
            <w:tcW w:w="1658" w:type="dxa"/>
          </w:tcPr>
          <w:p w14:paraId="4721CD14" w14:textId="77777777" w:rsidR="005E63E4" w:rsidRPr="00DE3CEA" w:rsidRDefault="005E63E4" w:rsidP="00F54ACD">
            <w:pPr>
              <w:contextualSpacing/>
              <w:jc w:val="center"/>
            </w:pPr>
            <w:r w:rsidRPr="00DE3CEA">
              <w:t>114 (65)</w:t>
            </w:r>
          </w:p>
        </w:tc>
        <w:tc>
          <w:tcPr>
            <w:tcW w:w="1658" w:type="dxa"/>
          </w:tcPr>
          <w:p w14:paraId="76C545BD" w14:textId="77777777" w:rsidR="005E63E4" w:rsidRPr="00DE3CEA" w:rsidRDefault="005E63E4" w:rsidP="00F54ACD">
            <w:pPr>
              <w:contextualSpacing/>
              <w:jc w:val="center"/>
            </w:pPr>
            <w:r w:rsidRPr="00DE3CEA">
              <w:t>58 (65)</w:t>
            </w:r>
          </w:p>
        </w:tc>
        <w:tc>
          <w:tcPr>
            <w:tcW w:w="1658" w:type="dxa"/>
          </w:tcPr>
          <w:p w14:paraId="09115CD3" w14:textId="77777777" w:rsidR="005E63E4" w:rsidRPr="00DE3CEA" w:rsidRDefault="005E63E4" w:rsidP="00F54ACD">
            <w:pPr>
              <w:contextualSpacing/>
              <w:jc w:val="center"/>
            </w:pPr>
            <w:r w:rsidRPr="00DE3CEA">
              <w:t>56 (64)</w:t>
            </w:r>
          </w:p>
        </w:tc>
      </w:tr>
      <w:tr w:rsidR="005E63E4" w:rsidRPr="00DE3CEA" w14:paraId="4447CCF5" w14:textId="77777777" w:rsidTr="00F54ACD">
        <w:trPr>
          <w:trHeight w:val="243"/>
        </w:trPr>
        <w:tc>
          <w:tcPr>
            <w:tcW w:w="4386" w:type="dxa"/>
          </w:tcPr>
          <w:p w14:paraId="20411C8B" w14:textId="77777777" w:rsidR="005E63E4" w:rsidRPr="00DE3CEA" w:rsidRDefault="005E63E4" w:rsidP="00F54ACD">
            <w:pPr>
              <w:ind w:left="165"/>
              <w:contextualSpacing/>
            </w:pPr>
            <w:r w:rsidRPr="00DE3CEA">
              <w:t>African American/Black</w:t>
            </w:r>
          </w:p>
        </w:tc>
        <w:tc>
          <w:tcPr>
            <w:tcW w:w="1658" w:type="dxa"/>
          </w:tcPr>
          <w:p w14:paraId="7CF0CDBE" w14:textId="77777777" w:rsidR="005E63E4" w:rsidRPr="00DE3CEA" w:rsidRDefault="005E63E4" w:rsidP="00F54ACD">
            <w:pPr>
              <w:contextualSpacing/>
              <w:jc w:val="center"/>
            </w:pPr>
            <w:r w:rsidRPr="00DE3CEA">
              <w:t>12 (7)</w:t>
            </w:r>
          </w:p>
        </w:tc>
        <w:tc>
          <w:tcPr>
            <w:tcW w:w="1658" w:type="dxa"/>
          </w:tcPr>
          <w:p w14:paraId="3D11FCA4" w14:textId="77777777" w:rsidR="005E63E4" w:rsidRPr="00DE3CEA" w:rsidRDefault="005E63E4" w:rsidP="00F54ACD">
            <w:pPr>
              <w:contextualSpacing/>
              <w:jc w:val="center"/>
            </w:pPr>
            <w:r w:rsidRPr="00DE3CEA">
              <w:t>4 (4)</w:t>
            </w:r>
          </w:p>
        </w:tc>
        <w:tc>
          <w:tcPr>
            <w:tcW w:w="1658" w:type="dxa"/>
          </w:tcPr>
          <w:p w14:paraId="7615FAEA" w14:textId="77777777" w:rsidR="005E63E4" w:rsidRPr="00DE3CEA" w:rsidRDefault="005E63E4" w:rsidP="00F54ACD">
            <w:pPr>
              <w:contextualSpacing/>
              <w:jc w:val="center"/>
            </w:pPr>
            <w:r w:rsidRPr="00DE3CEA">
              <w:t>8 (9)</w:t>
            </w:r>
          </w:p>
        </w:tc>
      </w:tr>
      <w:tr w:rsidR="005E63E4" w:rsidRPr="00DE3CEA" w14:paraId="12170586" w14:textId="77777777" w:rsidTr="00F54ACD">
        <w:trPr>
          <w:trHeight w:val="243"/>
        </w:trPr>
        <w:tc>
          <w:tcPr>
            <w:tcW w:w="4386" w:type="dxa"/>
          </w:tcPr>
          <w:p w14:paraId="118EA6DA" w14:textId="77777777" w:rsidR="005E63E4" w:rsidRPr="00DE3CEA" w:rsidRDefault="005E63E4" w:rsidP="00F54ACD">
            <w:pPr>
              <w:ind w:firstLine="165"/>
              <w:contextualSpacing/>
            </w:pPr>
            <w:r w:rsidRPr="00DE3CEA">
              <w:t>American Indian or Alaska Native</w:t>
            </w:r>
          </w:p>
        </w:tc>
        <w:tc>
          <w:tcPr>
            <w:tcW w:w="1658" w:type="dxa"/>
          </w:tcPr>
          <w:p w14:paraId="28A3B67D" w14:textId="77777777" w:rsidR="005E63E4" w:rsidRPr="00DE3CEA" w:rsidRDefault="005E63E4" w:rsidP="00F54ACD">
            <w:pPr>
              <w:contextualSpacing/>
              <w:jc w:val="center"/>
            </w:pPr>
            <w:r w:rsidRPr="00DE3CEA">
              <w:t>0 (0)</w:t>
            </w:r>
          </w:p>
        </w:tc>
        <w:tc>
          <w:tcPr>
            <w:tcW w:w="1658" w:type="dxa"/>
          </w:tcPr>
          <w:p w14:paraId="2B9CA337" w14:textId="77777777" w:rsidR="005E63E4" w:rsidRPr="00DE3CEA" w:rsidRDefault="005E63E4" w:rsidP="00F54ACD">
            <w:pPr>
              <w:contextualSpacing/>
              <w:jc w:val="center"/>
            </w:pPr>
            <w:r w:rsidRPr="00DE3CEA">
              <w:t>0 (0)</w:t>
            </w:r>
          </w:p>
        </w:tc>
        <w:tc>
          <w:tcPr>
            <w:tcW w:w="1658" w:type="dxa"/>
          </w:tcPr>
          <w:p w14:paraId="332E4B99" w14:textId="77777777" w:rsidR="005E63E4" w:rsidRPr="00DE3CEA" w:rsidRDefault="005E63E4" w:rsidP="00F54ACD">
            <w:pPr>
              <w:contextualSpacing/>
              <w:jc w:val="center"/>
            </w:pPr>
            <w:r w:rsidRPr="00DE3CEA">
              <w:t>0 (0)</w:t>
            </w:r>
          </w:p>
        </w:tc>
      </w:tr>
      <w:tr w:rsidR="005E63E4" w:rsidRPr="00DE3CEA" w14:paraId="6A01141C" w14:textId="77777777" w:rsidTr="00F54ACD">
        <w:trPr>
          <w:trHeight w:val="243"/>
        </w:trPr>
        <w:tc>
          <w:tcPr>
            <w:tcW w:w="4386" w:type="dxa"/>
          </w:tcPr>
          <w:p w14:paraId="183BB076" w14:textId="77777777" w:rsidR="005E63E4" w:rsidRPr="00DE3CEA" w:rsidRDefault="005E63E4" w:rsidP="00F54ACD">
            <w:pPr>
              <w:ind w:firstLine="165"/>
              <w:contextualSpacing/>
            </w:pPr>
            <w:r w:rsidRPr="00DE3CEA">
              <w:t>Asian</w:t>
            </w:r>
          </w:p>
        </w:tc>
        <w:tc>
          <w:tcPr>
            <w:tcW w:w="1658" w:type="dxa"/>
          </w:tcPr>
          <w:p w14:paraId="44ED5CFC" w14:textId="77777777" w:rsidR="005E63E4" w:rsidRPr="00DE3CEA" w:rsidRDefault="005E63E4" w:rsidP="00F54ACD">
            <w:pPr>
              <w:contextualSpacing/>
              <w:jc w:val="center"/>
            </w:pPr>
            <w:r w:rsidRPr="00DE3CEA">
              <w:t>18 (10)</w:t>
            </w:r>
          </w:p>
        </w:tc>
        <w:tc>
          <w:tcPr>
            <w:tcW w:w="1658" w:type="dxa"/>
          </w:tcPr>
          <w:p w14:paraId="6114F946" w14:textId="77777777" w:rsidR="005E63E4" w:rsidRPr="00DE3CEA" w:rsidRDefault="005E63E4" w:rsidP="00F54ACD">
            <w:pPr>
              <w:contextualSpacing/>
              <w:jc w:val="center"/>
            </w:pPr>
            <w:r w:rsidRPr="00DE3CEA">
              <w:t>11 (12)</w:t>
            </w:r>
          </w:p>
        </w:tc>
        <w:tc>
          <w:tcPr>
            <w:tcW w:w="1658" w:type="dxa"/>
          </w:tcPr>
          <w:p w14:paraId="7CABE870" w14:textId="77777777" w:rsidR="005E63E4" w:rsidRPr="00DE3CEA" w:rsidRDefault="005E63E4" w:rsidP="00F54ACD">
            <w:pPr>
              <w:contextualSpacing/>
              <w:jc w:val="center"/>
            </w:pPr>
            <w:r w:rsidRPr="00DE3CEA">
              <w:t>7 (8)</w:t>
            </w:r>
          </w:p>
        </w:tc>
      </w:tr>
      <w:tr w:rsidR="005E63E4" w:rsidRPr="00DE3CEA" w14:paraId="5E29D3AB" w14:textId="77777777" w:rsidTr="00F54ACD">
        <w:trPr>
          <w:trHeight w:val="243"/>
        </w:trPr>
        <w:tc>
          <w:tcPr>
            <w:tcW w:w="4386" w:type="dxa"/>
          </w:tcPr>
          <w:p w14:paraId="466D6717" w14:textId="77777777" w:rsidR="005E63E4" w:rsidRPr="00DE3CEA" w:rsidRDefault="005E63E4" w:rsidP="00F54ACD">
            <w:pPr>
              <w:ind w:left="165"/>
              <w:contextualSpacing/>
            </w:pPr>
            <w:r w:rsidRPr="00DE3CEA">
              <w:t>Native Hawaiian/</w:t>
            </w:r>
            <w:proofErr w:type="gramStart"/>
            <w:r w:rsidRPr="00DE3CEA">
              <w:t>Other</w:t>
            </w:r>
            <w:proofErr w:type="gramEnd"/>
            <w:r w:rsidRPr="00DE3CEA">
              <w:t xml:space="preserve"> Pacific Islander</w:t>
            </w:r>
          </w:p>
        </w:tc>
        <w:tc>
          <w:tcPr>
            <w:tcW w:w="1658" w:type="dxa"/>
          </w:tcPr>
          <w:p w14:paraId="6E18ACED" w14:textId="77777777" w:rsidR="005E63E4" w:rsidRPr="00DE3CEA" w:rsidRDefault="005E63E4" w:rsidP="00F54ACD">
            <w:pPr>
              <w:contextualSpacing/>
              <w:jc w:val="center"/>
            </w:pPr>
            <w:r w:rsidRPr="00DE3CEA">
              <w:t>2 (1)</w:t>
            </w:r>
          </w:p>
        </w:tc>
        <w:tc>
          <w:tcPr>
            <w:tcW w:w="1658" w:type="dxa"/>
          </w:tcPr>
          <w:p w14:paraId="43AEFC8E" w14:textId="77777777" w:rsidR="005E63E4" w:rsidRPr="00DE3CEA" w:rsidRDefault="005E63E4" w:rsidP="00F54ACD">
            <w:pPr>
              <w:contextualSpacing/>
              <w:jc w:val="center"/>
            </w:pPr>
            <w:r w:rsidRPr="00DE3CEA">
              <w:t>2 (2)</w:t>
            </w:r>
          </w:p>
        </w:tc>
        <w:tc>
          <w:tcPr>
            <w:tcW w:w="1658" w:type="dxa"/>
          </w:tcPr>
          <w:p w14:paraId="2B1BA230" w14:textId="77777777" w:rsidR="005E63E4" w:rsidRPr="00DE3CEA" w:rsidRDefault="005E63E4" w:rsidP="00F54ACD">
            <w:pPr>
              <w:contextualSpacing/>
              <w:jc w:val="center"/>
            </w:pPr>
            <w:r w:rsidRPr="00DE3CEA">
              <w:t>0</w:t>
            </w:r>
          </w:p>
        </w:tc>
      </w:tr>
      <w:tr w:rsidR="005E63E4" w:rsidRPr="00DE3CEA" w14:paraId="35EAD098" w14:textId="77777777" w:rsidTr="00F54ACD">
        <w:trPr>
          <w:trHeight w:val="243"/>
        </w:trPr>
        <w:tc>
          <w:tcPr>
            <w:tcW w:w="4386" w:type="dxa"/>
          </w:tcPr>
          <w:p w14:paraId="05AA24DC" w14:textId="77777777" w:rsidR="005E63E4" w:rsidRPr="00DE3CEA" w:rsidRDefault="005E63E4" w:rsidP="00F54ACD">
            <w:pPr>
              <w:ind w:firstLine="165"/>
              <w:contextualSpacing/>
            </w:pPr>
            <w:r w:rsidRPr="00DE3CEA">
              <w:t>Refused to answer</w:t>
            </w:r>
          </w:p>
        </w:tc>
        <w:tc>
          <w:tcPr>
            <w:tcW w:w="1658" w:type="dxa"/>
          </w:tcPr>
          <w:p w14:paraId="6B54C850" w14:textId="77777777" w:rsidR="005E63E4" w:rsidRPr="00DE3CEA" w:rsidRDefault="005E63E4" w:rsidP="00F54ACD">
            <w:pPr>
              <w:contextualSpacing/>
              <w:jc w:val="center"/>
            </w:pPr>
            <w:r w:rsidRPr="00DE3CEA">
              <w:t>0 (0)</w:t>
            </w:r>
          </w:p>
        </w:tc>
        <w:tc>
          <w:tcPr>
            <w:tcW w:w="1658" w:type="dxa"/>
          </w:tcPr>
          <w:p w14:paraId="2E958E57" w14:textId="77777777" w:rsidR="005E63E4" w:rsidRPr="00DE3CEA" w:rsidRDefault="005E63E4" w:rsidP="00F54ACD">
            <w:pPr>
              <w:contextualSpacing/>
              <w:jc w:val="center"/>
            </w:pPr>
            <w:r w:rsidRPr="00DE3CEA">
              <w:t>0 (0)</w:t>
            </w:r>
          </w:p>
        </w:tc>
        <w:tc>
          <w:tcPr>
            <w:tcW w:w="1658" w:type="dxa"/>
          </w:tcPr>
          <w:p w14:paraId="3A825B06" w14:textId="77777777" w:rsidR="005E63E4" w:rsidRPr="00DE3CEA" w:rsidRDefault="005E63E4" w:rsidP="00F54ACD">
            <w:pPr>
              <w:contextualSpacing/>
              <w:jc w:val="center"/>
            </w:pPr>
            <w:r w:rsidRPr="00DE3CEA">
              <w:t>0 (0)</w:t>
            </w:r>
          </w:p>
        </w:tc>
      </w:tr>
      <w:tr w:rsidR="005E63E4" w:rsidRPr="00DE3CEA" w14:paraId="228EC5AC" w14:textId="77777777" w:rsidTr="00F54ACD">
        <w:trPr>
          <w:trHeight w:val="243"/>
        </w:trPr>
        <w:tc>
          <w:tcPr>
            <w:tcW w:w="4386" w:type="dxa"/>
          </w:tcPr>
          <w:p w14:paraId="0C5121C7" w14:textId="77777777" w:rsidR="005E63E4" w:rsidRPr="00DE3CEA" w:rsidRDefault="005E63E4" w:rsidP="00F54ACD">
            <w:pPr>
              <w:ind w:firstLine="165"/>
              <w:contextualSpacing/>
            </w:pPr>
            <w:r w:rsidRPr="00DE3CEA">
              <w:t>Unknown</w:t>
            </w:r>
          </w:p>
        </w:tc>
        <w:tc>
          <w:tcPr>
            <w:tcW w:w="1658" w:type="dxa"/>
          </w:tcPr>
          <w:p w14:paraId="1F897881" w14:textId="77777777" w:rsidR="005E63E4" w:rsidRPr="00DE3CEA" w:rsidRDefault="005E63E4" w:rsidP="00F54ACD">
            <w:pPr>
              <w:contextualSpacing/>
              <w:jc w:val="center"/>
            </w:pPr>
            <w:r w:rsidRPr="00DE3CEA">
              <w:t>0 (0)</w:t>
            </w:r>
          </w:p>
        </w:tc>
        <w:tc>
          <w:tcPr>
            <w:tcW w:w="1658" w:type="dxa"/>
          </w:tcPr>
          <w:p w14:paraId="77E0C2F4" w14:textId="77777777" w:rsidR="005E63E4" w:rsidRPr="00DE3CEA" w:rsidRDefault="005E63E4" w:rsidP="00F54ACD">
            <w:pPr>
              <w:contextualSpacing/>
              <w:jc w:val="center"/>
            </w:pPr>
            <w:r w:rsidRPr="00DE3CEA">
              <w:t>0 (0)</w:t>
            </w:r>
          </w:p>
        </w:tc>
        <w:tc>
          <w:tcPr>
            <w:tcW w:w="1658" w:type="dxa"/>
          </w:tcPr>
          <w:p w14:paraId="04A3FF88" w14:textId="77777777" w:rsidR="005E63E4" w:rsidRPr="00DE3CEA" w:rsidRDefault="005E63E4" w:rsidP="00F54ACD">
            <w:pPr>
              <w:contextualSpacing/>
              <w:jc w:val="center"/>
            </w:pPr>
            <w:r w:rsidRPr="00DE3CEA">
              <w:t>0 (0)</w:t>
            </w:r>
          </w:p>
        </w:tc>
      </w:tr>
      <w:tr w:rsidR="005E63E4" w:rsidRPr="00DE3CEA" w14:paraId="11A24005" w14:textId="77777777" w:rsidTr="00F54ACD">
        <w:trPr>
          <w:trHeight w:val="243"/>
        </w:trPr>
        <w:tc>
          <w:tcPr>
            <w:tcW w:w="4386" w:type="dxa"/>
          </w:tcPr>
          <w:p w14:paraId="5A4212FA" w14:textId="77777777" w:rsidR="005E63E4" w:rsidRPr="00DE3CEA" w:rsidRDefault="005E63E4" w:rsidP="00F54ACD">
            <w:pPr>
              <w:ind w:firstLine="165"/>
              <w:contextualSpacing/>
            </w:pPr>
            <w:r w:rsidRPr="00DE3CEA">
              <w:t>Mixed Race</w:t>
            </w:r>
          </w:p>
        </w:tc>
        <w:tc>
          <w:tcPr>
            <w:tcW w:w="1658" w:type="dxa"/>
          </w:tcPr>
          <w:p w14:paraId="33DEE334" w14:textId="77777777" w:rsidR="005E63E4" w:rsidRPr="00DE3CEA" w:rsidRDefault="005E63E4" w:rsidP="00F54ACD">
            <w:pPr>
              <w:contextualSpacing/>
              <w:jc w:val="center"/>
            </w:pPr>
            <w:r w:rsidRPr="00DE3CEA">
              <w:t>30 (17)</w:t>
            </w:r>
          </w:p>
        </w:tc>
        <w:tc>
          <w:tcPr>
            <w:tcW w:w="1658" w:type="dxa"/>
          </w:tcPr>
          <w:p w14:paraId="08BF0854" w14:textId="77777777" w:rsidR="005E63E4" w:rsidRPr="00DE3CEA" w:rsidRDefault="005E63E4" w:rsidP="00F54ACD">
            <w:pPr>
              <w:contextualSpacing/>
              <w:jc w:val="center"/>
            </w:pPr>
            <w:r w:rsidRPr="00DE3CEA">
              <w:t>14 (16)</w:t>
            </w:r>
          </w:p>
        </w:tc>
        <w:tc>
          <w:tcPr>
            <w:tcW w:w="1658" w:type="dxa"/>
          </w:tcPr>
          <w:p w14:paraId="23AF281A" w14:textId="77777777" w:rsidR="005E63E4" w:rsidRPr="00DE3CEA" w:rsidRDefault="005E63E4" w:rsidP="00F54ACD">
            <w:pPr>
              <w:contextualSpacing/>
              <w:jc w:val="center"/>
            </w:pPr>
            <w:r w:rsidRPr="00DE3CEA">
              <w:t>16 (18)</w:t>
            </w:r>
          </w:p>
        </w:tc>
      </w:tr>
      <w:tr w:rsidR="005E63E4" w:rsidRPr="00DE3CEA" w14:paraId="6AD035A9" w14:textId="77777777" w:rsidTr="00F54ACD">
        <w:trPr>
          <w:trHeight w:val="243"/>
        </w:trPr>
        <w:tc>
          <w:tcPr>
            <w:tcW w:w="4386" w:type="dxa"/>
          </w:tcPr>
          <w:p w14:paraId="187EB9BD" w14:textId="77777777" w:rsidR="005E63E4" w:rsidRPr="00DE3CEA" w:rsidRDefault="005E63E4" w:rsidP="00F54ACD">
            <w:pPr>
              <w:contextualSpacing/>
            </w:pPr>
            <w:r w:rsidRPr="00DE3CEA">
              <w:t>Family annual income</w:t>
            </w:r>
          </w:p>
        </w:tc>
        <w:tc>
          <w:tcPr>
            <w:tcW w:w="1658" w:type="dxa"/>
          </w:tcPr>
          <w:p w14:paraId="50A84ACC" w14:textId="77777777" w:rsidR="005E63E4" w:rsidRPr="00DE3CEA" w:rsidRDefault="005E63E4" w:rsidP="00F54ACD">
            <w:pPr>
              <w:contextualSpacing/>
              <w:jc w:val="center"/>
            </w:pPr>
          </w:p>
        </w:tc>
        <w:tc>
          <w:tcPr>
            <w:tcW w:w="1658" w:type="dxa"/>
          </w:tcPr>
          <w:p w14:paraId="634A445B" w14:textId="77777777" w:rsidR="005E63E4" w:rsidRPr="00DE3CEA" w:rsidRDefault="005E63E4" w:rsidP="00F54ACD">
            <w:pPr>
              <w:contextualSpacing/>
              <w:jc w:val="center"/>
            </w:pPr>
          </w:p>
        </w:tc>
        <w:tc>
          <w:tcPr>
            <w:tcW w:w="1658" w:type="dxa"/>
          </w:tcPr>
          <w:p w14:paraId="332D4581" w14:textId="77777777" w:rsidR="005E63E4" w:rsidRPr="00DE3CEA" w:rsidRDefault="005E63E4" w:rsidP="00F54ACD">
            <w:pPr>
              <w:contextualSpacing/>
              <w:jc w:val="center"/>
            </w:pPr>
          </w:p>
        </w:tc>
      </w:tr>
      <w:tr w:rsidR="005E63E4" w:rsidRPr="00DE3CEA" w14:paraId="49C0192F" w14:textId="77777777" w:rsidTr="00F54ACD">
        <w:trPr>
          <w:trHeight w:val="243"/>
        </w:trPr>
        <w:tc>
          <w:tcPr>
            <w:tcW w:w="4386" w:type="dxa"/>
          </w:tcPr>
          <w:p w14:paraId="50A77F64" w14:textId="77777777" w:rsidR="005E63E4" w:rsidRPr="00DE3CEA" w:rsidRDefault="005E63E4" w:rsidP="00F54ACD">
            <w:pPr>
              <w:ind w:firstLine="165"/>
              <w:contextualSpacing/>
            </w:pPr>
            <w:r w:rsidRPr="00DE3CEA">
              <w:rPr>
                <w:u w:val="single"/>
              </w:rPr>
              <w:t>&lt;</w:t>
            </w:r>
            <w:r w:rsidRPr="00DE3CEA">
              <w:t xml:space="preserve"> 20,000</w:t>
            </w:r>
          </w:p>
        </w:tc>
        <w:tc>
          <w:tcPr>
            <w:tcW w:w="1658" w:type="dxa"/>
          </w:tcPr>
          <w:p w14:paraId="44CF07DA" w14:textId="77777777" w:rsidR="005E63E4" w:rsidRPr="00DE3CEA" w:rsidRDefault="005E63E4" w:rsidP="00F54ACD">
            <w:pPr>
              <w:contextualSpacing/>
              <w:jc w:val="center"/>
            </w:pPr>
            <w:r w:rsidRPr="00DE3CEA">
              <w:t>6 (3)</w:t>
            </w:r>
          </w:p>
        </w:tc>
        <w:tc>
          <w:tcPr>
            <w:tcW w:w="1658" w:type="dxa"/>
          </w:tcPr>
          <w:p w14:paraId="556D1EF2" w14:textId="77777777" w:rsidR="005E63E4" w:rsidRPr="00DE3CEA" w:rsidRDefault="005E63E4" w:rsidP="00F54ACD">
            <w:pPr>
              <w:contextualSpacing/>
              <w:jc w:val="center"/>
            </w:pPr>
            <w:r w:rsidRPr="00DE3CEA">
              <w:t>2 (2)</w:t>
            </w:r>
          </w:p>
        </w:tc>
        <w:tc>
          <w:tcPr>
            <w:tcW w:w="1658" w:type="dxa"/>
          </w:tcPr>
          <w:p w14:paraId="56490134" w14:textId="77777777" w:rsidR="005E63E4" w:rsidRPr="00DE3CEA" w:rsidRDefault="005E63E4" w:rsidP="00F54ACD">
            <w:pPr>
              <w:contextualSpacing/>
              <w:jc w:val="center"/>
            </w:pPr>
            <w:r w:rsidRPr="00DE3CEA">
              <w:t>4(5)</w:t>
            </w:r>
          </w:p>
        </w:tc>
      </w:tr>
      <w:tr w:rsidR="005E63E4" w:rsidRPr="00DE3CEA" w14:paraId="5284B0D8" w14:textId="77777777" w:rsidTr="00F54ACD">
        <w:trPr>
          <w:trHeight w:val="243"/>
        </w:trPr>
        <w:tc>
          <w:tcPr>
            <w:tcW w:w="4386" w:type="dxa"/>
          </w:tcPr>
          <w:p w14:paraId="6992EC20" w14:textId="77777777" w:rsidR="005E63E4" w:rsidRPr="00DE3CEA" w:rsidRDefault="005E63E4" w:rsidP="00F54ACD">
            <w:pPr>
              <w:ind w:firstLine="165"/>
              <w:contextualSpacing/>
            </w:pPr>
            <w:r w:rsidRPr="00DE3CEA">
              <w:t>20,001 – 50,000</w:t>
            </w:r>
          </w:p>
        </w:tc>
        <w:tc>
          <w:tcPr>
            <w:tcW w:w="1658" w:type="dxa"/>
          </w:tcPr>
          <w:p w14:paraId="44796F7A" w14:textId="77777777" w:rsidR="005E63E4" w:rsidRPr="00DE3CEA" w:rsidRDefault="005E63E4" w:rsidP="00F54ACD">
            <w:pPr>
              <w:contextualSpacing/>
              <w:jc w:val="center"/>
            </w:pPr>
            <w:r w:rsidRPr="00DE3CEA">
              <w:t>21 (12)</w:t>
            </w:r>
          </w:p>
        </w:tc>
        <w:tc>
          <w:tcPr>
            <w:tcW w:w="1658" w:type="dxa"/>
          </w:tcPr>
          <w:p w14:paraId="01B66BB9" w14:textId="77777777" w:rsidR="005E63E4" w:rsidRPr="00DE3CEA" w:rsidRDefault="005E63E4" w:rsidP="00F54ACD">
            <w:pPr>
              <w:contextualSpacing/>
              <w:jc w:val="center"/>
            </w:pPr>
            <w:r w:rsidRPr="00DE3CEA">
              <w:t>11 (12)</w:t>
            </w:r>
          </w:p>
        </w:tc>
        <w:tc>
          <w:tcPr>
            <w:tcW w:w="1658" w:type="dxa"/>
          </w:tcPr>
          <w:p w14:paraId="4E4F47DC" w14:textId="77777777" w:rsidR="005E63E4" w:rsidRPr="00DE3CEA" w:rsidRDefault="005E63E4" w:rsidP="00F54ACD">
            <w:pPr>
              <w:contextualSpacing/>
              <w:jc w:val="center"/>
            </w:pPr>
            <w:r w:rsidRPr="00DE3CEA">
              <w:t>10 (11)</w:t>
            </w:r>
          </w:p>
        </w:tc>
      </w:tr>
      <w:tr w:rsidR="005E63E4" w:rsidRPr="00DE3CEA" w14:paraId="72BA9ABD" w14:textId="77777777" w:rsidTr="00F54ACD">
        <w:trPr>
          <w:trHeight w:val="243"/>
        </w:trPr>
        <w:tc>
          <w:tcPr>
            <w:tcW w:w="4386" w:type="dxa"/>
          </w:tcPr>
          <w:p w14:paraId="47812ADB" w14:textId="77777777" w:rsidR="005E63E4" w:rsidRPr="00DE3CEA" w:rsidRDefault="005E63E4" w:rsidP="00F54ACD">
            <w:pPr>
              <w:ind w:firstLine="165"/>
              <w:contextualSpacing/>
            </w:pPr>
            <w:r w:rsidRPr="00DE3CEA">
              <w:t>50,001 – 100,000</w:t>
            </w:r>
          </w:p>
        </w:tc>
        <w:tc>
          <w:tcPr>
            <w:tcW w:w="1658" w:type="dxa"/>
          </w:tcPr>
          <w:p w14:paraId="4155EBF9" w14:textId="77777777" w:rsidR="005E63E4" w:rsidRPr="00DE3CEA" w:rsidRDefault="005E63E4" w:rsidP="00F54ACD">
            <w:pPr>
              <w:contextualSpacing/>
              <w:jc w:val="center"/>
            </w:pPr>
            <w:r w:rsidRPr="00DE3CEA">
              <w:t>42 (24)</w:t>
            </w:r>
          </w:p>
        </w:tc>
        <w:tc>
          <w:tcPr>
            <w:tcW w:w="1658" w:type="dxa"/>
          </w:tcPr>
          <w:p w14:paraId="184A9630" w14:textId="77777777" w:rsidR="005E63E4" w:rsidRPr="00DE3CEA" w:rsidRDefault="005E63E4" w:rsidP="00F54ACD">
            <w:pPr>
              <w:contextualSpacing/>
              <w:jc w:val="center"/>
            </w:pPr>
            <w:r w:rsidRPr="00DE3CEA">
              <w:t>26 (29)</w:t>
            </w:r>
          </w:p>
        </w:tc>
        <w:tc>
          <w:tcPr>
            <w:tcW w:w="1658" w:type="dxa"/>
          </w:tcPr>
          <w:p w14:paraId="0070640B" w14:textId="77777777" w:rsidR="005E63E4" w:rsidRPr="00DE3CEA" w:rsidRDefault="005E63E4" w:rsidP="00F54ACD">
            <w:pPr>
              <w:contextualSpacing/>
              <w:jc w:val="center"/>
            </w:pPr>
            <w:r w:rsidRPr="00DE3CEA">
              <w:t>16 (18)</w:t>
            </w:r>
          </w:p>
        </w:tc>
      </w:tr>
      <w:tr w:rsidR="005E63E4" w:rsidRPr="00DE3CEA" w14:paraId="0322BC89" w14:textId="77777777" w:rsidTr="00F54ACD">
        <w:trPr>
          <w:trHeight w:val="243"/>
        </w:trPr>
        <w:tc>
          <w:tcPr>
            <w:tcW w:w="4386" w:type="dxa"/>
          </w:tcPr>
          <w:p w14:paraId="7BCF2CF5" w14:textId="77777777" w:rsidR="005E63E4" w:rsidRPr="00DE3CEA" w:rsidRDefault="005E63E4" w:rsidP="00F54ACD">
            <w:pPr>
              <w:ind w:firstLine="165"/>
              <w:contextualSpacing/>
            </w:pPr>
            <w:r w:rsidRPr="00DE3CEA">
              <w:t>100,000+</w:t>
            </w:r>
          </w:p>
        </w:tc>
        <w:tc>
          <w:tcPr>
            <w:tcW w:w="1658" w:type="dxa"/>
          </w:tcPr>
          <w:p w14:paraId="55FCB8C0" w14:textId="77777777" w:rsidR="005E63E4" w:rsidRPr="00DE3CEA" w:rsidRDefault="005E63E4" w:rsidP="00F54ACD">
            <w:pPr>
              <w:contextualSpacing/>
              <w:jc w:val="center"/>
            </w:pPr>
            <w:r w:rsidRPr="00DE3CEA">
              <w:t>102 (58)</w:t>
            </w:r>
          </w:p>
        </w:tc>
        <w:tc>
          <w:tcPr>
            <w:tcW w:w="1658" w:type="dxa"/>
          </w:tcPr>
          <w:p w14:paraId="5B48806E" w14:textId="77777777" w:rsidR="005E63E4" w:rsidRPr="00DE3CEA" w:rsidRDefault="005E63E4" w:rsidP="00F54ACD">
            <w:pPr>
              <w:contextualSpacing/>
              <w:jc w:val="center"/>
            </w:pPr>
            <w:r w:rsidRPr="00DE3CEA">
              <w:t>47 (53)</w:t>
            </w:r>
          </w:p>
        </w:tc>
        <w:tc>
          <w:tcPr>
            <w:tcW w:w="1658" w:type="dxa"/>
          </w:tcPr>
          <w:p w14:paraId="0773DE45" w14:textId="77777777" w:rsidR="005E63E4" w:rsidRPr="00DE3CEA" w:rsidRDefault="005E63E4" w:rsidP="00F54ACD">
            <w:pPr>
              <w:contextualSpacing/>
              <w:jc w:val="center"/>
            </w:pPr>
            <w:r w:rsidRPr="00DE3CEA">
              <w:t>55 (63)</w:t>
            </w:r>
          </w:p>
        </w:tc>
      </w:tr>
      <w:tr w:rsidR="005E63E4" w:rsidRPr="00DE3CEA" w14:paraId="05F44728" w14:textId="77777777" w:rsidTr="00F54ACD">
        <w:trPr>
          <w:trHeight w:val="243"/>
        </w:trPr>
        <w:tc>
          <w:tcPr>
            <w:tcW w:w="4386" w:type="dxa"/>
          </w:tcPr>
          <w:p w14:paraId="66A78179" w14:textId="77777777" w:rsidR="005E63E4" w:rsidRPr="00DE3CEA" w:rsidRDefault="005E63E4" w:rsidP="00F54ACD">
            <w:pPr>
              <w:ind w:firstLine="165"/>
              <w:contextualSpacing/>
            </w:pPr>
            <w:r w:rsidRPr="00DE3CEA">
              <w:t>Refused to answer/missing</w:t>
            </w:r>
          </w:p>
        </w:tc>
        <w:tc>
          <w:tcPr>
            <w:tcW w:w="1658" w:type="dxa"/>
          </w:tcPr>
          <w:p w14:paraId="431EF785" w14:textId="77777777" w:rsidR="005E63E4" w:rsidRPr="00DE3CEA" w:rsidRDefault="005E63E4" w:rsidP="00F54ACD">
            <w:pPr>
              <w:contextualSpacing/>
              <w:jc w:val="center"/>
            </w:pPr>
            <w:r w:rsidRPr="00DE3CEA">
              <w:t>5 (3)</w:t>
            </w:r>
          </w:p>
        </w:tc>
        <w:tc>
          <w:tcPr>
            <w:tcW w:w="1658" w:type="dxa"/>
          </w:tcPr>
          <w:p w14:paraId="160A7DC3" w14:textId="77777777" w:rsidR="005E63E4" w:rsidRPr="00DE3CEA" w:rsidRDefault="005E63E4" w:rsidP="00F54ACD">
            <w:pPr>
              <w:contextualSpacing/>
              <w:jc w:val="center"/>
            </w:pPr>
            <w:r w:rsidRPr="00DE3CEA">
              <w:t>3 (3)</w:t>
            </w:r>
          </w:p>
        </w:tc>
        <w:tc>
          <w:tcPr>
            <w:tcW w:w="1658" w:type="dxa"/>
          </w:tcPr>
          <w:p w14:paraId="2B877084" w14:textId="77777777" w:rsidR="005E63E4" w:rsidRPr="00DE3CEA" w:rsidRDefault="005E63E4" w:rsidP="00F54ACD">
            <w:pPr>
              <w:contextualSpacing/>
              <w:jc w:val="center"/>
            </w:pPr>
            <w:r w:rsidRPr="00DE3CEA">
              <w:t>2 (2)</w:t>
            </w:r>
          </w:p>
        </w:tc>
      </w:tr>
      <w:tr w:rsidR="005E63E4" w:rsidRPr="00DE3CEA" w14:paraId="46DDA54C" w14:textId="77777777" w:rsidTr="00F54ACD">
        <w:trPr>
          <w:trHeight w:val="243"/>
        </w:trPr>
        <w:tc>
          <w:tcPr>
            <w:tcW w:w="4386" w:type="dxa"/>
          </w:tcPr>
          <w:p w14:paraId="075A7CC9" w14:textId="77777777" w:rsidR="005E63E4" w:rsidRPr="00DE3CEA" w:rsidRDefault="005E63E4" w:rsidP="00F54ACD">
            <w:pPr>
              <w:contextualSpacing/>
            </w:pPr>
            <w:r w:rsidRPr="00DE3CEA">
              <w:t>Current grade at pretreatment</w:t>
            </w:r>
          </w:p>
        </w:tc>
        <w:tc>
          <w:tcPr>
            <w:tcW w:w="1658" w:type="dxa"/>
          </w:tcPr>
          <w:p w14:paraId="3571E7CA" w14:textId="77777777" w:rsidR="005E63E4" w:rsidRPr="00DE3CEA" w:rsidRDefault="005E63E4" w:rsidP="00F54ACD">
            <w:pPr>
              <w:contextualSpacing/>
              <w:jc w:val="center"/>
            </w:pPr>
          </w:p>
        </w:tc>
        <w:tc>
          <w:tcPr>
            <w:tcW w:w="1658" w:type="dxa"/>
          </w:tcPr>
          <w:p w14:paraId="6DD5EFC5" w14:textId="77777777" w:rsidR="005E63E4" w:rsidRPr="00DE3CEA" w:rsidRDefault="005E63E4" w:rsidP="00F54ACD">
            <w:pPr>
              <w:contextualSpacing/>
              <w:jc w:val="center"/>
            </w:pPr>
          </w:p>
        </w:tc>
        <w:tc>
          <w:tcPr>
            <w:tcW w:w="1658" w:type="dxa"/>
          </w:tcPr>
          <w:p w14:paraId="435C4C08" w14:textId="77777777" w:rsidR="005E63E4" w:rsidRPr="00DE3CEA" w:rsidRDefault="005E63E4" w:rsidP="00F54ACD">
            <w:pPr>
              <w:contextualSpacing/>
              <w:jc w:val="center"/>
            </w:pPr>
          </w:p>
        </w:tc>
      </w:tr>
      <w:tr w:rsidR="005E63E4" w:rsidRPr="00DE3CEA" w14:paraId="6EF52BDF" w14:textId="77777777" w:rsidTr="00F54ACD">
        <w:trPr>
          <w:trHeight w:val="243"/>
        </w:trPr>
        <w:tc>
          <w:tcPr>
            <w:tcW w:w="4386" w:type="dxa"/>
            <w:vAlign w:val="center"/>
          </w:tcPr>
          <w:p w14:paraId="401B3F02" w14:textId="77777777" w:rsidR="005E63E4" w:rsidRPr="00DE3CEA" w:rsidRDefault="005E63E4" w:rsidP="00F54ACD">
            <w:pPr>
              <w:contextualSpacing/>
            </w:pPr>
            <w:r w:rsidRPr="00DE3CEA">
              <w:rPr>
                <w:color w:val="000000"/>
              </w:rPr>
              <w:t xml:space="preserve">   5</w:t>
            </w:r>
          </w:p>
        </w:tc>
        <w:tc>
          <w:tcPr>
            <w:tcW w:w="1658" w:type="dxa"/>
            <w:vAlign w:val="bottom"/>
          </w:tcPr>
          <w:p w14:paraId="704D06DE" w14:textId="77777777" w:rsidR="005E63E4" w:rsidRPr="00DE3CEA" w:rsidRDefault="005E63E4" w:rsidP="00F54ACD">
            <w:pPr>
              <w:contextualSpacing/>
              <w:jc w:val="center"/>
            </w:pPr>
            <w:r w:rsidRPr="00DE3CEA">
              <w:rPr>
                <w:color w:val="000000"/>
              </w:rPr>
              <w:t>5 (3)</w:t>
            </w:r>
          </w:p>
        </w:tc>
        <w:tc>
          <w:tcPr>
            <w:tcW w:w="1658" w:type="dxa"/>
            <w:vAlign w:val="center"/>
          </w:tcPr>
          <w:p w14:paraId="560D5601" w14:textId="77777777" w:rsidR="005E63E4" w:rsidRPr="00DE3CEA" w:rsidRDefault="005E63E4" w:rsidP="00F54ACD">
            <w:pPr>
              <w:contextualSpacing/>
              <w:jc w:val="center"/>
            </w:pPr>
            <w:r w:rsidRPr="00DE3CEA">
              <w:rPr>
                <w:color w:val="000000"/>
              </w:rPr>
              <w:t>4 (4)</w:t>
            </w:r>
          </w:p>
        </w:tc>
        <w:tc>
          <w:tcPr>
            <w:tcW w:w="1658" w:type="dxa"/>
            <w:vAlign w:val="center"/>
          </w:tcPr>
          <w:p w14:paraId="58A938CE" w14:textId="77777777" w:rsidR="005E63E4" w:rsidRPr="00DE3CEA" w:rsidRDefault="005E63E4" w:rsidP="00F54ACD">
            <w:pPr>
              <w:contextualSpacing/>
              <w:jc w:val="center"/>
            </w:pPr>
            <w:r w:rsidRPr="00DE3CEA">
              <w:rPr>
                <w:color w:val="000000"/>
              </w:rPr>
              <w:t>1 (1)</w:t>
            </w:r>
          </w:p>
        </w:tc>
      </w:tr>
      <w:tr w:rsidR="005E63E4" w:rsidRPr="00DE3CEA" w14:paraId="7D5EA07A" w14:textId="77777777" w:rsidTr="00F54ACD">
        <w:trPr>
          <w:trHeight w:val="243"/>
        </w:trPr>
        <w:tc>
          <w:tcPr>
            <w:tcW w:w="4386" w:type="dxa"/>
            <w:vAlign w:val="center"/>
          </w:tcPr>
          <w:p w14:paraId="4EA0FF93" w14:textId="77777777" w:rsidR="005E63E4" w:rsidRPr="00DE3CEA" w:rsidRDefault="005E63E4" w:rsidP="00F54ACD">
            <w:pPr>
              <w:contextualSpacing/>
            </w:pPr>
            <w:r w:rsidRPr="00DE3CEA">
              <w:rPr>
                <w:color w:val="000000"/>
              </w:rPr>
              <w:t xml:space="preserve">   6</w:t>
            </w:r>
          </w:p>
        </w:tc>
        <w:tc>
          <w:tcPr>
            <w:tcW w:w="1658" w:type="dxa"/>
            <w:vAlign w:val="bottom"/>
          </w:tcPr>
          <w:p w14:paraId="11798418" w14:textId="77777777" w:rsidR="005E63E4" w:rsidRPr="00DE3CEA" w:rsidRDefault="005E63E4" w:rsidP="00F54ACD">
            <w:pPr>
              <w:contextualSpacing/>
              <w:jc w:val="center"/>
            </w:pPr>
            <w:r w:rsidRPr="00DE3CEA">
              <w:rPr>
                <w:color w:val="000000"/>
              </w:rPr>
              <w:t>7 (4)</w:t>
            </w:r>
          </w:p>
        </w:tc>
        <w:tc>
          <w:tcPr>
            <w:tcW w:w="1658" w:type="dxa"/>
            <w:vAlign w:val="center"/>
          </w:tcPr>
          <w:p w14:paraId="7DCD5073" w14:textId="77777777" w:rsidR="005E63E4" w:rsidRPr="00DE3CEA" w:rsidRDefault="005E63E4" w:rsidP="00F54ACD">
            <w:pPr>
              <w:contextualSpacing/>
              <w:jc w:val="center"/>
            </w:pPr>
            <w:r w:rsidRPr="00DE3CEA">
              <w:rPr>
                <w:color w:val="000000"/>
              </w:rPr>
              <w:t>4 (4)</w:t>
            </w:r>
          </w:p>
        </w:tc>
        <w:tc>
          <w:tcPr>
            <w:tcW w:w="1658" w:type="dxa"/>
            <w:vAlign w:val="center"/>
          </w:tcPr>
          <w:p w14:paraId="489453C6" w14:textId="77777777" w:rsidR="005E63E4" w:rsidRPr="00DE3CEA" w:rsidRDefault="005E63E4" w:rsidP="00F54ACD">
            <w:pPr>
              <w:contextualSpacing/>
              <w:jc w:val="center"/>
            </w:pPr>
            <w:r w:rsidRPr="00DE3CEA">
              <w:rPr>
                <w:color w:val="000000"/>
              </w:rPr>
              <w:t>3 (3)</w:t>
            </w:r>
          </w:p>
        </w:tc>
      </w:tr>
      <w:tr w:rsidR="005E63E4" w:rsidRPr="00DE3CEA" w14:paraId="0CDE5723" w14:textId="77777777" w:rsidTr="00F54ACD">
        <w:trPr>
          <w:trHeight w:val="243"/>
        </w:trPr>
        <w:tc>
          <w:tcPr>
            <w:tcW w:w="4386" w:type="dxa"/>
            <w:vAlign w:val="center"/>
          </w:tcPr>
          <w:p w14:paraId="323F6873" w14:textId="77777777" w:rsidR="005E63E4" w:rsidRPr="00DE3CEA" w:rsidRDefault="005E63E4" w:rsidP="00F54ACD">
            <w:pPr>
              <w:contextualSpacing/>
            </w:pPr>
            <w:r w:rsidRPr="00DE3CEA">
              <w:rPr>
                <w:color w:val="000000"/>
              </w:rPr>
              <w:t xml:space="preserve">   7</w:t>
            </w:r>
          </w:p>
        </w:tc>
        <w:tc>
          <w:tcPr>
            <w:tcW w:w="1658" w:type="dxa"/>
            <w:vAlign w:val="bottom"/>
          </w:tcPr>
          <w:p w14:paraId="4596CEA1" w14:textId="77777777" w:rsidR="005E63E4" w:rsidRPr="00DE3CEA" w:rsidRDefault="005E63E4" w:rsidP="00F54ACD">
            <w:pPr>
              <w:contextualSpacing/>
              <w:jc w:val="center"/>
            </w:pPr>
            <w:r w:rsidRPr="00DE3CEA">
              <w:rPr>
                <w:color w:val="000000"/>
              </w:rPr>
              <w:t>14 (8)</w:t>
            </w:r>
          </w:p>
        </w:tc>
        <w:tc>
          <w:tcPr>
            <w:tcW w:w="1658" w:type="dxa"/>
            <w:vAlign w:val="center"/>
          </w:tcPr>
          <w:p w14:paraId="4581E1EF" w14:textId="77777777" w:rsidR="005E63E4" w:rsidRPr="00DE3CEA" w:rsidRDefault="005E63E4" w:rsidP="00F54ACD">
            <w:pPr>
              <w:contextualSpacing/>
              <w:jc w:val="center"/>
            </w:pPr>
            <w:r w:rsidRPr="00DE3CEA">
              <w:rPr>
                <w:color w:val="000000"/>
              </w:rPr>
              <w:t>6 (7)</w:t>
            </w:r>
          </w:p>
        </w:tc>
        <w:tc>
          <w:tcPr>
            <w:tcW w:w="1658" w:type="dxa"/>
            <w:vAlign w:val="center"/>
          </w:tcPr>
          <w:p w14:paraId="22C579CC" w14:textId="77777777" w:rsidR="005E63E4" w:rsidRPr="00DE3CEA" w:rsidRDefault="005E63E4" w:rsidP="00F54ACD">
            <w:pPr>
              <w:contextualSpacing/>
              <w:jc w:val="center"/>
            </w:pPr>
            <w:r w:rsidRPr="00DE3CEA">
              <w:rPr>
                <w:color w:val="000000"/>
              </w:rPr>
              <w:t>8 (9)</w:t>
            </w:r>
          </w:p>
        </w:tc>
      </w:tr>
      <w:tr w:rsidR="005E63E4" w:rsidRPr="00DE3CEA" w14:paraId="2243ED3A" w14:textId="77777777" w:rsidTr="00F54ACD">
        <w:trPr>
          <w:trHeight w:val="243"/>
        </w:trPr>
        <w:tc>
          <w:tcPr>
            <w:tcW w:w="4386" w:type="dxa"/>
            <w:vAlign w:val="center"/>
          </w:tcPr>
          <w:p w14:paraId="48C18CE4" w14:textId="77777777" w:rsidR="005E63E4" w:rsidRPr="00DE3CEA" w:rsidRDefault="005E63E4" w:rsidP="00F54ACD">
            <w:pPr>
              <w:contextualSpacing/>
            </w:pPr>
            <w:r w:rsidRPr="00DE3CEA">
              <w:rPr>
                <w:color w:val="000000"/>
              </w:rPr>
              <w:t xml:space="preserve">   8</w:t>
            </w:r>
          </w:p>
        </w:tc>
        <w:tc>
          <w:tcPr>
            <w:tcW w:w="1658" w:type="dxa"/>
            <w:vAlign w:val="bottom"/>
          </w:tcPr>
          <w:p w14:paraId="4446E2FD" w14:textId="77777777" w:rsidR="005E63E4" w:rsidRPr="00DE3CEA" w:rsidRDefault="005E63E4" w:rsidP="00F54ACD">
            <w:pPr>
              <w:contextualSpacing/>
              <w:jc w:val="center"/>
            </w:pPr>
            <w:r w:rsidRPr="00DE3CEA">
              <w:rPr>
                <w:color w:val="000000"/>
              </w:rPr>
              <w:t>25 (14)</w:t>
            </w:r>
          </w:p>
        </w:tc>
        <w:tc>
          <w:tcPr>
            <w:tcW w:w="1658" w:type="dxa"/>
            <w:vAlign w:val="center"/>
          </w:tcPr>
          <w:p w14:paraId="6E7EEDC8" w14:textId="77777777" w:rsidR="005E63E4" w:rsidRPr="00DE3CEA" w:rsidRDefault="005E63E4" w:rsidP="00F54ACD">
            <w:pPr>
              <w:contextualSpacing/>
              <w:jc w:val="center"/>
            </w:pPr>
            <w:r w:rsidRPr="00DE3CEA">
              <w:rPr>
                <w:color w:val="000000"/>
              </w:rPr>
              <w:t>11 (12)</w:t>
            </w:r>
          </w:p>
        </w:tc>
        <w:tc>
          <w:tcPr>
            <w:tcW w:w="1658" w:type="dxa"/>
            <w:vAlign w:val="center"/>
          </w:tcPr>
          <w:p w14:paraId="167504C0" w14:textId="77777777" w:rsidR="005E63E4" w:rsidRPr="00DE3CEA" w:rsidRDefault="005E63E4" w:rsidP="00F54ACD">
            <w:pPr>
              <w:contextualSpacing/>
              <w:jc w:val="center"/>
            </w:pPr>
            <w:r w:rsidRPr="00DE3CEA">
              <w:rPr>
                <w:color w:val="000000"/>
              </w:rPr>
              <w:t>14 (16)</w:t>
            </w:r>
          </w:p>
        </w:tc>
      </w:tr>
      <w:tr w:rsidR="005E63E4" w:rsidRPr="00DE3CEA" w14:paraId="6FE12BB3" w14:textId="77777777" w:rsidTr="00F54ACD">
        <w:trPr>
          <w:trHeight w:val="243"/>
        </w:trPr>
        <w:tc>
          <w:tcPr>
            <w:tcW w:w="4386" w:type="dxa"/>
            <w:vAlign w:val="center"/>
          </w:tcPr>
          <w:p w14:paraId="22F09BBF" w14:textId="77777777" w:rsidR="005E63E4" w:rsidRPr="00DE3CEA" w:rsidRDefault="005E63E4" w:rsidP="00F54ACD">
            <w:pPr>
              <w:contextualSpacing/>
            </w:pPr>
            <w:r w:rsidRPr="00DE3CEA">
              <w:rPr>
                <w:color w:val="000000"/>
              </w:rPr>
              <w:t xml:space="preserve">   9</w:t>
            </w:r>
          </w:p>
        </w:tc>
        <w:tc>
          <w:tcPr>
            <w:tcW w:w="1658" w:type="dxa"/>
            <w:vAlign w:val="bottom"/>
          </w:tcPr>
          <w:p w14:paraId="0393A16B" w14:textId="77777777" w:rsidR="005E63E4" w:rsidRPr="00DE3CEA" w:rsidRDefault="005E63E4" w:rsidP="00F54ACD">
            <w:pPr>
              <w:contextualSpacing/>
              <w:jc w:val="center"/>
            </w:pPr>
            <w:r w:rsidRPr="00DE3CEA">
              <w:rPr>
                <w:color w:val="000000"/>
              </w:rPr>
              <w:t>28 (16)</w:t>
            </w:r>
          </w:p>
        </w:tc>
        <w:tc>
          <w:tcPr>
            <w:tcW w:w="1658" w:type="dxa"/>
            <w:vAlign w:val="center"/>
          </w:tcPr>
          <w:p w14:paraId="51A42DBB" w14:textId="77777777" w:rsidR="005E63E4" w:rsidRPr="00DE3CEA" w:rsidRDefault="005E63E4" w:rsidP="00F54ACD">
            <w:pPr>
              <w:contextualSpacing/>
              <w:jc w:val="center"/>
            </w:pPr>
            <w:r w:rsidRPr="00DE3CEA">
              <w:rPr>
                <w:color w:val="000000"/>
              </w:rPr>
              <w:t>16 (18)</w:t>
            </w:r>
          </w:p>
        </w:tc>
        <w:tc>
          <w:tcPr>
            <w:tcW w:w="1658" w:type="dxa"/>
            <w:vAlign w:val="center"/>
          </w:tcPr>
          <w:p w14:paraId="227B510D" w14:textId="77777777" w:rsidR="005E63E4" w:rsidRPr="00DE3CEA" w:rsidRDefault="005E63E4" w:rsidP="00F54ACD">
            <w:pPr>
              <w:contextualSpacing/>
              <w:jc w:val="center"/>
            </w:pPr>
            <w:r w:rsidRPr="00DE3CEA">
              <w:rPr>
                <w:color w:val="000000"/>
              </w:rPr>
              <w:t>12 (14)</w:t>
            </w:r>
          </w:p>
        </w:tc>
      </w:tr>
      <w:tr w:rsidR="005E63E4" w:rsidRPr="00DE3CEA" w14:paraId="3869F5D4" w14:textId="77777777" w:rsidTr="00F54ACD">
        <w:trPr>
          <w:trHeight w:val="243"/>
        </w:trPr>
        <w:tc>
          <w:tcPr>
            <w:tcW w:w="4386" w:type="dxa"/>
            <w:vAlign w:val="center"/>
          </w:tcPr>
          <w:p w14:paraId="2C5652E9" w14:textId="77777777" w:rsidR="005E63E4" w:rsidRPr="00DE3CEA" w:rsidRDefault="005E63E4" w:rsidP="00F54ACD">
            <w:pPr>
              <w:contextualSpacing/>
            </w:pPr>
            <w:r w:rsidRPr="00DE3CEA">
              <w:rPr>
                <w:color w:val="000000"/>
              </w:rPr>
              <w:t xml:space="preserve">   10</w:t>
            </w:r>
          </w:p>
        </w:tc>
        <w:tc>
          <w:tcPr>
            <w:tcW w:w="1658" w:type="dxa"/>
            <w:vAlign w:val="bottom"/>
          </w:tcPr>
          <w:p w14:paraId="06B7893E" w14:textId="77777777" w:rsidR="005E63E4" w:rsidRPr="00DE3CEA" w:rsidRDefault="005E63E4" w:rsidP="00F54ACD">
            <w:pPr>
              <w:contextualSpacing/>
              <w:jc w:val="center"/>
            </w:pPr>
            <w:r w:rsidRPr="00DE3CEA">
              <w:rPr>
                <w:color w:val="000000"/>
              </w:rPr>
              <w:t>46 (26)</w:t>
            </w:r>
          </w:p>
        </w:tc>
        <w:tc>
          <w:tcPr>
            <w:tcW w:w="1658" w:type="dxa"/>
            <w:vAlign w:val="center"/>
          </w:tcPr>
          <w:p w14:paraId="4A18C5C5" w14:textId="77777777" w:rsidR="005E63E4" w:rsidRPr="00DE3CEA" w:rsidRDefault="005E63E4" w:rsidP="00F54ACD">
            <w:pPr>
              <w:contextualSpacing/>
              <w:jc w:val="center"/>
            </w:pPr>
            <w:r w:rsidRPr="00DE3CEA">
              <w:rPr>
                <w:color w:val="000000"/>
              </w:rPr>
              <w:t>22 (25)</w:t>
            </w:r>
          </w:p>
        </w:tc>
        <w:tc>
          <w:tcPr>
            <w:tcW w:w="1658" w:type="dxa"/>
            <w:vAlign w:val="center"/>
          </w:tcPr>
          <w:p w14:paraId="336803E3" w14:textId="77777777" w:rsidR="005E63E4" w:rsidRPr="00DE3CEA" w:rsidRDefault="005E63E4" w:rsidP="00F54ACD">
            <w:pPr>
              <w:contextualSpacing/>
              <w:jc w:val="center"/>
            </w:pPr>
            <w:r w:rsidRPr="00DE3CEA">
              <w:rPr>
                <w:color w:val="000000"/>
              </w:rPr>
              <w:t>24 (28)</w:t>
            </w:r>
          </w:p>
        </w:tc>
      </w:tr>
      <w:tr w:rsidR="005E63E4" w:rsidRPr="00DE3CEA" w14:paraId="6B692A8F" w14:textId="77777777" w:rsidTr="00F54ACD">
        <w:trPr>
          <w:trHeight w:val="243"/>
        </w:trPr>
        <w:tc>
          <w:tcPr>
            <w:tcW w:w="4386" w:type="dxa"/>
            <w:vAlign w:val="center"/>
          </w:tcPr>
          <w:p w14:paraId="5408A21A" w14:textId="77777777" w:rsidR="005E63E4" w:rsidRPr="00DE3CEA" w:rsidRDefault="005E63E4" w:rsidP="00F54ACD">
            <w:pPr>
              <w:contextualSpacing/>
            </w:pPr>
            <w:r w:rsidRPr="00DE3CEA">
              <w:rPr>
                <w:color w:val="000000"/>
              </w:rPr>
              <w:t xml:space="preserve">   11</w:t>
            </w:r>
          </w:p>
        </w:tc>
        <w:tc>
          <w:tcPr>
            <w:tcW w:w="1658" w:type="dxa"/>
            <w:vAlign w:val="bottom"/>
          </w:tcPr>
          <w:p w14:paraId="6A3FA259" w14:textId="77777777" w:rsidR="005E63E4" w:rsidRPr="00DE3CEA" w:rsidRDefault="005E63E4" w:rsidP="00F54ACD">
            <w:pPr>
              <w:contextualSpacing/>
              <w:jc w:val="center"/>
            </w:pPr>
            <w:r w:rsidRPr="00DE3CEA">
              <w:rPr>
                <w:color w:val="000000"/>
              </w:rPr>
              <w:t>25 (14)</w:t>
            </w:r>
          </w:p>
        </w:tc>
        <w:tc>
          <w:tcPr>
            <w:tcW w:w="1658" w:type="dxa"/>
            <w:vAlign w:val="center"/>
          </w:tcPr>
          <w:p w14:paraId="2644278B" w14:textId="77777777" w:rsidR="005E63E4" w:rsidRPr="00DE3CEA" w:rsidRDefault="005E63E4" w:rsidP="00F54ACD">
            <w:pPr>
              <w:contextualSpacing/>
              <w:jc w:val="center"/>
            </w:pPr>
            <w:r w:rsidRPr="00DE3CEA">
              <w:rPr>
                <w:color w:val="000000"/>
              </w:rPr>
              <w:t>13 (15)</w:t>
            </w:r>
          </w:p>
        </w:tc>
        <w:tc>
          <w:tcPr>
            <w:tcW w:w="1658" w:type="dxa"/>
            <w:vAlign w:val="center"/>
          </w:tcPr>
          <w:p w14:paraId="1FADD8F6" w14:textId="77777777" w:rsidR="005E63E4" w:rsidRPr="00DE3CEA" w:rsidRDefault="005E63E4" w:rsidP="00F54ACD">
            <w:pPr>
              <w:contextualSpacing/>
              <w:jc w:val="center"/>
            </w:pPr>
            <w:r w:rsidRPr="00DE3CEA">
              <w:rPr>
                <w:color w:val="000000"/>
              </w:rPr>
              <w:t>12 (14)</w:t>
            </w:r>
          </w:p>
        </w:tc>
      </w:tr>
      <w:tr w:rsidR="005E63E4" w:rsidRPr="00DE3CEA" w14:paraId="0EA960E0" w14:textId="77777777" w:rsidTr="00F54ACD">
        <w:trPr>
          <w:trHeight w:val="243"/>
        </w:trPr>
        <w:tc>
          <w:tcPr>
            <w:tcW w:w="4386" w:type="dxa"/>
            <w:vAlign w:val="center"/>
          </w:tcPr>
          <w:p w14:paraId="3C929DF2" w14:textId="77777777" w:rsidR="005E63E4" w:rsidRPr="00DE3CEA" w:rsidRDefault="005E63E4" w:rsidP="00F54ACD">
            <w:pPr>
              <w:contextualSpacing/>
            </w:pPr>
            <w:r w:rsidRPr="00DE3CEA">
              <w:rPr>
                <w:color w:val="000000"/>
              </w:rPr>
              <w:t xml:space="preserve">   12</w:t>
            </w:r>
          </w:p>
        </w:tc>
        <w:tc>
          <w:tcPr>
            <w:tcW w:w="1658" w:type="dxa"/>
            <w:vAlign w:val="bottom"/>
          </w:tcPr>
          <w:p w14:paraId="5FC21944" w14:textId="77777777" w:rsidR="005E63E4" w:rsidRPr="00DE3CEA" w:rsidRDefault="005E63E4" w:rsidP="00F54ACD">
            <w:pPr>
              <w:contextualSpacing/>
              <w:jc w:val="center"/>
            </w:pPr>
            <w:r w:rsidRPr="00DE3CEA">
              <w:rPr>
                <w:color w:val="000000"/>
              </w:rPr>
              <w:t>25 (14)</w:t>
            </w:r>
          </w:p>
        </w:tc>
        <w:tc>
          <w:tcPr>
            <w:tcW w:w="1658" w:type="dxa"/>
            <w:vAlign w:val="center"/>
          </w:tcPr>
          <w:p w14:paraId="34502311" w14:textId="77777777" w:rsidR="005E63E4" w:rsidRPr="00DE3CEA" w:rsidRDefault="005E63E4" w:rsidP="00F54ACD">
            <w:pPr>
              <w:contextualSpacing/>
              <w:jc w:val="center"/>
            </w:pPr>
            <w:r w:rsidRPr="00DE3CEA">
              <w:rPr>
                <w:color w:val="000000"/>
              </w:rPr>
              <w:t>12 (13)</w:t>
            </w:r>
          </w:p>
        </w:tc>
        <w:tc>
          <w:tcPr>
            <w:tcW w:w="1658" w:type="dxa"/>
            <w:vAlign w:val="center"/>
          </w:tcPr>
          <w:p w14:paraId="015E0318" w14:textId="77777777" w:rsidR="005E63E4" w:rsidRPr="00DE3CEA" w:rsidRDefault="005E63E4" w:rsidP="00F54ACD">
            <w:pPr>
              <w:contextualSpacing/>
              <w:jc w:val="center"/>
            </w:pPr>
            <w:r w:rsidRPr="00DE3CEA">
              <w:rPr>
                <w:color w:val="000000"/>
              </w:rPr>
              <w:t>13 (15)</w:t>
            </w:r>
          </w:p>
        </w:tc>
      </w:tr>
      <w:tr w:rsidR="005E63E4" w:rsidRPr="00DE3CEA" w14:paraId="68E17F51" w14:textId="77777777" w:rsidTr="00F54ACD">
        <w:trPr>
          <w:trHeight w:val="243"/>
        </w:trPr>
        <w:tc>
          <w:tcPr>
            <w:tcW w:w="4386" w:type="dxa"/>
            <w:vAlign w:val="center"/>
          </w:tcPr>
          <w:p w14:paraId="12F62AD9" w14:textId="77777777" w:rsidR="005E63E4" w:rsidRPr="00DE3CEA" w:rsidRDefault="005E63E4" w:rsidP="00F54ACD">
            <w:pPr>
              <w:contextualSpacing/>
            </w:pPr>
            <w:r w:rsidRPr="00DE3CEA">
              <w:rPr>
                <w:color w:val="000000"/>
              </w:rPr>
              <w:t xml:space="preserve">   College</w:t>
            </w:r>
          </w:p>
        </w:tc>
        <w:tc>
          <w:tcPr>
            <w:tcW w:w="1658" w:type="dxa"/>
            <w:vAlign w:val="bottom"/>
          </w:tcPr>
          <w:p w14:paraId="08D69207" w14:textId="77777777" w:rsidR="005E63E4" w:rsidRPr="00DE3CEA" w:rsidRDefault="005E63E4" w:rsidP="00F54ACD">
            <w:pPr>
              <w:contextualSpacing/>
              <w:jc w:val="center"/>
            </w:pPr>
            <w:r w:rsidRPr="00DE3CEA">
              <w:rPr>
                <w:color w:val="000000"/>
              </w:rPr>
              <w:t>1 (1)</w:t>
            </w:r>
          </w:p>
        </w:tc>
        <w:tc>
          <w:tcPr>
            <w:tcW w:w="1658" w:type="dxa"/>
            <w:vAlign w:val="center"/>
          </w:tcPr>
          <w:p w14:paraId="2AACC171" w14:textId="77777777" w:rsidR="005E63E4" w:rsidRPr="00DE3CEA" w:rsidRDefault="005E63E4" w:rsidP="00F54ACD">
            <w:pPr>
              <w:contextualSpacing/>
              <w:jc w:val="center"/>
            </w:pPr>
            <w:r w:rsidRPr="00DE3CEA">
              <w:rPr>
                <w:color w:val="000000"/>
              </w:rPr>
              <w:t>1 (1)</w:t>
            </w:r>
          </w:p>
        </w:tc>
        <w:tc>
          <w:tcPr>
            <w:tcW w:w="1658" w:type="dxa"/>
            <w:vAlign w:val="center"/>
          </w:tcPr>
          <w:p w14:paraId="4085D24C" w14:textId="77777777" w:rsidR="005E63E4" w:rsidRPr="00DE3CEA" w:rsidRDefault="005E63E4" w:rsidP="00F54ACD">
            <w:pPr>
              <w:contextualSpacing/>
              <w:jc w:val="center"/>
            </w:pPr>
          </w:p>
        </w:tc>
      </w:tr>
      <w:tr w:rsidR="005E63E4" w:rsidRPr="00DE3CEA" w14:paraId="2CC1DECF" w14:textId="77777777" w:rsidTr="00F54ACD">
        <w:trPr>
          <w:trHeight w:val="243"/>
        </w:trPr>
        <w:tc>
          <w:tcPr>
            <w:tcW w:w="4386" w:type="dxa"/>
          </w:tcPr>
          <w:p w14:paraId="2DDE3685" w14:textId="77777777" w:rsidR="005E63E4" w:rsidRPr="00DE3CEA" w:rsidRDefault="005E63E4" w:rsidP="00F54ACD">
            <w:pPr>
              <w:contextualSpacing/>
            </w:pPr>
            <w:r w:rsidRPr="00DE3CEA">
              <w:t>Any current K-</w:t>
            </w:r>
            <w:proofErr w:type="spellStart"/>
            <w:r w:rsidRPr="00DE3CEA">
              <w:t>SADS</w:t>
            </w:r>
            <w:proofErr w:type="spellEnd"/>
            <w:r w:rsidRPr="00DE3CEA">
              <w:t xml:space="preserve"> </w:t>
            </w:r>
            <w:proofErr w:type="spellStart"/>
            <w:r w:rsidRPr="00DE3CEA">
              <w:t>Dx</w:t>
            </w:r>
            <w:proofErr w:type="spellEnd"/>
            <w:r w:rsidRPr="00DE3CEA">
              <w:t xml:space="preserve"> (teen report)</w:t>
            </w:r>
          </w:p>
        </w:tc>
        <w:tc>
          <w:tcPr>
            <w:tcW w:w="1658" w:type="dxa"/>
          </w:tcPr>
          <w:p w14:paraId="40DE5BF7" w14:textId="77777777" w:rsidR="005E63E4" w:rsidRPr="00DE3CEA" w:rsidRDefault="005E63E4" w:rsidP="00F54ACD">
            <w:pPr>
              <w:contextualSpacing/>
              <w:jc w:val="center"/>
            </w:pPr>
            <w:r w:rsidRPr="00DE3CEA">
              <w:t>63/171 (37%)</w:t>
            </w:r>
          </w:p>
        </w:tc>
        <w:tc>
          <w:tcPr>
            <w:tcW w:w="1658" w:type="dxa"/>
          </w:tcPr>
          <w:p w14:paraId="2D7AEFCB" w14:textId="77777777" w:rsidR="005E63E4" w:rsidRPr="00DE3CEA" w:rsidRDefault="005E63E4" w:rsidP="00F54ACD">
            <w:pPr>
              <w:contextualSpacing/>
              <w:jc w:val="center"/>
            </w:pPr>
            <w:r w:rsidRPr="00DE3CEA">
              <w:t>34/87 (39%)</w:t>
            </w:r>
          </w:p>
        </w:tc>
        <w:tc>
          <w:tcPr>
            <w:tcW w:w="1658" w:type="dxa"/>
          </w:tcPr>
          <w:p w14:paraId="604E0926" w14:textId="77777777" w:rsidR="005E63E4" w:rsidRPr="00DE3CEA" w:rsidRDefault="005E63E4" w:rsidP="00F54ACD">
            <w:pPr>
              <w:contextualSpacing/>
              <w:jc w:val="center"/>
            </w:pPr>
            <w:r w:rsidRPr="00DE3CEA">
              <w:t>29/84 (35%)</w:t>
            </w:r>
          </w:p>
        </w:tc>
      </w:tr>
      <w:tr w:rsidR="005E63E4" w:rsidRPr="00DE3CEA" w14:paraId="4AA8AF13" w14:textId="77777777" w:rsidTr="00F54ACD">
        <w:trPr>
          <w:trHeight w:val="315"/>
        </w:trPr>
        <w:tc>
          <w:tcPr>
            <w:tcW w:w="4386" w:type="dxa"/>
          </w:tcPr>
          <w:p w14:paraId="248D632C" w14:textId="77777777" w:rsidR="005E63E4" w:rsidRPr="00DE3CEA" w:rsidRDefault="005E63E4" w:rsidP="00F54ACD">
            <w:pPr>
              <w:contextualSpacing/>
            </w:pPr>
            <w:r w:rsidRPr="00DE3CEA">
              <w:t>Any past K-</w:t>
            </w:r>
            <w:proofErr w:type="spellStart"/>
            <w:r w:rsidRPr="00DE3CEA">
              <w:t>SADS</w:t>
            </w:r>
            <w:proofErr w:type="spellEnd"/>
            <w:r w:rsidRPr="00DE3CEA">
              <w:t xml:space="preserve"> </w:t>
            </w:r>
            <w:proofErr w:type="spellStart"/>
            <w:r w:rsidRPr="00DE3CEA">
              <w:t>Dx</w:t>
            </w:r>
            <w:proofErr w:type="spellEnd"/>
            <w:r w:rsidRPr="00DE3CEA">
              <w:t xml:space="preserve"> (teen report)</w:t>
            </w:r>
          </w:p>
        </w:tc>
        <w:tc>
          <w:tcPr>
            <w:tcW w:w="1658" w:type="dxa"/>
          </w:tcPr>
          <w:p w14:paraId="5F225CC2" w14:textId="77777777" w:rsidR="005E63E4" w:rsidRPr="00DE3CEA" w:rsidRDefault="005E63E4" w:rsidP="00F54ACD">
            <w:pPr>
              <w:contextualSpacing/>
              <w:jc w:val="center"/>
            </w:pPr>
            <w:r w:rsidRPr="00DE3CEA">
              <w:t>77/171 (45)</w:t>
            </w:r>
          </w:p>
        </w:tc>
        <w:tc>
          <w:tcPr>
            <w:tcW w:w="1658" w:type="dxa"/>
          </w:tcPr>
          <w:p w14:paraId="444D6D25" w14:textId="77777777" w:rsidR="005E63E4" w:rsidRPr="00DE3CEA" w:rsidRDefault="005E63E4" w:rsidP="00F54ACD">
            <w:pPr>
              <w:contextualSpacing/>
              <w:jc w:val="center"/>
            </w:pPr>
            <w:r w:rsidRPr="00DE3CEA">
              <w:t>40/86 (47)</w:t>
            </w:r>
          </w:p>
        </w:tc>
        <w:tc>
          <w:tcPr>
            <w:tcW w:w="1658" w:type="dxa"/>
          </w:tcPr>
          <w:p w14:paraId="69610925" w14:textId="77777777" w:rsidR="005E63E4" w:rsidRPr="00DE3CEA" w:rsidRDefault="005E63E4" w:rsidP="00F54ACD">
            <w:pPr>
              <w:contextualSpacing/>
              <w:jc w:val="center"/>
            </w:pPr>
            <w:r w:rsidRPr="00DE3CEA">
              <w:t>37/85 (44)</w:t>
            </w:r>
          </w:p>
        </w:tc>
      </w:tr>
      <w:tr w:rsidR="005E63E4" w:rsidRPr="00DE3CEA" w14:paraId="770F33AC" w14:textId="77777777" w:rsidTr="00F54ACD">
        <w:trPr>
          <w:trHeight w:val="66"/>
        </w:trPr>
        <w:tc>
          <w:tcPr>
            <w:tcW w:w="4386" w:type="dxa"/>
          </w:tcPr>
          <w:p w14:paraId="4451558D" w14:textId="77777777" w:rsidR="005E63E4" w:rsidRPr="00DE3CEA" w:rsidRDefault="005E63E4" w:rsidP="00F54ACD">
            <w:pPr>
              <w:contextualSpacing/>
            </w:pPr>
            <w:r w:rsidRPr="00DE3CEA">
              <w:t>Any current K-</w:t>
            </w:r>
            <w:proofErr w:type="spellStart"/>
            <w:r w:rsidRPr="00DE3CEA">
              <w:t>SADS</w:t>
            </w:r>
            <w:proofErr w:type="spellEnd"/>
            <w:r w:rsidRPr="00DE3CEA">
              <w:t xml:space="preserve"> </w:t>
            </w:r>
            <w:proofErr w:type="spellStart"/>
            <w:r w:rsidRPr="00DE3CEA">
              <w:t>Dx</w:t>
            </w:r>
            <w:proofErr w:type="spellEnd"/>
            <w:r w:rsidRPr="00DE3CEA">
              <w:t xml:space="preserve"> (parent report)</w:t>
            </w:r>
          </w:p>
        </w:tc>
        <w:tc>
          <w:tcPr>
            <w:tcW w:w="1658" w:type="dxa"/>
          </w:tcPr>
          <w:p w14:paraId="7F4BE067" w14:textId="77777777" w:rsidR="005E63E4" w:rsidRPr="00DE3CEA" w:rsidRDefault="005E63E4" w:rsidP="00F54ACD">
            <w:pPr>
              <w:contextualSpacing/>
              <w:jc w:val="center"/>
            </w:pPr>
            <w:r w:rsidRPr="00DE3CEA">
              <w:t>49/168 (29)</w:t>
            </w:r>
          </w:p>
        </w:tc>
        <w:tc>
          <w:tcPr>
            <w:tcW w:w="1658" w:type="dxa"/>
          </w:tcPr>
          <w:p w14:paraId="1CECDBFC" w14:textId="77777777" w:rsidR="005E63E4" w:rsidRPr="00DE3CEA" w:rsidRDefault="005E63E4" w:rsidP="00F54ACD">
            <w:pPr>
              <w:contextualSpacing/>
              <w:jc w:val="center"/>
            </w:pPr>
            <w:r w:rsidRPr="00DE3CEA">
              <w:t>21/85 (25)</w:t>
            </w:r>
          </w:p>
        </w:tc>
        <w:tc>
          <w:tcPr>
            <w:tcW w:w="1658" w:type="dxa"/>
          </w:tcPr>
          <w:p w14:paraId="45C02318" w14:textId="77777777" w:rsidR="005E63E4" w:rsidRPr="00DE3CEA" w:rsidRDefault="005E63E4" w:rsidP="00F54ACD">
            <w:pPr>
              <w:contextualSpacing/>
              <w:jc w:val="center"/>
            </w:pPr>
            <w:r w:rsidRPr="00DE3CEA">
              <w:t>28/83 (34)</w:t>
            </w:r>
          </w:p>
        </w:tc>
      </w:tr>
      <w:tr w:rsidR="005E63E4" w:rsidRPr="00DE3CEA" w14:paraId="78560AF6" w14:textId="77777777" w:rsidTr="00F54ACD">
        <w:trPr>
          <w:trHeight w:val="250"/>
        </w:trPr>
        <w:tc>
          <w:tcPr>
            <w:tcW w:w="4386" w:type="dxa"/>
          </w:tcPr>
          <w:p w14:paraId="1D3E332A" w14:textId="77777777" w:rsidR="005E63E4" w:rsidRPr="00DE3CEA" w:rsidRDefault="005E63E4" w:rsidP="00F54ACD">
            <w:pPr>
              <w:contextualSpacing/>
              <w:rPr>
                <w:u w:val="single"/>
              </w:rPr>
            </w:pPr>
            <w:r w:rsidRPr="00DE3CEA">
              <w:t>Any past K-</w:t>
            </w:r>
            <w:proofErr w:type="spellStart"/>
            <w:r w:rsidRPr="00DE3CEA">
              <w:t>SADS</w:t>
            </w:r>
            <w:proofErr w:type="spellEnd"/>
            <w:r w:rsidRPr="00DE3CEA">
              <w:t xml:space="preserve"> </w:t>
            </w:r>
            <w:proofErr w:type="spellStart"/>
            <w:r w:rsidRPr="00DE3CEA">
              <w:t>Dx</w:t>
            </w:r>
            <w:proofErr w:type="spellEnd"/>
            <w:r w:rsidRPr="00DE3CEA">
              <w:t xml:space="preserve"> (parent report)</w:t>
            </w:r>
          </w:p>
        </w:tc>
        <w:tc>
          <w:tcPr>
            <w:tcW w:w="1658" w:type="dxa"/>
          </w:tcPr>
          <w:p w14:paraId="763D9876" w14:textId="77777777" w:rsidR="005E63E4" w:rsidRPr="00DE3CEA" w:rsidRDefault="005E63E4" w:rsidP="00F54ACD">
            <w:pPr>
              <w:contextualSpacing/>
              <w:jc w:val="center"/>
            </w:pPr>
            <w:r w:rsidRPr="00DE3CEA">
              <w:t>55/168 (33)</w:t>
            </w:r>
          </w:p>
        </w:tc>
        <w:tc>
          <w:tcPr>
            <w:tcW w:w="1658" w:type="dxa"/>
          </w:tcPr>
          <w:p w14:paraId="340EEEA3" w14:textId="77777777" w:rsidR="005E63E4" w:rsidRPr="00DE3CEA" w:rsidRDefault="005E63E4" w:rsidP="00F54ACD">
            <w:pPr>
              <w:contextualSpacing/>
              <w:jc w:val="center"/>
            </w:pPr>
            <w:r w:rsidRPr="00DE3CEA">
              <w:t>24/84 (29)</w:t>
            </w:r>
          </w:p>
        </w:tc>
        <w:tc>
          <w:tcPr>
            <w:tcW w:w="1658" w:type="dxa"/>
          </w:tcPr>
          <w:p w14:paraId="3BE5C226" w14:textId="77777777" w:rsidR="005E63E4" w:rsidRPr="00DE3CEA" w:rsidRDefault="005E63E4" w:rsidP="00F54ACD">
            <w:pPr>
              <w:contextualSpacing/>
              <w:jc w:val="center"/>
            </w:pPr>
            <w:r w:rsidRPr="00DE3CEA">
              <w:t>31/84 (37)</w:t>
            </w:r>
          </w:p>
        </w:tc>
      </w:tr>
      <w:tr w:rsidR="005E63E4" w:rsidRPr="00DE3CEA" w14:paraId="43F33952" w14:textId="77777777" w:rsidTr="00F54ACD">
        <w:trPr>
          <w:trHeight w:val="250"/>
        </w:trPr>
        <w:tc>
          <w:tcPr>
            <w:tcW w:w="4386" w:type="dxa"/>
          </w:tcPr>
          <w:p w14:paraId="17EF736F" w14:textId="77777777" w:rsidR="005E63E4" w:rsidRPr="00DE3CEA" w:rsidRDefault="005E63E4" w:rsidP="00F54ACD">
            <w:pPr>
              <w:contextualSpacing/>
              <w:rPr>
                <w:u w:val="single"/>
              </w:rPr>
            </w:pPr>
          </w:p>
        </w:tc>
        <w:tc>
          <w:tcPr>
            <w:tcW w:w="1658" w:type="dxa"/>
          </w:tcPr>
          <w:p w14:paraId="582C2ABC" w14:textId="77777777" w:rsidR="005E63E4" w:rsidRPr="00DE3CEA" w:rsidRDefault="005E63E4" w:rsidP="00F54ACD">
            <w:pPr>
              <w:contextualSpacing/>
              <w:jc w:val="center"/>
              <w:rPr>
                <w:i/>
                <w:u w:val="single"/>
              </w:rPr>
            </w:pPr>
          </w:p>
        </w:tc>
        <w:tc>
          <w:tcPr>
            <w:tcW w:w="1658" w:type="dxa"/>
          </w:tcPr>
          <w:p w14:paraId="31705E17" w14:textId="77777777" w:rsidR="005E63E4" w:rsidRPr="00DE3CEA" w:rsidRDefault="005E63E4" w:rsidP="00F54ACD">
            <w:pPr>
              <w:contextualSpacing/>
              <w:jc w:val="center"/>
              <w:rPr>
                <w:i/>
                <w:u w:val="single"/>
              </w:rPr>
            </w:pPr>
          </w:p>
        </w:tc>
        <w:tc>
          <w:tcPr>
            <w:tcW w:w="1658" w:type="dxa"/>
          </w:tcPr>
          <w:p w14:paraId="3ED6727F" w14:textId="77777777" w:rsidR="005E63E4" w:rsidRPr="00DE3CEA" w:rsidRDefault="005E63E4" w:rsidP="00F54ACD">
            <w:pPr>
              <w:contextualSpacing/>
              <w:jc w:val="center"/>
              <w:rPr>
                <w:i/>
                <w:u w:val="single"/>
              </w:rPr>
            </w:pPr>
          </w:p>
        </w:tc>
      </w:tr>
      <w:tr w:rsidR="005E63E4" w:rsidRPr="00DE3CEA" w14:paraId="23D9CFC0" w14:textId="77777777" w:rsidTr="00F54ACD">
        <w:trPr>
          <w:trHeight w:val="250"/>
        </w:trPr>
        <w:tc>
          <w:tcPr>
            <w:tcW w:w="4386" w:type="dxa"/>
          </w:tcPr>
          <w:p w14:paraId="64EAC7B1" w14:textId="77777777" w:rsidR="005E63E4" w:rsidRPr="00DE3CEA" w:rsidRDefault="005E63E4" w:rsidP="00F54ACD">
            <w:pPr>
              <w:contextualSpacing/>
              <w:rPr>
                <w:u w:val="single"/>
              </w:rPr>
            </w:pPr>
          </w:p>
        </w:tc>
        <w:tc>
          <w:tcPr>
            <w:tcW w:w="1658" w:type="dxa"/>
          </w:tcPr>
          <w:p w14:paraId="1DFBC764" w14:textId="77777777" w:rsidR="005E63E4" w:rsidRPr="00DE3CEA" w:rsidRDefault="005E63E4" w:rsidP="00F54ACD">
            <w:pPr>
              <w:contextualSpacing/>
              <w:jc w:val="center"/>
              <w:rPr>
                <w:i/>
                <w:u w:val="single"/>
              </w:rPr>
            </w:pPr>
            <w:r w:rsidRPr="00DE3CEA">
              <w:rPr>
                <w:i/>
                <w:u w:val="single"/>
              </w:rPr>
              <w:t>M (SD)</w:t>
            </w:r>
          </w:p>
        </w:tc>
        <w:tc>
          <w:tcPr>
            <w:tcW w:w="1658" w:type="dxa"/>
          </w:tcPr>
          <w:p w14:paraId="5F1D04FE" w14:textId="77777777" w:rsidR="005E63E4" w:rsidRPr="00DE3CEA" w:rsidRDefault="005E63E4" w:rsidP="00F54ACD">
            <w:pPr>
              <w:contextualSpacing/>
              <w:jc w:val="center"/>
              <w:rPr>
                <w:i/>
                <w:u w:val="single"/>
              </w:rPr>
            </w:pPr>
            <w:r w:rsidRPr="00DE3CEA">
              <w:rPr>
                <w:i/>
                <w:u w:val="single"/>
              </w:rPr>
              <w:t>M (SD)</w:t>
            </w:r>
          </w:p>
        </w:tc>
        <w:tc>
          <w:tcPr>
            <w:tcW w:w="1658" w:type="dxa"/>
          </w:tcPr>
          <w:p w14:paraId="775570EB" w14:textId="77777777" w:rsidR="005E63E4" w:rsidRPr="00DE3CEA" w:rsidRDefault="005E63E4" w:rsidP="00F54ACD">
            <w:pPr>
              <w:contextualSpacing/>
              <w:jc w:val="center"/>
              <w:rPr>
                <w:i/>
                <w:u w:val="single"/>
              </w:rPr>
            </w:pPr>
            <w:r w:rsidRPr="00DE3CEA">
              <w:rPr>
                <w:i/>
                <w:u w:val="single"/>
              </w:rPr>
              <w:t>M (SD)</w:t>
            </w:r>
          </w:p>
        </w:tc>
      </w:tr>
      <w:tr w:rsidR="005E63E4" w:rsidRPr="00DE3CEA" w14:paraId="64AB0737" w14:textId="77777777" w:rsidTr="00F54ACD">
        <w:trPr>
          <w:trHeight w:val="250"/>
        </w:trPr>
        <w:tc>
          <w:tcPr>
            <w:tcW w:w="4386" w:type="dxa"/>
          </w:tcPr>
          <w:p w14:paraId="7603AD46" w14:textId="77777777" w:rsidR="005E63E4" w:rsidRPr="00DE3CEA" w:rsidRDefault="005E63E4" w:rsidP="00F54ACD">
            <w:pPr>
              <w:contextualSpacing/>
              <w:rPr>
                <w:u w:val="single"/>
              </w:rPr>
            </w:pPr>
            <w:r w:rsidRPr="00DE3CEA">
              <w:t xml:space="preserve">Age </w:t>
            </w:r>
          </w:p>
        </w:tc>
        <w:tc>
          <w:tcPr>
            <w:tcW w:w="1658" w:type="dxa"/>
          </w:tcPr>
          <w:p w14:paraId="061B3CEF" w14:textId="77777777" w:rsidR="005E63E4" w:rsidRPr="00DE3CEA" w:rsidRDefault="005E63E4" w:rsidP="00F54ACD">
            <w:pPr>
              <w:contextualSpacing/>
              <w:jc w:val="center"/>
              <w:rPr>
                <w:i/>
                <w:u w:val="single"/>
              </w:rPr>
            </w:pPr>
            <w:r w:rsidRPr="00DE3CEA">
              <w:t>14.77 (1.84)</w:t>
            </w:r>
          </w:p>
        </w:tc>
        <w:tc>
          <w:tcPr>
            <w:tcW w:w="1658" w:type="dxa"/>
          </w:tcPr>
          <w:p w14:paraId="5DFD62E1" w14:textId="77777777" w:rsidR="005E63E4" w:rsidRPr="00DE3CEA" w:rsidRDefault="005E63E4" w:rsidP="00F54ACD">
            <w:pPr>
              <w:contextualSpacing/>
              <w:jc w:val="center"/>
              <w:rPr>
                <w:i/>
                <w:u w:val="single"/>
              </w:rPr>
            </w:pPr>
            <w:r w:rsidRPr="00DE3CEA">
              <w:t>14.76 (1.94)</w:t>
            </w:r>
          </w:p>
        </w:tc>
        <w:tc>
          <w:tcPr>
            <w:tcW w:w="1658" w:type="dxa"/>
          </w:tcPr>
          <w:p w14:paraId="5CC74B92" w14:textId="77777777" w:rsidR="005E63E4" w:rsidRPr="00DE3CEA" w:rsidRDefault="005E63E4" w:rsidP="00F54ACD">
            <w:pPr>
              <w:contextualSpacing/>
              <w:jc w:val="center"/>
              <w:rPr>
                <w:i/>
                <w:u w:val="single"/>
              </w:rPr>
            </w:pPr>
            <w:r w:rsidRPr="00DE3CEA">
              <w:t>14.78 (1.74)</w:t>
            </w:r>
          </w:p>
        </w:tc>
      </w:tr>
    </w:tbl>
    <w:p w14:paraId="1040A765" w14:textId="77777777" w:rsidR="005E63E4" w:rsidRPr="00DE3CEA" w:rsidRDefault="005E63E4" w:rsidP="005E63E4">
      <w:pPr>
        <w:contextualSpacing/>
        <w:rPr>
          <w:i/>
          <w:iCs/>
          <w:sz w:val="22"/>
        </w:rPr>
      </w:pPr>
    </w:p>
    <w:p w14:paraId="5C666AA8" w14:textId="77777777" w:rsidR="005E63E4" w:rsidRDefault="005E63E4" w:rsidP="005E63E4">
      <w:pPr>
        <w:contextualSpacing/>
        <w:rPr>
          <w:iCs/>
          <w:sz w:val="22"/>
        </w:rPr>
        <w:sectPr w:rsidR="005E63E4" w:rsidSect="005E63E4">
          <w:pgSz w:w="12240" w:h="15840"/>
          <w:pgMar w:top="1440" w:right="1440" w:bottom="1440" w:left="1440" w:header="720" w:footer="720" w:gutter="0"/>
          <w:cols w:space="720"/>
          <w:docGrid w:linePitch="360"/>
        </w:sectPr>
      </w:pPr>
      <w:r w:rsidRPr="00DE3CEA">
        <w:rPr>
          <w:i/>
          <w:iCs/>
          <w:sz w:val="22"/>
        </w:rPr>
        <w:t xml:space="preserve">Note. M </w:t>
      </w:r>
      <w:r w:rsidRPr="00DE3CEA">
        <w:rPr>
          <w:iCs/>
          <w:sz w:val="22"/>
        </w:rPr>
        <w:t>= Mean.</w:t>
      </w:r>
      <w:r w:rsidRPr="00DE3CEA">
        <w:rPr>
          <w:i/>
          <w:iCs/>
          <w:sz w:val="22"/>
        </w:rPr>
        <w:t xml:space="preserve"> SD </w:t>
      </w:r>
      <w:r w:rsidRPr="00DE3CEA">
        <w:rPr>
          <w:iCs/>
          <w:sz w:val="22"/>
        </w:rPr>
        <w:t>= Standard Deviation. K-</w:t>
      </w:r>
      <w:proofErr w:type="spellStart"/>
      <w:r w:rsidRPr="00DE3CEA">
        <w:rPr>
          <w:iCs/>
          <w:sz w:val="22"/>
        </w:rPr>
        <w:t>SADS</w:t>
      </w:r>
      <w:proofErr w:type="spellEnd"/>
      <w:r w:rsidRPr="00DE3CEA">
        <w:rPr>
          <w:iCs/>
          <w:sz w:val="22"/>
        </w:rPr>
        <w:t xml:space="preserve"> = Schedule for Affective Disorders and Schizophrenia for School-Age Children. Dx = diagnosis.</w:t>
      </w:r>
    </w:p>
    <w:p w14:paraId="0F168F2D" w14:textId="539F3FA7" w:rsidR="00D66388" w:rsidRPr="00292779" w:rsidRDefault="005E63E4">
      <w:r>
        <w:lastRenderedPageBreak/>
        <w:t xml:space="preserve">Table 3. </w:t>
      </w:r>
    </w:p>
    <w:p w14:paraId="6F7F7767" w14:textId="77777777" w:rsidR="00D66388" w:rsidRPr="00292779" w:rsidRDefault="00D66388" w:rsidP="00D66388"/>
    <w:p w14:paraId="0814A441" w14:textId="77777777" w:rsidR="00D66388" w:rsidRPr="00292779" w:rsidRDefault="00D66388" w:rsidP="00D66388">
      <w:pPr>
        <w:rPr>
          <w:i/>
        </w:rPr>
      </w:pPr>
      <w:r w:rsidRPr="00292779">
        <w:rPr>
          <w:i/>
        </w:rPr>
        <w:t xml:space="preserve">Descriptive Statistics of Outcome Variables  </w:t>
      </w:r>
    </w:p>
    <w:p w14:paraId="1AEE1294" w14:textId="77777777" w:rsidR="00D66388" w:rsidRPr="00292779" w:rsidRDefault="00D66388"/>
    <w:tbl>
      <w:tblPr>
        <w:tblStyle w:val="TableGrid"/>
        <w:tblW w:w="13523" w:type="dxa"/>
        <w:tblInd w:w="-54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24"/>
        <w:gridCol w:w="1434"/>
        <w:gridCol w:w="1367"/>
        <w:gridCol w:w="711"/>
        <w:gridCol w:w="105"/>
        <w:gridCol w:w="1370"/>
        <w:gridCol w:w="681"/>
        <w:gridCol w:w="1370"/>
        <w:gridCol w:w="1430"/>
        <w:gridCol w:w="620"/>
        <w:gridCol w:w="1430"/>
        <w:gridCol w:w="681"/>
      </w:tblGrid>
      <w:tr w:rsidR="00D66388" w:rsidRPr="00292779" w14:paraId="602A25E5" w14:textId="77777777" w:rsidTr="0024187D">
        <w:trPr>
          <w:trHeight w:val="207"/>
        </w:trPr>
        <w:tc>
          <w:tcPr>
            <w:tcW w:w="2324" w:type="dxa"/>
          </w:tcPr>
          <w:p w14:paraId="3A4B7DC0" w14:textId="77777777" w:rsidR="00D66388" w:rsidRPr="00292779" w:rsidRDefault="00D66388" w:rsidP="0024187D">
            <w:pPr>
              <w:rPr>
                <w:color w:val="000000"/>
                <w:sz w:val="18"/>
                <w:szCs w:val="18"/>
              </w:rPr>
            </w:pPr>
          </w:p>
        </w:tc>
        <w:tc>
          <w:tcPr>
            <w:tcW w:w="5668" w:type="dxa"/>
            <w:gridSpan w:val="6"/>
            <w:tcBorders>
              <w:top w:val="single" w:sz="4" w:space="0" w:color="auto"/>
              <w:bottom w:val="single" w:sz="4" w:space="0" w:color="auto"/>
            </w:tcBorders>
            <w:noWrap/>
          </w:tcPr>
          <w:p w14:paraId="7D23FB40" w14:textId="77777777" w:rsidR="00D66388" w:rsidRPr="00292779" w:rsidRDefault="00D66388" w:rsidP="0024187D">
            <w:pPr>
              <w:jc w:val="center"/>
              <w:rPr>
                <w:color w:val="000000"/>
                <w:sz w:val="18"/>
                <w:szCs w:val="18"/>
              </w:rPr>
            </w:pPr>
            <w:r w:rsidRPr="00292779">
              <w:rPr>
                <w:color w:val="000000"/>
                <w:sz w:val="18"/>
                <w:szCs w:val="18"/>
              </w:rPr>
              <w:t>TranS-C</w:t>
            </w:r>
          </w:p>
        </w:tc>
        <w:tc>
          <w:tcPr>
            <w:tcW w:w="5531" w:type="dxa"/>
            <w:gridSpan w:val="5"/>
            <w:tcBorders>
              <w:top w:val="single" w:sz="4" w:space="0" w:color="auto"/>
              <w:bottom w:val="single" w:sz="4" w:space="0" w:color="auto"/>
            </w:tcBorders>
            <w:noWrap/>
          </w:tcPr>
          <w:p w14:paraId="686AB18C" w14:textId="77777777" w:rsidR="00D66388" w:rsidRPr="00292779" w:rsidRDefault="00D66388" w:rsidP="0024187D">
            <w:pPr>
              <w:jc w:val="center"/>
              <w:rPr>
                <w:color w:val="000000"/>
                <w:sz w:val="18"/>
                <w:szCs w:val="18"/>
              </w:rPr>
            </w:pPr>
            <w:r w:rsidRPr="00292779">
              <w:rPr>
                <w:color w:val="000000"/>
                <w:sz w:val="18"/>
                <w:szCs w:val="18"/>
              </w:rPr>
              <w:t>PE</w:t>
            </w:r>
          </w:p>
        </w:tc>
      </w:tr>
      <w:tr w:rsidR="00D66388" w:rsidRPr="00292779" w14:paraId="2D8642AE" w14:textId="77777777" w:rsidTr="0024187D">
        <w:trPr>
          <w:trHeight w:val="207"/>
        </w:trPr>
        <w:tc>
          <w:tcPr>
            <w:tcW w:w="2324" w:type="dxa"/>
            <w:tcBorders>
              <w:bottom w:val="nil"/>
            </w:tcBorders>
          </w:tcPr>
          <w:p w14:paraId="4BFC9A75" w14:textId="77777777" w:rsidR="00D66388" w:rsidRPr="00292779" w:rsidRDefault="00D66388" w:rsidP="0024187D">
            <w:pPr>
              <w:rPr>
                <w:color w:val="000000"/>
                <w:sz w:val="18"/>
                <w:szCs w:val="18"/>
                <w:u w:val="single"/>
              </w:rPr>
            </w:pPr>
          </w:p>
        </w:tc>
        <w:tc>
          <w:tcPr>
            <w:tcW w:w="1434" w:type="dxa"/>
            <w:tcBorders>
              <w:top w:val="single" w:sz="4" w:space="0" w:color="auto"/>
              <w:bottom w:val="single" w:sz="4" w:space="0" w:color="auto"/>
            </w:tcBorders>
            <w:noWrap/>
          </w:tcPr>
          <w:p w14:paraId="34BE534C" w14:textId="77777777" w:rsidR="00D66388" w:rsidRPr="00292779" w:rsidRDefault="00D66388" w:rsidP="0024187D">
            <w:pPr>
              <w:jc w:val="center"/>
              <w:rPr>
                <w:color w:val="000000"/>
                <w:sz w:val="18"/>
                <w:szCs w:val="18"/>
              </w:rPr>
            </w:pPr>
            <w:r w:rsidRPr="00292779">
              <w:rPr>
                <w:color w:val="000000"/>
                <w:sz w:val="18"/>
                <w:szCs w:val="18"/>
              </w:rPr>
              <w:t>Baseline</w:t>
            </w:r>
          </w:p>
        </w:tc>
        <w:tc>
          <w:tcPr>
            <w:tcW w:w="2183" w:type="dxa"/>
            <w:gridSpan w:val="3"/>
            <w:tcBorders>
              <w:top w:val="single" w:sz="4" w:space="0" w:color="auto"/>
              <w:bottom w:val="single" w:sz="4" w:space="0" w:color="auto"/>
            </w:tcBorders>
            <w:noWrap/>
          </w:tcPr>
          <w:p w14:paraId="048E4775" w14:textId="77777777" w:rsidR="00D66388" w:rsidRPr="00292779" w:rsidRDefault="00D66388" w:rsidP="0024187D">
            <w:pPr>
              <w:jc w:val="center"/>
              <w:rPr>
                <w:color w:val="000000"/>
                <w:sz w:val="18"/>
                <w:szCs w:val="18"/>
              </w:rPr>
            </w:pPr>
            <w:r w:rsidRPr="00292779">
              <w:rPr>
                <w:color w:val="000000"/>
                <w:sz w:val="18"/>
                <w:szCs w:val="18"/>
              </w:rPr>
              <w:t>Post-treatment</w:t>
            </w:r>
          </w:p>
        </w:tc>
        <w:tc>
          <w:tcPr>
            <w:tcW w:w="2051" w:type="dxa"/>
            <w:gridSpan w:val="2"/>
            <w:tcBorders>
              <w:top w:val="single" w:sz="4" w:space="0" w:color="auto"/>
              <w:bottom w:val="single" w:sz="4" w:space="0" w:color="auto"/>
            </w:tcBorders>
            <w:noWrap/>
          </w:tcPr>
          <w:p w14:paraId="6157F37F" w14:textId="77777777" w:rsidR="00D66388" w:rsidRPr="00292779" w:rsidRDefault="00D66388" w:rsidP="0024187D">
            <w:pPr>
              <w:jc w:val="center"/>
              <w:rPr>
                <w:color w:val="000000"/>
                <w:sz w:val="18"/>
                <w:szCs w:val="18"/>
              </w:rPr>
            </w:pPr>
            <w:r w:rsidRPr="00292779">
              <w:rPr>
                <w:color w:val="000000"/>
                <w:sz w:val="18"/>
                <w:szCs w:val="18"/>
              </w:rPr>
              <w:t>6-month follow-up</w:t>
            </w:r>
          </w:p>
        </w:tc>
        <w:tc>
          <w:tcPr>
            <w:tcW w:w="1370" w:type="dxa"/>
            <w:tcBorders>
              <w:top w:val="single" w:sz="4" w:space="0" w:color="auto"/>
              <w:bottom w:val="single" w:sz="4" w:space="0" w:color="auto"/>
            </w:tcBorders>
            <w:noWrap/>
          </w:tcPr>
          <w:p w14:paraId="06253E7C" w14:textId="77777777" w:rsidR="00D66388" w:rsidRPr="00292779" w:rsidRDefault="00D66388" w:rsidP="0024187D">
            <w:pPr>
              <w:jc w:val="center"/>
              <w:rPr>
                <w:color w:val="000000"/>
                <w:sz w:val="18"/>
                <w:szCs w:val="18"/>
              </w:rPr>
            </w:pPr>
            <w:r w:rsidRPr="00292779">
              <w:rPr>
                <w:color w:val="000000"/>
                <w:sz w:val="18"/>
                <w:szCs w:val="18"/>
              </w:rPr>
              <w:t>Baseline</w:t>
            </w:r>
          </w:p>
        </w:tc>
        <w:tc>
          <w:tcPr>
            <w:tcW w:w="2050" w:type="dxa"/>
            <w:gridSpan w:val="2"/>
            <w:tcBorders>
              <w:top w:val="single" w:sz="4" w:space="0" w:color="auto"/>
              <w:bottom w:val="single" w:sz="4" w:space="0" w:color="auto"/>
            </w:tcBorders>
            <w:noWrap/>
          </w:tcPr>
          <w:p w14:paraId="5DDACB60" w14:textId="77777777" w:rsidR="00D66388" w:rsidRPr="00292779" w:rsidRDefault="00D66388" w:rsidP="0024187D">
            <w:pPr>
              <w:jc w:val="center"/>
              <w:rPr>
                <w:color w:val="000000"/>
                <w:sz w:val="18"/>
                <w:szCs w:val="18"/>
              </w:rPr>
            </w:pPr>
            <w:r w:rsidRPr="00292779">
              <w:rPr>
                <w:color w:val="000000"/>
                <w:sz w:val="18"/>
                <w:szCs w:val="18"/>
              </w:rPr>
              <w:t>Post-treatment</w:t>
            </w:r>
          </w:p>
        </w:tc>
        <w:tc>
          <w:tcPr>
            <w:tcW w:w="2111" w:type="dxa"/>
            <w:gridSpan w:val="2"/>
            <w:tcBorders>
              <w:top w:val="single" w:sz="4" w:space="0" w:color="auto"/>
              <w:bottom w:val="single" w:sz="4" w:space="0" w:color="auto"/>
            </w:tcBorders>
            <w:noWrap/>
          </w:tcPr>
          <w:p w14:paraId="2DB901C9" w14:textId="77777777" w:rsidR="00D66388" w:rsidRPr="00292779" w:rsidRDefault="00D66388" w:rsidP="0024187D">
            <w:pPr>
              <w:jc w:val="center"/>
              <w:rPr>
                <w:color w:val="000000"/>
                <w:sz w:val="18"/>
                <w:szCs w:val="18"/>
              </w:rPr>
            </w:pPr>
            <w:r w:rsidRPr="00292779">
              <w:rPr>
                <w:color w:val="000000"/>
                <w:sz w:val="18"/>
                <w:szCs w:val="18"/>
              </w:rPr>
              <w:t>6-month follow-up</w:t>
            </w:r>
          </w:p>
        </w:tc>
      </w:tr>
      <w:tr w:rsidR="00D66388" w:rsidRPr="00292779" w14:paraId="63CD0962" w14:textId="77777777" w:rsidTr="0024187D">
        <w:trPr>
          <w:trHeight w:val="207"/>
        </w:trPr>
        <w:tc>
          <w:tcPr>
            <w:tcW w:w="2324" w:type="dxa"/>
            <w:tcBorders>
              <w:top w:val="nil"/>
              <w:bottom w:val="single" w:sz="4" w:space="0" w:color="auto"/>
            </w:tcBorders>
          </w:tcPr>
          <w:p w14:paraId="12B8CBB4" w14:textId="77777777" w:rsidR="00D66388" w:rsidRPr="00292779" w:rsidRDefault="00D66388" w:rsidP="0024187D">
            <w:pPr>
              <w:rPr>
                <w:color w:val="000000"/>
                <w:sz w:val="18"/>
                <w:szCs w:val="18"/>
              </w:rPr>
            </w:pPr>
            <w:r w:rsidRPr="00292779">
              <w:rPr>
                <w:color w:val="000000"/>
                <w:sz w:val="18"/>
                <w:szCs w:val="18"/>
              </w:rPr>
              <w:t>Outcome</w:t>
            </w:r>
          </w:p>
        </w:tc>
        <w:tc>
          <w:tcPr>
            <w:tcW w:w="1434" w:type="dxa"/>
            <w:tcBorders>
              <w:top w:val="single" w:sz="4" w:space="0" w:color="auto"/>
              <w:bottom w:val="single" w:sz="4" w:space="0" w:color="auto"/>
            </w:tcBorders>
            <w:noWrap/>
          </w:tcPr>
          <w:p w14:paraId="566B7E99"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1367" w:type="dxa"/>
            <w:tcBorders>
              <w:top w:val="single" w:sz="4" w:space="0" w:color="auto"/>
              <w:bottom w:val="single" w:sz="4" w:space="0" w:color="auto"/>
            </w:tcBorders>
            <w:noWrap/>
          </w:tcPr>
          <w:p w14:paraId="74E494FC"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816" w:type="dxa"/>
            <w:gridSpan w:val="2"/>
            <w:tcBorders>
              <w:top w:val="single" w:sz="4" w:space="0" w:color="auto"/>
              <w:bottom w:val="single" w:sz="4" w:space="0" w:color="auto"/>
            </w:tcBorders>
          </w:tcPr>
          <w:p w14:paraId="00348CD9" w14:textId="77777777" w:rsidR="00D66388" w:rsidRPr="00292779" w:rsidRDefault="00D66388" w:rsidP="0024187D">
            <w:pPr>
              <w:jc w:val="center"/>
              <w:rPr>
                <w:color w:val="000000"/>
                <w:sz w:val="18"/>
                <w:szCs w:val="18"/>
              </w:rPr>
            </w:pPr>
            <w:r w:rsidRPr="00292779">
              <w:rPr>
                <w:i/>
                <w:iCs/>
                <w:color w:val="000000"/>
                <w:sz w:val="18"/>
                <w:szCs w:val="18"/>
              </w:rPr>
              <w:t>d</w:t>
            </w:r>
          </w:p>
        </w:tc>
        <w:tc>
          <w:tcPr>
            <w:tcW w:w="1370" w:type="dxa"/>
            <w:tcBorders>
              <w:top w:val="single" w:sz="4" w:space="0" w:color="auto"/>
              <w:bottom w:val="single" w:sz="4" w:space="0" w:color="auto"/>
            </w:tcBorders>
            <w:noWrap/>
          </w:tcPr>
          <w:p w14:paraId="7B0C19B3"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681" w:type="dxa"/>
            <w:tcBorders>
              <w:top w:val="single" w:sz="4" w:space="0" w:color="auto"/>
              <w:bottom w:val="single" w:sz="4" w:space="0" w:color="auto"/>
            </w:tcBorders>
          </w:tcPr>
          <w:p w14:paraId="1A42E310" w14:textId="77777777" w:rsidR="00D66388" w:rsidRPr="00292779" w:rsidRDefault="00D66388" w:rsidP="0024187D">
            <w:pPr>
              <w:jc w:val="center"/>
              <w:rPr>
                <w:color w:val="000000"/>
                <w:sz w:val="18"/>
                <w:szCs w:val="18"/>
              </w:rPr>
            </w:pPr>
            <w:r w:rsidRPr="00292779">
              <w:rPr>
                <w:i/>
                <w:iCs/>
                <w:color w:val="000000"/>
                <w:sz w:val="18"/>
                <w:szCs w:val="18"/>
              </w:rPr>
              <w:t>d</w:t>
            </w:r>
          </w:p>
        </w:tc>
        <w:tc>
          <w:tcPr>
            <w:tcW w:w="1370" w:type="dxa"/>
            <w:tcBorders>
              <w:top w:val="single" w:sz="4" w:space="0" w:color="auto"/>
              <w:bottom w:val="single" w:sz="4" w:space="0" w:color="auto"/>
            </w:tcBorders>
            <w:noWrap/>
          </w:tcPr>
          <w:p w14:paraId="130DA86B"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1430" w:type="dxa"/>
            <w:tcBorders>
              <w:top w:val="single" w:sz="4" w:space="0" w:color="auto"/>
              <w:bottom w:val="single" w:sz="4" w:space="0" w:color="auto"/>
            </w:tcBorders>
            <w:noWrap/>
          </w:tcPr>
          <w:p w14:paraId="0E02CEEA"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620" w:type="dxa"/>
            <w:tcBorders>
              <w:top w:val="single" w:sz="4" w:space="0" w:color="auto"/>
              <w:bottom w:val="single" w:sz="4" w:space="0" w:color="auto"/>
            </w:tcBorders>
          </w:tcPr>
          <w:p w14:paraId="1CC8A9C5" w14:textId="77777777" w:rsidR="00D66388" w:rsidRPr="00292779" w:rsidRDefault="00D66388" w:rsidP="0024187D">
            <w:pPr>
              <w:jc w:val="center"/>
              <w:rPr>
                <w:color w:val="000000"/>
                <w:sz w:val="18"/>
                <w:szCs w:val="18"/>
              </w:rPr>
            </w:pPr>
            <w:r w:rsidRPr="00292779">
              <w:rPr>
                <w:i/>
                <w:iCs/>
                <w:color w:val="000000"/>
                <w:sz w:val="18"/>
                <w:szCs w:val="18"/>
              </w:rPr>
              <w:t>d</w:t>
            </w:r>
          </w:p>
        </w:tc>
        <w:tc>
          <w:tcPr>
            <w:tcW w:w="1430" w:type="dxa"/>
            <w:tcBorders>
              <w:top w:val="single" w:sz="4" w:space="0" w:color="auto"/>
              <w:bottom w:val="single" w:sz="4" w:space="0" w:color="auto"/>
            </w:tcBorders>
            <w:noWrap/>
          </w:tcPr>
          <w:p w14:paraId="5925BE56"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681" w:type="dxa"/>
            <w:tcBorders>
              <w:top w:val="single" w:sz="4" w:space="0" w:color="auto"/>
              <w:bottom w:val="single" w:sz="4" w:space="0" w:color="auto"/>
            </w:tcBorders>
          </w:tcPr>
          <w:p w14:paraId="1803C5EE" w14:textId="77777777" w:rsidR="00D66388" w:rsidRPr="00292779" w:rsidRDefault="00D66388" w:rsidP="0024187D">
            <w:pPr>
              <w:jc w:val="center"/>
              <w:rPr>
                <w:color w:val="000000"/>
                <w:sz w:val="18"/>
                <w:szCs w:val="18"/>
              </w:rPr>
            </w:pPr>
            <w:r w:rsidRPr="00292779">
              <w:rPr>
                <w:i/>
                <w:iCs/>
                <w:color w:val="000000"/>
                <w:sz w:val="18"/>
                <w:szCs w:val="18"/>
              </w:rPr>
              <w:t>d</w:t>
            </w:r>
          </w:p>
        </w:tc>
      </w:tr>
      <w:tr w:rsidR="00D66388" w:rsidRPr="00292779" w14:paraId="024B5AB8" w14:textId="77777777" w:rsidTr="0024187D">
        <w:trPr>
          <w:trHeight w:val="207"/>
        </w:trPr>
        <w:tc>
          <w:tcPr>
            <w:tcW w:w="13523" w:type="dxa"/>
            <w:gridSpan w:val="12"/>
            <w:tcBorders>
              <w:top w:val="single" w:sz="4" w:space="0" w:color="auto"/>
            </w:tcBorders>
          </w:tcPr>
          <w:p w14:paraId="4BEDF135" w14:textId="77777777" w:rsidR="00D66388" w:rsidRPr="00292779" w:rsidRDefault="00D66388" w:rsidP="0024187D">
            <w:pPr>
              <w:rPr>
                <w:color w:val="000000"/>
                <w:sz w:val="18"/>
                <w:szCs w:val="18"/>
              </w:rPr>
            </w:pPr>
            <w:r w:rsidRPr="00292779">
              <w:rPr>
                <w:color w:val="000000"/>
                <w:sz w:val="18"/>
                <w:szCs w:val="18"/>
                <w:u w:val="single"/>
              </w:rPr>
              <w:t>Sleep and Circadian Outcomes</w:t>
            </w:r>
          </w:p>
        </w:tc>
      </w:tr>
      <w:tr w:rsidR="00D66388" w:rsidRPr="00292779" w14:paraId="400C91A1" w14:textId="77777777" w:rsidTr="0024187D">
        <w:trPr>
          <w:trHeight w:val="207"/>
        </w:trPr>
        <w:tc>
          <w:tcPr>
            <w:tcW w:w="2324" w:type="dxa"/>
            <w:hideMark/>
          </w:tcPr>
          <w:p w14:paraId="1FE3FDDE" w14:textId="77777777" w:rsidR="00D66388" w:rsidRPr="00292779" w:rsidRDefault="00D66388" w:rsidP="0024187D">
            <w:pPr>
              <w:rPr>
                <w:color w:val="000000"/>
                <w:sz w:val="18"/>
                <w:szCs w:val="18"/>
              </w:rPr>
            </w:pPr>
            <w:proofErr w:type="spellStart"/>
            <w:r w:rsidRPr="00292779">
              <w:rPr>
                <w:color w:val="000000"/>
                <w:sz w:val="18"/>
                <w:szCs w:val="18"/>
              </w:rPr>
              <w:t>TST</w:t>
            </w:r>
            <w:proofErr w:type="spellEnd"/>
            <w:r w:rsidRPr="00292779">
              <w:rPr>
                <w:color w:val="000000"/>
                <w:sz w:val="18"/>
                <w:szCs w:val="18"/>
              </w:rPr>
              <w:t xml:space="preserve"> weeknights*</w:t>
            </w:r>
          </w:p>
        </w:tc>
        <w:tc>
          <w:tcPr>
            <w:tcW w:w="1434" w:type="dxa"/>
            <w:noWrap/>
            <w:hideMark/>
          </w:tcPr>
          <w:p w14:paraId="088EE9E6" w14:textId="77777777" w:rsidR="00D66388" w:rsidRPr="00292779" w:rsidRDefault="00D66388" w:rsidP="0024187D">
            <w:pPr>
              <w:jc w:val="center"/>
              <w:rPr>
                <w:color w:val="000000"/>
                <w:sz w:val="18"/>
                <w:szCs w:val="18"/>
              </w:rPr>
            </w:pPr>
            <w:r w:rsidRPr="00292779">
              <w:rPr>
                <w:color w:val="000000"/>
                <w:sz w:val="18"/>
                <w:szCs w:val="18"/>
              </w:rPr>
              <w:t>459.06 (64.92)</w:t>
            </w:r>
          </w:p>
        </w:tc>
        <w:tc>
          <w:tcPr>
            <w:tcW w:w="1367" w:type="dxa"/>
            <w:noWrap/>
            <w:hideMark/>
          </w:tcPr>
          <w:p w14:paraId="6DAFC22B" w14:textId="77777777" w:rsidR="00D66388" w:rsidRPr="00292779" w:rsidRDefault="00D66388" w:rsidP="0024187D">
            <w:pPr>
              <w:jc w:val="center"/>
              <w:rPr>
                <w:color w:val="000000"/>
                <w:sz w:val="18"/>
                <w:szCs w:val="18"/>
              </w:rPr>
            </w:pPr>
            <w:r w:rsidRPr="00292779">
              <w:rPr>
                <w:color w:val="000000"/>
                <w:sz w:val="18"/>
                <w:szCs w:val="18"/>
              </w:rPr>
              <w:t>482.76 (82.55)</w:t>
            </w:r>
          </w:p>
        </w:tc>
        <w:tc>
          <w:tcPr>
            <w:tcW w:w="816" w:type="dxa"/>
            <w:gridSpan w:val="2"/>
          </w:tcPr>
          <w:p w14:paraId="0AB8CC82" w14:textId="77777777" w:rsidR="00D66388" w:rsidRPr="00292779" w:rsidRDefault="00D66388" w:rsidP="0024187D">
            <w:pPr>
              <w:jc w:val="center"/>
              <w:rPr>
                <w:color w:val="000000"/>
                <w:sz w:val="18"/>
                <w:szCs w:val="18"/>
              </w:rPr>
            </w:pPr>
            <w:r w:rsidRPr="00292779">
              <w:rPr>
                <w:color w:val="000000"/>
                <w:sz w:val="18"/>
                <w:szCs w:val="18"/>
              </w:rPr>
              <w:t>0.37</w:t>
            </w:r>
          </w:p>
        </w:tc>
        <w:tc>
          <w:tcPr>
            <w:tcW w:w="1370" w:type="dxa"/>
            <w:noWrap/>
            <w:hideMark/>
          </w:tcPr>
          <w:p w14:paraId="6E8A4574" w14:textId="77777777" w:rsidR="00D66388" w:rsidRPr="00292779" w:rsidRDefault="00D66388" w:rsidP="0024187D">
            <w:pPr>
              <w:jc w:val="center"/>
              <w:rPr>
                <w:color w:val="000000"/>
                <w:sz w:val="18"/>
                <w:szCs w:val="18"/>
              </w:rPr>
            </w:pPr>
            <w:r w:rsidRPr="00292779">
              <w:rPr>
                <w:color w:val="000000"/>
                <w:sz w:val="18"/>
                <w:szCs w:val="18"/>
              </w:rPr>
              <w:t>436.63 (58.15)</w:t>
            </w:r>
          </w:p>
        </w:tc>
        <w:tc>
          <w:tcPr>
            <w:tcW w:w="681" w:type="dxa"/>
          </w:tcPr>
          <w:p w14:paraId="4997761D" w14:textId="77777777" w:rsidR="00D66388" w:rsidRPr="00292779" w:rsidRDefault="00D66388" w:rsidP="0024187D">
            <w:pPr>
              <w:jc w:val="center"/>
              <w:rPr>
                <w:color w:val="000000"/>
                <w:sz w:val="18"/>
                <w:szCs w:val="18"/>
              </w:rPr>
            </w:pPr>
            <w:r w:rsidRPr="00292779">
              <w:rPr>
                <w:color w:val="000000"/>
                <w:sz w:val="18"/>
                <w:szCs w:val="18"/>
              </w:rPr>
              <w:t>-0.35</w:t>
            </w:r>
          </w:p>
        </w:tc>
        <w:tc>
          <w:tcPr>
            <w:tcW w:w="1370" w:type="dxa"/>
            <w:noWrap/>
            <w:hideMark/>
          </w:tcPr>
          <w:p w14:paraId="529B23DB" w14:textId="77777777" w:rsidR="00D66388" w:rsidRPr="00292779" w:rsidRDefault="00D66388" w:rsidP="0024187D">
            <w:pPr>
              <w:jc w:val="center"/>
              <w:rPr>
                <w:color w:val="000000"/>
                <w:sz w:val="18"/>
                <w:szCs w:val="18"/>
              </w:rPr>
            </w:pPr>
            <w:r w:rsidRPr="00292779">
              <w:rPr>
                <w:color w:val="000000"/>
                <w:sz w:val="18"/>
                <w:szCs w:val="18"/>
              </w:rPr>
              <w:t>454.96 (61.51)</w:t>
            </w:r>
          </w:p>
        </w:tc>
        <w:tc>
          <w:tcPr>
            <w:tcW w:w="1430" w:type="dxa"/>
            <w:noWrap/>
            <w:hideMark/>
          </w:tcPr>
          <w:p w14:paraId="24BB62ED" w14:textId="77777777" w:rsidR="00D66388" w:rsidRPr="00292779" w:rsidRDefault="00D66388" w:rsidP="0024187D">
            <w:pPr>
              <w:jc w:val="center"/>
              <w:rPr>
                <w:color w:val="000000"/>
                <w:sz w:val="18"/>
                <w:szCs w:val="18"/>
              </w:rPr>
            </w:pPr>
            <w:r w:rsidRPr="00292779">
              <w:rPr>
                <w:color w:val="000000"/>
                <w:sz w:val="18"/>
                <w:szCs w:val="18"/>
              </w:rPr>
              <w:t>464.81 (76.01)</w:t>
            </w:r>
          </w:p>
        </w:tc>
        <w:tc>
          <w:tcPr>
            <w:tcW w:w="620" w:type="dxa"/>
          </w:tcPr>
          <w:p w14:paraId="43CED3D2" w14:textId="77777777" w:rsidR="00D66388" w:rsidRPr="00292779" w:rsidRDefault="00D66388" w:rsidP="0024187D">
            <w:pPr>
              <w:jc w:val="center"/>
              <w:rPr>
                <w:color w:val="000000"/>
                <w:sz w:val="18"/>
                <w:szCs w:val="18"/>
              </w:rPr>
            </w:pPr>
            <w:r w:rsidRPr="00292779">
              <w:rPr>
                <w:color w:val="000000"/>
                <w:sz w:val="18"/>
                <w:szCs w:val="18"/>
              </w:rPr>
              <w:t>0.16</w:t>
            </w:r>
          </w:p>
        </w:tc>
        <w:tc>
          <w:tcPr>
            <w:tcW w:w="1430" w:type="dxa"/>
            <w:noWrap/>
            <w:hideMark/>
          </w:tcPr>
          <w:p w14:paraId="70A10231" w14:textId="77777777" w:rsidR="00D66388" w:rsidRPr="00292779" w:rsidRDefault="00D66388" w:rsidP="0024187D">
            <w:pPr>
              <w:jc w:val="center"/>
              <w:rPr>
                <w:color w:val="000000"/>
                <w:sz w:val="18"/>
                <w:szCs w:val="18"/>
              </w:rPr>
            </w:pPr>
            <w:r w:rsidRPr="00292779">
              <w:rPr>
                <w:color w:val="000000"/>
                <w:sz w:val="18"/>
                <w:szCs w:val="18"/>
              </w:rPr>
              <w:t>430.57 (60.63)</w:t>
            </w:r>
          </w:p>
        </w:tc>
        <w:tc>
          <w:tcPr>
            <w:tcW w:w="681" w:type="dxa"/>
          </w:tcPr>
          <w:p w14:paraId="6BDE0902" w14:textId="77777777" w:rsidR="00D66388" w:rsidRPr="00292779" w:rsidRDefault="00D66388" w:rsidP="0024187D">
            <w:pPr>
              <w:jc w:val="center"/>
              <w:rPr>
                <w:color w:val="000000"/>
                <w:sz w:val="18"/>
                <w:szCs w:val="18"/>
              </w:rPr>
            </w:pPr>
            <w:r w:rsidRPr="00292779">
              <w:rPr>
                <w:color w:val="000000"/>
                <w:sz w:val="18"/>
                <w:szCs w:val="18"/>
              </w:rPr>
              <w:t>-0.40</w:t>
            </w:r>
          </w:p>
        </w:tc>
      </w:tr>
      <w:tr w:rsidR="00D66388" w:rsidRPr="00292779" w14:paraId="7ECB0002" w14:textId="77777777" w:rsidTr="0024187D">
        <w:trPr>
          <w:trHeight w:val="207"/>
        </w:trPr>
        <w:tc>
          <w:tcPr>
            <w:tcW w:w="2324" w:type="dxa"/>
            <w:hideMark/>
          </w:tcPr>
          <w:p w14:paraId="3D3BA9BA" w14:textId="77777777" w:rsidR="00D66388" w:rsidRPr="00292779" w:rsidRDefault="00D66388" w:rsidP="0024187D">
            <w:pPr>
              <w:rPr>
                <w:color w:val="000000"/>
                <w:sz w:val="18"/>
                <w:szCs w:val="18"/>
              </w:rPr>
            </w:pPr>
            <w:r w:rsidRPr="00292779">
              <w:rPr>
                <w:color w:val="000000"/>
                <w:sz w:val="18"/>
                <w:szCs w:val="18"/>
              </w:rPr>
              <w:t>BT weeknights*</w:t>
            </w:r>
          </w:p>
        </w:tc>
        <w:tc>
          <w:tcPr>
            <w:tcW w:w="1434" w:type="dxa"/>
            <w:noWrap/>
            <w:hideMark/>
          </w:tcPr>
          <w:p w14:paraId="34EB0F0D" w14:textId="77777777" w:rsidR="00D66388" w:rsidRPr="00292779" w:rsidRDefault="00D66388" w:rsidP="0024187D">
            <w:pPr>
              <w:jc w:val="center"/>
              <w:rPr>
                <w:color w:val="000000"/>
                <w:sz w:val="18"/>
                <w:szCs w:val="18"/>
              </w:rPr>
            </w:pPr>
            <w:r w:rsidRPr="00292779">
              <w:rPr>
                <w:color w:val="000000"/>
                <w:sz w:val="18"/>
                <w:szCs w:val="18"/>
              </w:rPr>
              <w:t>22.87 (1.07)</w:t>
            </w:r>
          </w:p>
        </w:tc>
        <w:tc>
          <w:tcPr>
            <w:tcW w:w="1367" w:type="dxa"/>
            <w:noWrap/>
            <w:hideMark/>
          </w:tcPr>
          <w:p w14:paraId="38AD2E54" w14:textId="77777777" w:rsidR="00D66388" w:rsidRPr="00292779" w:rsidRDefault="00D66388" w:rsidP="0024187D">
            <w:pPr>
              <w:jc w:val="center"/>
              <w:rPr>
                <w:color w:val="000000"/>
                <w:sz w:val="18"/>
                <w:szCs w:val="18"/>
              </w:rPr>
            </w:pPr>
            <w:r w:rsidRPr="00292779">
              <w:rPr>
                <w:color w:val="000000"/>
                <w:sz w:val="18"/>
                <w:szCs w:val="18"/>
              </w:rPr>
              <w:t>22.85 (0.98)</w:t>
            </w:r>
          </w:p>
        </w:tc>
        <w:tc>
          <w:tcPr>
            <w:tcW w:w="816" w:type="dxa"/>
            <w:gridSpan w:val="2"/>
          </w:tcPr>
          <w:p w14:paraId="66D726BA" w14:textId="77777777" w:rsidR="00D66388" w:rsidRPr="00292779" w:rsidRDefault="00D66388" w:rsidP="0024187D">
            <w:pPr>
              <w:jc w:val="center"/>
              <w:rPr>
                <w:color w:val="000000"/>
                <w:sz w:val="18"/>
                <w:szCs w:val="18"/>
              </w:rPr>
            </w:pPr>
            <w:r w:rsidRPr="00292779">
              <w:rPr>
                <w:color w:val="000000"/>
                <w:sz w:val="18"/>
                <w:szCs w:val="18"/>
              </w:rPr>
              <w:t>-0.03</w:t>
            </w:r>
          </w:p>
        </w:tc>
        <w:tc>
          <w:tcPr>
            <w:tcW w:w="1370" w:type="dxa"/>
            <w:noWrap/>
            <w:hideMark/>
          </w:tcPr>
          <w:p w14:paraId="66F5A215" w14:textId="77777777" w:rsidR="00D66388" w:rsidRPr="00292779" w:rsidRDefault="00D66388" w:rsidP="0024187D">
            <w:pPr>
              <w:jc w:val="center"/>
              <w:rPr>
                <w:color w:val="000000"/>
                <w:sz w:val="18"/>
                <w:szCs w:val="18"/>
              </w:rPr>
            </w:pPr>
            <w:r w:rsidRPr="00292779">
              <w:rPr>
                <w:color w:val="000000"/>
                <w:sz w:val="18"/>
                <w:szCs w:val="18"/>
              </w:rPr>
              <w:t>22.98 (1.16)</w:t>
            </w:r>
          </w:p>
        </w:tc>
        <w:tc>
          <w:tcPr>
            <w:tcW w:w="681" w:type="dxa"/>
          </w:tcPr>
          <w:p w14:paraId="7857EAC6" w14:textId="77777777" w:rsidR="00D66388" w:rsidRPr="00292779" w:rsidRDefault="00D66388" w:rsidP="0024187D">
            <w:pPr>
              <w:jc w:val="center"/>
              <w:rPr>
                <w:color w:val="000000"/>
                <w:sz w:val="18"/>
                <w:szCs w:val="18"/>
              </w:rPr>
            </w:pPr>
            <w:r w:rsidRPr="00292779">
              <w:rPr>
                <w:color w:val="000000"/>
                <w:sz w:val="18"/>
                <w:szCs w:val="18"/>
              </w:rPr>
              <w:t>0.10</w:t>
            </w:r>
          </w:p>
        </w:tc>
        <w:tc>
          <w:tcPr>
            <w:tcW w:w="1370" w:type="dxa"/>
            <w:noWrap/>
            <w:hideMark/>
          </w:tcPr>
          <w:p w14:paraId="5FD6A464" w14:textId="77777777" w:rsidR="00D66388" w:rsidRPr="00292779" w:rsidRDefault="00D66388" w:rsidP="0024187D">
            <w:pPr>
              <w:jc w:val="center"/>
              <w:rPr>
                <w:color w:val="000000"/>
                <w:sz w:val="18"/>
                <w:szCs w:val="18"/>
              </w:rPr>
            </w:pPr>
            <w:r w:rsidRPr="00292779">
              <w:rPr>
                <w:color w:val="000000"/>
                <w:sz w:val="18"/>
                <w:szCs w:val="18"/>
              </w:rPr>
              <w:t>22.99 (1.05)</w:t>
            </w:r>
          </w:p>
        </w:tc>
        <w:tc>
          <w:tcPr>
            <w:tcW w:w="1430" w:type="dxa"/>
            <w:noWrap/>
            <w:hideMark/>
          </w:tcPr>
          <w:p w14:paraId="486D70E9" w14:textId="77777777" w:rsidR="00D66388" w:rsidRPr="00292779" w:rsidRDefault="00D66388" w:rsidP="0024187D">
            <w:pPr>
              <w:jc w:val="center"/>
              <w:rPr>
                <w:color w:val="000000"/>
                <w:sz w:val="18"/>
                <w:szCs w:val="18"/>
              </w:rPr>
            </w:pPr>
            <w:r w:rsidRPr="00292779">
              <w:rPr>
                <w:color w:val="000000"/>
                <w:sz w:val="18"/>
                <w:szCs w:val="18"/>
              </w:rPr>
              <w:t>23.04 (1.12)</w:t>
            </w:r>
          </w:p>
        </w:tc>
        <w:tc>
          <w:tcPr>
            <w:tcW w:w="620" w:type="dxa"/>
          </w:tcPr>
          <w:p w14:paraId="299179A8" w14:textId="77777777" w:rsidR="00D66388" w:rsidRPr="00292779" w:rsidRDefault="00D66388" w:rsidP="0024187D">
            <w:pPr>
              <w:jc w:val="center"/>
              <w:rPr>
                <w:color w:val="000000"/>
                <w:sz w:val="18"/>
                <w:szCs w:val="18"/>
              </w:rPr>
            </w:pPr>
            <w:r w:rsidRPr="00292779">
              <w:rPr>
                <w:color w:val="000000"/>
                <w:sz w:val="18"/>
                <w:szCs w:val="18"/>
              </w:rPr>
              <w:t>0.04</w:t>
            </w:r>
          </w:p>
        </w:tc>
        <w:tc>
          <w:tcPr>
            <w:tcW w:w="1430" w:type="dxa"/>
            <w:noWrap/>
            <w:hideMark/>
          </w:tcPr>
          <w:p w14:paraId="4CF4E1CB" w14:textId="77777777" w:rsidR="00D66388" w:rsidRPr="00292779" w:rsidRDefault="00D66388" w:rsidP="0024187D">
            <w:pPr>
              <w:jc w:val="center"/>
              <w:rPr>
                <w:color w:val="000000"/>
                <w:sz w:val="18"/>
                <w:szCs w:val="18"/>
              </w:rPr>
            </w:pPr>
            <w:r w:rsidRPr="00292779">
              <w:rPr>
                <w:color w:val="000000"/>
                <w:sz w:val="18"/>
                <w:szCs w:val="18"/>
              </w:rPr>
              <w:t>22.94 (0.94)</w:t>
            </w:r>
          </w:p>
        </w:tc>
        <w:tc>
          <w:tcPr>
            <w:tcW w:w="681" w:type="dxa"/>
          </w:tcPr>
          <w:p w14:paraId="698718B0" w14:textId="77777777" w:rsidR="00D66388" w:rsidRPr="00292779" w:rsidRDefault="00D66388" w:rsidP="0024187D">
            <w:pPr>
              <w:jc w:val="center"/>
              <w:rPr>
                <w:color w:val="000000"/>
                <w:sz w:val="18"/>
                <w:szCs w:val="18"/>
              </w:rPr>
            </w:pPr>
            <w:r w:rsidRPr="00292779">
              <w:rPr>
                <w:color w:val="000000"/>
                <w:sz w:val="18"/>
                <w:szCs w:val="18"/>
              </w:rPr>
              <w:t>-0.05</w:t>
            </w:r>
          </w:p>
        </w:tc>
      </w:tr>
      <w:tr w:rsidR="00D66388" w:rsidRPr="00292779" w14:paraId="5D124407" w14:textId="77777777" w:rsidTr="0024187D">
        <w:trPr>
          <w:trHeight w:val="207"/>
        </w:trPr>
        <w:tc>
          <w:tcPr>
            <w:tcW w:w="2324" w:type="dxa"/>
            <w:hideMark/>
          </w:tcPr>
          <w:p w14:paraId="4CCC5864" w14:textId="77777777" w:rsidR="00D66388" w:rsidRPr="00292779" w:rsidRDefault="00D66388" w:rsidP="0024187D">
            <w:pPr>
              <w:rPr>
                <w:color w:val="000000"/>
                <w:sz w:val="18"/>
                <w:szCs w:val="18"/>
              </w:rPr>
            </w:pPr>
            <w:proofErr w:type="spellStart"/>
            <w:r w:rsidRPr="00292779">
              <w:rPr>
                <w:color w:val="000000"/>
                <w:sz w:val="18"/>
                <w:szCs w:val="18"/>
              </w:rPr>
              <w:t>TST</w:t>
            </w:r>
            <w:proofErr w:type="spellEnd"/>
            <w:r w:rsidRPr="00292779">
              <w:rPr>
                <w:color w:val="000000"/>
                <w:sz w:val="18"/>
                <w:szCs w:val="18"/>
              </w:rPr>
              <w:t xml:space="preserve"> weeknight-weekend discrepancy</w:t>
            </w:r>
          </w:p>
        </w:tc>
        <w:tc>
          <w:tcPr>
            <w:tcW w:w="1434" w:type="dxa"/>
            <w:noWrap/>
            <w:hideMark/>
          </w:tcPr>
          <w:p w14:paraId="5667E458" w14:textId="77777777" w:rsidR="00D66388" w:rsidRPr="00292779" w:rsidRDefault="00D66388" w:rsidP="0024187D">
            <w:pPr>
              <w:jc w:val="center"/>
              <w:rPr>
                <w:color w:val="000000"/>
                <w:sz w:val="18"/>
                <w:szCs w:val="18"/>
              </w:rPr>
            </w:pPr>
            <w:r w:rsidRPr="00292779">
              <w:rPr>
                <w:color w:val="000000"/>
                <w:sz w:val="18"/>
                <w:szCs w:val="18"/>
              </w:rPr>
              <w:t>-70.39 (113.10)</w:t>
            </w:r>
          </w:p>
        </w:tc>
        <w:tc>
          <w:tcPr>
            <w:tcW w:w="1367" w:type="dxa"/>
            <w:noWrap/>
            <w:hideMark/>
          </w:tcPr>
          <w:p w14:paraId="6AAFF303" w14:textId="77777777" w:rsidR="00D66388" w:rsidRPr="00292779" w:rsidRDefault="00D66388" w:rsidP="0024187D">
            <w:pPr>
              <w:jc w:val="center"/>
              <w:rPr>
                <w:color w:val="000000"/>
                <w:sz w:val="18"/>
                <w:szCs w:val="18"/>
              </w:rPr>
            </w:pPr>
            <w:r w:rsidRPr="00292779">
              <w:rPr>
                <w:color w:val="000000"/>
                <w:sz w:val="18"/>
                <w:szCs w:val="18"/>
              </w:rPr>
              <w:t>-31.16 (115.19)</w:t>
            </w:r>
          </w:p>
        </w:tc>
        <w:tc>
          <w:tcPr>
            <w:tcW w:w="816" w:type="dxa"/>
            <w:gridSpan w:val="2"/>
          </w:tcPr>
          <w:p w14:paraId="7B0A9B45" w14:textId="77777777" w:rsidR="00D66388" w:rsidRPr="00292779" w:rsidRDefault="00D66388" w:rsidP="0024187D">
            <w:pPr>
              <w:jc w:val="center"/>
              <w:rPr>
                <w:color w:val="000000"/>
                <w:sz w:val="18"/>
                <w:szCs w:val="18"/>
              </w:rPr>
            </w:pPr>
            <w:r w:rsidRPr="00292779">
              <w:rPr>
                <w:color w:val="000000"/>
                <w:sz w:val="18"/>
                <w:szCs w:val="18"/>
              </w:rPr>
              <w:t>0.35</w:t>
            </w:r>
          </w:p>
        </w:tc>
        <w:tc>
          <w:tcPr>
            <w:tcW w:w="1370" w:type="dxa"/>
            <w:noWrap/>
            <w:hideMark/>
          </w:tcPr>
          <w:p w14:paraId="60F39675" w14:textId="77777777" w:rsidR="00D66388" w:rsidRPr="00292779" w:rsidRDefault="00D66388" w:rsidP="0024187D">
            <w:pPr>
              <w:jc w:val="center"/>
              <w:rPr>
                <w:color w:val="000000"/>
                <w:sz w:val="18"/>
                <w:szCs w:val="18"/>
              </w:rPr>
            </w:pPr>
            <w:r w:rsidRPr="00292779">
              <w:rPr>
                <w:color w:val="000000"/>
                <w:sz w:val="18"/>
                <w:szCs w:val="18"/>
              </w:rPr>
              <w:t>-74.21 (70.71)</w:t>
            </w:r>
          </w:p>
        </w:tc>
        <w:tc>
          <w:tcPr>
            <w:tcW w:w="681" w:type="dxa"/>
          </w:tcPr>
          <w:p w14:paraId="7BDFF206" w14:textId="77777777" w:rsidR="00D66388" w:rsidRPr="00292779" w:rsidRDefault="00D66388" w:rsidP="0024187D">
            <w:pPr>
              <w:jc w:val="center"/>
              <w:rPr>
                <w:color w:val="000000"/>
                <w:sz w:val="18"/>
                <w:szCs w:val="18"/>
              </w:rPr>
            </w:pPr>
            <w:r w:rsidRPr="00292779">
              <w:rPr>
                <w:color w:val="000000"/>
                <w:sz w:val="18"/>
                <w:szCs w:val="18"/>
              </w:rPr>
              <w:t>-0.03</w:t>
            </w:r>
          </w:p>
        </w:tc>
        <w:tc>
          <w:tcPr>
            <w:tcW w:w="1370" w:type="dxa"/>
            <w:noWrap/>
            <w:hideMark/>
          </w:tcPr>
          <w:p w14:paraId="5954C31E" w14:textId="77777777" w:rsidR="00D66388" w:rsidRPr="00292779" w:rsidRDefault="00D66388" w:rsidP="0024187D">
            <w:pPr>
              <w:jc w:val="center"/>
              <w:rPr>
                <w:color w:val="000000"/>
                <w:sz w:val="18"/>
                <w:szCs w:val="18"/>
              </w:rPr>
            </w:pPr>
            <w:r w:rsidRPr="00292779">
              <w:rPr>
                <w:color w:val="000000"/>
                <w:sz w:val="18"/>
                <w:szCs w:val="18"/>
              </w:rPr>
              <w:t>-48.91 (89.28)</w:t>
            </w:r>
          </w:p>
        </w:tc>
        <w:tc>
          <w:tcPr>
            <w:tcW w:w="1430" w:type="dxa"/>
            <w:noWrap/>
            <w:hideMark/>
          </w:tcPr>
          <w:p w14:paraId="23CE4851" w14:textId="77777777" w:rsidR="00D66388" w:rsidRPr="00292779" w:rsidRDefault="00D66388" w:rsidP="0024187D">
            <w:pPr>
              <w:jc w:val="center"/>
              <w:rPr>
                <w:color w:val="000000"/>
                <w:sz w:val="18"/>
                <w:szCs w:val="18"/>
              </w:rPr>
            </w:pPr>
            <w:r w:rsidRPr="00292779">
              <w:rPr>
                <w:color w:val="000000"/>
                <w:sz w:val="18"/>
                <w:szCs w:val="18"/>
              </w:rPr>
              <w:t>-56.46 (106.25)</w:t>
            </w:r>
          </w:p>
        </w:tc>
        <w:tc>
          <w:tcPr>
            <w:tcW w:w="620" w:type="dxa"/>
          </w:tcPr>
          <w:p w14:paraId="3BB90CEA" w14:textId="77777777" w:rsidR="00D66388" w:rsidRPr="00292779" w:rsidRDefault="00D66388" w:rsidP="0024187D">
            <w:pPr>
              <w:jc w:val="center"/>
              <w:rPr>
                <w:color w:val="000000"/>
                <w:sz w:val="18"/>
                <w:szCs w:val="18"/>
              </w:rPr>
            </w:pPr>
            <w:r w:rsidRPr="00292779">
              <w:rPr>
                <w:color w:val="000000"/>
                <w:sz w:val="18"/>
                <w:szCs w:val="18"/>
              </w:rPr>
              <w:t>-0.08</w:t>
            </w:r>
          </w:p>
        </w:tc>
        <w:tc>
          <w:tcPr>
            <w:tcW w:w="1430" w:type="dxa"/>
            <w:noWrap/>
            <w:hideMark/>
          </w:tcPr>
          <w:p w14:paraId="45313D68" w14:textId="77777777" w:rsidR="00D66388" w:rsidRPr="00292779" w:rsidRDefault="00D66388" w:rsidP="0024187D">
            <w:pPr>
              <w:jc w:val="center"/>
              <w:rPr>
                <w:color w:val="000000"/>
                <w:sz w:val="18"/>
                <w:szCs w:val="18"/>
              </w:rPr>
            </w:pPr>
            <w:r w:rsidRPr="00292779">
              <w:rPr>
                <w:color w:val="000000"/>
                <w:sz w:val="18"/>
                <w:szCs w:val="18"/>
              </w:rPr>
              <w:t>-70.98 (133.91)</w:t>
            </w:r>
          </w:p>
        </w:tc>
        <w:tc>
          <w:tcPr>
            <w:tcW w:w="681" w:type="dxa"/>
          </w:tcPr>
          <w:p w14:paraId="0D0D94CD" w14:textId="77777777" w:rsidR="00D66388" w:rsidRPr="00292779" w:rsidRDefault="00D66388" w:rsidP="0024187D">
            <w:pPr>
              <w:jc w:val="center"/>
              <w:rPr>
                <w:color w:val="000000"/>
                <w:sz w:val="18"/>
                <w:szCs w:val="18"/>
              </w:rPr>
            </w:pPr>
            <w:r w:rsidRPr="00292779">
              <w:rPr>
                <w:color w:val="000000"/>
                <w:sz w:val="18"/>
                <w:szCs w:val="18"/>
              </w:rPr>
              <w:t>-0.25</w:t>
            </w:r>
          </w:p>
        </w:tc>
      </w:tr>
      <w:tr w:rsidR="00D66388" w:rsidRPr="00292779" w14:paraId="7C4E0EC4" w14:textId="77777777" w:rsidTr="0024187D">
        <w:trPr>
          <w:trHeight w:val="207"/>
        </w:trPr>
        <w:tc>
          <w:tcPr>
            <w:tcW w:w="2324" w:type="dxa"/>
            <w:hideMark/>
          </w:tcPr>
          <w:p w14:paraId="20C8AC4B" w14:textId="77777777" w:rsidR="00D66388" w:rsidRPr="00292779" w:rsidRDefault="00D66388" w:rsidP="0024187D">
            <w:pPr>
              <w:rPr>
                <w:color w:val="000000"/>
                <w:sz w:val="18"/>
                <w:szCs w:val="18"/>
              </w:rPr>
            </w:pPr>
            <w:r w:rsidRPr="00292779">
              <w:rPr>
                <w:color w:val="000000"/>
                <w:sz w:val="18"/>
                <w:szCs w:val="18"/>
              </w:rPr>
              <w:t>BT weeknight-weekend discrepancy</w:t>
            </w:r>
          </w:p>
        </w:tc>
        <w:tc>
          <w:tcPr>
            <w:tcW w:w="1434" w:type="dxa"/>
            <w:noWrap/>
            <w:hideMark/>
          </w:tcPr>
          <w:p w14:paraId="4D86745D" w14:textId="77777777" w:rsidR="00D66388" w:rsidRPr="00292779" w:rsidRDefault="00D66388" w:rsidP="0024187D">
            <w:pPr>
              <w:jc w:val="center"/>
              <w:rPr>
                <w:color w:val="000000"/>
                <w:sz w:val="18"/>
                <w:szCs w:val="18"/>
              </w:rPr>
            </w:pPr>
            <w:r w:rsidRPr="00292779">
              <w:rPr>
                <w:color w:val="000000"/>
                <w:sz w:val="18"/>
                <w:szCs w:val="18"/>
              </w:rPr>
              <w:t>-0.79 (1.23)</w:t>
            </w:r>
          </w:p>
        </w:tc>
        <w:tc>
          <w:tcPr>
            <w:tcW w:w="1367" w:type="dxa"/>
            <w:noWrap/>
            <w:hideMark/>
          </w:tcPr>
          <w:p w14:paraId="3A2AF9B0" w14:textId="77777777" w:rsidR="00D66388" w:rsidRPr="00292779" w:rsidRDefault="00D66388" w:rsidP="0024187D">
            <w:pPr>
              <w:jc w:val="center"/>
              <w:rPr>
                <w:color w:val="000000"/>
                <w:sz w:val="18"/>
                <w:szCs w:val="18"/>
              </w:rPr>
            </w:pPr>
            <w:r w:rsidRPr="00292779">
              <w:rPr>
                <w:color w:val="000000"/>
                <w:sz w:val="18"/>
                <w:szCs w:val="18"/>
              </w:rPr>
              <w:t>-0.68 (1.41)</w:t>
            </w:r>
          </w:p>
        </w:tc>
        <w:tc>
          <w:tcPr>
            <w:tcW w:w="816" w:type="dxa"/>
            <w:gridSpan w:val="2"/>
          </w:tcPr>
          <w:p w14:paraId="1DB9AFFA" w14:textId="77777777" w:rsidR="00D66388" w:rsidRPr="00292779" w:rsidRDefault="00D66388" w:rsidP="0024187D">
            <w:pPr>
              <w:jc w:val="center"/>
              <w:rPr>
                <w:color w:val="000000"/>
                <w:sz w:val="18"/>
                <w:szCs w:val="18"/>
              </w:rPr>
            </w:pPr>
            <w:r w:rsidRPr="00292779">
              <w:rPr>
                <w:color w:val="000000"/>
                <w:sz w:val="18"/>
                <w:szCs w:val="18"/>
              </w:rPr>
              <w:t>0.09</w:t>
            </w:r>
          </w:p>
        </w:tc>
        <w:tc>
          <w:tcPr>
            <w:tcW w:w="1370" w:type="dxa"/>
            <w:noWrap/>
            <w:hideMark/>
          </w:tcPr>
          <w:p w14:paraId="77A0D7E4" w14:textId="77777777" w:rsidR="00D66388" w:rsidRPr="00292779" w:rsidRDefault="00D66388" w:rsidP="0024187D">
            <w:pPr>
              <w:jc w:val="center"/>
              <w:rPr>
                <w:color w:val="000000"/>
                <w:sz w:val="18"/>
                <w:szCs w:val="18"/>
              </w:rPr>
            </w:pPr>
            <w:r w:rsidRPr="00292779">
              <w:rPr>
                <w:color w:val="000000"/>
                <w:sz w:val="18"/>
                <w:szCs w:val="18"/>
              </w:rPr>
              <w:t>-0.39 (0.98)</w:t>
            </w:r>
          </w:p>
        </w:tc>
        <w:tc>
          <w:tcPr>
            <w:tcW w:w="681" w:type="dxa"/>
          </w:tcPr>
          <w:p w14:paraId="7087505E" w14:textId="77777777" w:rsidR="00D66388" w:rsidRPr="00292779" w:rsidRDefault="00D66388" w:rsidP="0024187D">
            <w:pPr>
              <w:jc w:val="center"/>
              <w:rPr>
                <w:color w:val="000000"/>
                <w:sz w:val="18"/>
                <w:szCs w:val="18"/>
              </w:rPr>
            </w:pPr>
            <w:r w:rsidRPr="00292779">
              <w:rPr>
                <w:color w:val="000000"/>
                <w:sz w:val="18"/>
                <w:szCs w:val="18"/>
              </w:rPr>
              <w:t>0.32</w:t>
            </w:r>
          </w:p>
        </w:tc>
        <w:tc>
          <w:tcPr>
            <w:tcW w:w="1370" w:type="dxa"/>
            <w:noWrap/>
            <w:hideMark/>
          </w:tcPr>
          <w:p w14:paraId="122320CF" w14:textId="77777777" w:rsidR="00D66388" w:rsidRPr="00292779" w:rsidRDefault="00D66388" w:rsidP="0024187D">
            <w:pPr>
              <w:jc w:val="center"/>
              <w:rPr>
                <w:color w:val="000000"/>
                <w:sz w:val="18"/>
                <w:szCs w:val="18"/>
              </w:rPr>
            </w:pPr>
            <w:r w:rsidRPr="00292779">
              <w:rPr>
                <w:color w:val="000000"/>
                <w:sz w:val="18"/>
                <w:szCs w:val="18"/>
              </w:rPr>
              <w:t>-0.58 (1.13)</w:t>
            </w:r>
          </w:p>
        </w:tc>
        <w:tc>
          <w:tcPr>
            <w:tcW w:w="1430" w:type="dxa"/>
            <w:noWrap/>
            <w:hideMark/>
          </w:tcPr>
          <w:p w14:paraId="68AE6603" w14:textId="77777777" w:rsidR="00D66388" w:rsidRPr="00292779" w:rsidRDefault="00D66388" w:rsidP="0024187D">
            <w:pPr>
              <w:jc w:val="center"/>
              <w:rPr>
                <w:color w:val="000000"/>
                <w:sz w:val="18"/>
                <w:szCs w:val="18"/>
              </w:rPr>
            </w:pPr>
            <w:r w:rsidRPr="00292779">
              <w:rPr>
                <w:color w:val="000000"/>
                <w:sz w:val="18"/>
                <w:szCs w:val="18"/>
              </w:rPr>
              <w:t>-0.51 (1.09)</w:t>
            </w:r>
          </w:p>
        </w:tc>
        <w:tc>
          <w:tcPr>
            <w:tcW w:w="620" w:type="dxa"/>
          </w:tcPr>
          <w:p w14:paraId="058C5F81" w14:textId="77777777" w:rsidR="00D66388" w:rsidRPr="00292779" w:rsidRDefault="00D66388" w:rsidP="0024187D">
            <w:pPr>
              <w:jc w:val="center"/>
              <w:rPr>
                <w:color w:val="000000"/>
                <w:sz w:val="18"/>
                <w:szCs w:val="18"/>
              </w:rPr>
            </w:pPr>
            <w:r w:rsidRPr="00292779">
              <w:rPr>
                <w:color w:val="000000"/>
                <w:sz w:val="18"/>
                <w:szCs w:val="18"/>
              </w:rPr>
              <w:t>0.06</w:t>
            </w:r>
          </w:p>
        </w:tc>
        <w:tc>
          <w:tcPr>
            <w:tcW w:w="1430" w:type="dxa"/>
            <w:noWrap/>
            <w:hideMark/>
          </w:tcPr>
          <w:p w14:paraId="7538863E" w14:textId="77777777" w:rsidR="00D66388" w:rsidRPr="00292779" w:rsidRDefault="00D66388" w:rsidP="0024187D">
            <w:pPr>
              <w:jc w:val="center"/>
              <w:rPr>
                <w:color w:val="000000"/>
                <w:sz w:val="18"/>
                <w:szCs w:val="18"/>
              </w:rPr>
            </w:pPr>
            <w:r w:rsidRPr="00292779">
              <w:rPr>
                <w:color w:val="000000"/>
                <w:sz w:val="18"/>
                <w:szCs w:val="18"/>
              </w:rPr>
              <w:t>-0.55 (1.89)</w:t>
            </w:r>
          </w:p>
        </w:tc>
        <w:tc>
          <w:tcPr>
            <w:tcW w:w="681" w:type="dxa"/>
          </w:tcPr>
          <w:p w14:paraId="1482E313" w14:textId="77777777" w:rsidR="00D66388" w:rsidRPr="00292779" w:rsidRDefault="00D66388" w:rsidP="0024187D">
            <w:pPr>
              <w:jc w:val="center"/>
              <w:rPr>
                <w:color w:val="000000"/>
                <w:sz w:val="18"/>
                <w:szCs w:val="18"/>
              </w:rPr>
            </w:pPr>
            <w:r w:rsidRPr="00292779">
              <w:rPr>
                <w:color w:val="000000"/>
                <w:sz w:val="18"/>
                <w:szCs w:val="18"/>
              </w:rPr>
              <w:t>0.03</w:t>
            </w:r>
          </w:p>
        </w:tc>
      </w:tr>
      <w:tr w:rsidR="00D66388" w:rsidRPr="00292779" w14:paraId="220E3A6D" w14:textId="77777777" w:rsidTr="0024187D">
        <w:trPr>
          <w:trHeight w:val="207"/>
        </w:trPr>
        <w:tc>
          <w:tcPr>
            <w:tcW w:w="2324" w:type="dxa"/>
            <w:hideMark/>
          </w:tcPr>
          <w:p w14:paraId="59995E40" w14:textId="77777777" w:rsidR="00D66388" w:rsidRPr="00292779" w:rsidRDefault="00D66388" w:rsidP="0024187D">
            <w:pPr>
              <w:rPr>
                <w:color w:val="000000"/>
                <w:sz w:val="18"/>
                <w:szCs w:val="18"/>
              </w:rPr>
            </w:pPr>
            <w:proofErr w:type="spellStart"/>
            <w:r w:rsidRPr="00292779">
              <w:rPr>
                <w:color w:val="000000"/>
                <w:sz w:val="18"/>
                <w:szCs w:val="18"/>
              </w:rPr>
              <w:t>WUP</w:t>
            </w:r>
            <w:proofErr w:type="spellEnd"/>
            <w:r w:rsidRPr="00292779">
              <w:rPr>
                <w:color w:val="000000"/>
                <w:sz w:val="18"/>
                <w:szCs w:val="18"/>
              </w:rPr>
              <w:t xml:space="preserve"> weeknight-weekend discrepancy</w:t>
            </w:r>
          </w:p>
        </w:tc>
        <w:tc>
          <w:tcPr>
            <w:tcW w:w="1434" w:type="dxa"/>
            <w:noWrap/>
            <w:hideMark/>
          </w:tcPr>
          <w:p w14:paraId="6BC1B090" w14:textId="77777777" w:rsidR="00D66388" w:rsidRPr="00292779" w:rsidRDefault="00D66388" w:rsidP="0024187D">
            <w:pPr>
              <w:jc w:val="center"/>
              <w:rPr>
                <w:color w:val="000000"/>
                <w:sz w:val="18"/>
                <w:szCs w:val="18"/>
              </w:rPr>
            </w:pPr>
            <w:r w:rsidRPr="00292779">
              <w:rPr>
                <w:color w:val="000000"/>
                <w:sz w:val="18"/>
                <w:szCs w:val="18"/>
              </w:rPr>
              <w:t>-1.91 (1.36)</w:t>
            </w:r>
          </w:p>
        </w:tc>
        <w:tc>
          <w:tcPr>
            <w:tcW w:w="1367" w:type="dxa"/>
            <w:noWrap/>
            <w:hideMark/>
          </w:tcPr>
          <w:p w14:paraId="009F7310" w14:textId="77777777" w:rsidR="00D66388" w:rsidRPr="00292779" w:rsidRDefault="00D66388" w:rsidP="0024187D">
            <w:pPr>
              <w:jc w:val="center"/>
              <w:rPr>
                <w:color w:val="000000"/>
                <w:sz w:val="18"/>
                <w:szCs w:val="18"/>
              </w:rPr>
            </w:pPr>
            <w:r w:rsidRPr="00292779">
              <w:rPr>
                <w:color w:val="000000"/>
                <w:sz w:val="18"/>
                <w:szCs w:val="18"/>
              </w:rPr>
              <w:t>-1.13 (1.29)</w:t>
            </w:r>
          </w:p>
        </w:tc>
        <w:tc>
          <w:tcPr>
            <w:tcW w:w="816" w:type="dxa"/>
            <w:gridSpan w:val="2"/>
          </w:tcPr>
          <w:p w14:paraId="000DCBE9" w14:textId="77777777" w:rsidR="00D66388" w:rsidRPr="00292779" w:rsidRDefault="00D66388" w:rsidP="0024187D">
            <w:pPr>
              <w:jc w:val="center"/>
              <w:rPr>
                <w:color w:val="000000"/>
                <w:sz w:val="18"/>
                <w:szCs w:val="18"/>
              </w:rPr>
            </w:pPr>
            <w:r w:rsidRPr="00292779">
              <w:rPr>
                <w:color w:val="000000"/>
                <w:sz w:val="18"/>
                <w:szCs w:val="18"/>
              </w:rPr>
              <w:t>0.58</w:t>
            </w:r>
          </w:p>
        </w:tc>
        <w:tc>
          <w:tcPr>
            <w:tcW w:w="1370" w:type="dxa"/>
            <w:noWrap/>
            <w:hideMark/>
          </w:tcPr>
          <w:p w14:paraId="2C546BBC" w14:textId="77777777" w:rsidR="00D66388" w:rsidRPr="00292779" w:rsidRDefault="00D66388" w:rsidP="0024187D">
            <w:pPr>
              <w:jc w:val="center"/>
              <w:rPr>
                <w:color w:val="000000"/>
                <w:sz w:val="18"/>
                <w:szCs w:val="18"/>
              </w:rPr>
            </w:pPr>
            <w:r w:rsidRPr="00292779">
              <w:rPr>
                <w:color w:val="000000"/>
                <w:sz w:val="18"/>
                <w:szCs w:val="18"/>
              </w:rPr>
              <w:t>-1.55 (1.19)</w:t>
            </w:r>
          </w:p>
        </w:tc>
        <w:tc>
          <w:tcPr>
            <w:tcW w:w="681" w:type="dxa"/>
          </w:tcPr>
          <w:p w14:paraId="3DB5D237" w14:textId="77777777" w:rsidR="00D66388" w:rsidRPr="00292779" w:rsidRDefault="00D66388" w:rsidP="0024187D">
            <w:pPr>
              <w:jc w:val="center"/>
              <w:rPr>
                <w:color w:val="000000"/>
                <w:sz w:val="18"/>
                <w:szCs w:val="18"/>
              </w:rPr>
            </w:pPr>
            <w:r w:rsidRPr="00292779">
              <w:rPr>
                <w:color w:val="000000"/>
                <w:sz w:val="18"/>
                <w:szCs w:val="18"/>
              </w:rPr>
              <w:t>0.26</w:t>
            </w:r>
          </w:p>
        </w:tc>
        <w:tc>
          <w:tcPr>
            <w:tcW w:w="1370" w:type="dxa"/>
            <w:noWrap/>
            <w:hideMark/>
          </w:tcPr>
          <w:p w14:paraId="034E5D37" w14:textId="77777777" w:rsidR="00D66388" w:rsidRPr="00292779" w:rsidRDefault="00D66388" w:rsidP="0024187D">
            <w:pPr>
              <w:jc w:val="center"/>
              <w:rPr>
                <w:color w:val="000000"/>
                <w:sz w:val="18"/>
                <w:szCs w:val="18"/>
              </w:rPr>
            </w:pPr>
            <w:r w:rsidRPr="00292779">
              <w:rPr>
                <w:color w:val="000000"/>
                <w:sz w:val="18"/>
                <w:szCs w:val="18"/>
              </w:rPr>
              <w:t>-1.42 (1.28)</w:t>
            </w:r>
          </w:p>
        </w:tc>
        <w:tc>
          <w:tcPr>
            <w:tcW w:w="1430" w:type="dxa"/>
            <w:noWrap/>
            <w:hideMark/>
          </w:tcPr>
          <w:p w14:paraId="705ABEE0" w14:textId="77777777" w:rsidR="00D66388" w:rsidRPr="00292779" w:rsidRDefault="00D66388" w:rsidP="0024187D">
            <w:pPr>
              <w:jc w:val="center"/>
              <w:rPr>
                <w:color w:val="000000"/>
                <w:sz w:val="18"/>
                <w:szCs w:val="18"/>
              </w:rPr>
            </w:pPr>
            <w:r w:rsidRPr="00292779">
              <w:rPr>
                <w:color w:val="000000"/>
                <w:sz w:val="18"/>
                <w:szCs w:val="18"/>
              </w:rPr>
              <w:t>-1.32 (1.55)</w:t>
            </w:r>
          </w:p>
        </w:tc>
        <w:tc>
          <w:tcPr>
            <w:tcW w:w="620" w:type="dxa"/>
          </w:tcPr>
          <w:p w14:paraId="6459848C" w14:textId="77777777" w:rsidR="00D66388" w:rsidRPr="00292779" w:rsidRDefault="00D66388" w:rsidP="0024187D">
            <w:pPr>
              <w:jc w:val="center"/>
              <w:rPr>
                <w:color w:val="000000"/>
                <w:sz w:val="18"/>
                <w:szCs w:val="18"/>
              </w:rPr>
            </w:pPr>
            <w:r w:rsidRPr="00292779">
              <w:rPr>
                <w:color w:val="000000"/>
                <w:sz w:val="18"/>
                <w:szCs w:val="18"/>
              </w:rPr>
              <w:t>0.08</w:t>
            </w:r>
          </w:p>
        </w:tc>
        <w:tc>
          <w:tcPr>
            <w:tcW w:w="1430" w:type="dxa"/>
            <w:noWrap/>
            <w:hideMark/>
          </w:tcPr>
          <w:p w14:paraId="593ED24A" w14:textId="77777777" w:rsidR="00D66388" w:rsidRPr="00292779" w:rsidRDefault="00D66388" w:rsidP="0024187D">
            <w:pPr>
              <w:jc w:val="center"/>
              <w:rPr>
                <w:color w:val="000000"/>
                <w:sz w:val="18"/>
                <w:szCs w:val="18"/>
              </w:rPr>
            </w:pPr>
            <w:r w:rsidRPr="00292779">
              <w:rPr>
                <w:color w:val="000000"/>
                <w:sz w:val="18"/>
                <w:szCs w:val="18"/>
              </w:rPr>
              <w:t>-1.78 (1.38)</w:t>
            </w:r>
          </w:p>
        </w:tc>
        <w:tc>
          <w:tcPr>
            <w:tcW w:w="681" w:type="dxa"/>
          </w:tcPr>
          <w:p w14:paraId="5A163C25" w14:textId="77777777" w:rsidR="00D66388" w:rsidRPr="00292779" w:rsidRDefault="00D66388" w:rsidP="0024187D">
            <w:pPr>
              <w:jc w:val="center"/>
              <w:rPr>
                <w:color w:val="000000"/>
                <w:sz w:val="18"/>
                <w:szCs w:val="18"/>
              </w:rPr>
            </w:pPr>
            <w:r w:rsidRPr="00292779">
              <w:rPr>
                <w:color w:val="000000"/>
                <w:sz w:val="18"/>
                <w:szCs w:val="18"/>
              </w:rPr>
              <w:t>-0.28</w:t>
            </w:r>
          </w:p>
        </w:tc>
      </w:tr>
      <w:tr w:rsidR="00D66388" w:rsidRPr="00292779" w14:paraId="17E7F2BC" w14:textId="77777777" w:rsidTr="0024187D">
        <w:trPr>
          <w:trHeight w:val="207"/>
        </w:trPr>
        <w:tc>
          <w:tcPr>
            <w:tcW w:w="2324" w:type="dxa"/>
            <w:hideMark/>
          </w:tcPr>
          <w:p w14:paraId="16E4190E" w14:textId="77777777" w:rsidR="00D66388" w:rsidRPr="00292779" w:rsidRDefault="00D66388" w:rsidP="0024187D">
            <w:pPr>
              <w:rPr>
                <w:color w:val="000000"/>
                <w:sz w:val="18"/>
                <w:szCs w:val="18"/>
              </w:rPr>
            </w:pPr>
            <w:r w:rsidRPr="00292779">
              <w:rPr>
                <w:color w:val="000000"/>
                <w:sz w:val="18"/>
                <w:szCs w:val="18"/>
              </w:rPr>
              <w:t>Sleepiness</w:t>
            </w:r>
          </w:p>
        </w:tc>
        <w:tc>
          <w:tcPr>
            <w:tcW w:w="1434" w:type="dxa"/>
            <w:noWrap/>
            <w:hideMark/>
          </w:tcPr>
          <w:p w14:paraId="47A1DD11" w14:textId="77777777" w:rsidR="00D66388" w:rsidRPr="00292779" w:rsidRDefault="00D66388" w:rsidP="0024187D">
            <w:pPr>
              <w:jc w:val="center"/>
              <w:rPr>
                <w:color w:val="000000"/>
                <w:sz w:val="18"/>
                <w:szCs w:val="18"/>
              </w:rPr>
            </w:pPr>
            <w:r w:rsidRPr="00292779">
              <w:rPr>
                <w:color w:val="000000"/>
                <w:sz w:val="18"/>
                <w:szCs w:val="18"/>
              </w:rPr>
              <w:t>6.20 (4.52)</w:t>
            </w:r>
          </w:p>
        </w:tc>
        <w:tc>
          <w:tcPr>
            <w:tcW w:w="1367" w:type="dxa"/>
            <w:noWrap/>
            <w:hideMark/>
          </w:tcPr>
          <w:p w14:paraId="27AAAABF" w14:textId="77777777" w:rsidR="00D66388" w:rsidRPr="00292779" w:rsidRDefault="00D66388" w:rsidP="0024187D">
            <w:pPr>
              <w:jc w:val="center"/>
              <w:rPr>
                <w:color w:val="000000"/>
                <w:sz w:val="18"/>
                <w:szCs w:val="18"/>
              </w:rPr>
            </w:pPr>
            <w:r w:rsidRPr="00292779">
              <w:rPr>
                <w:color w:val="000000"/>
                <w:sz w:val="18"/>
                <w:szCs w:val="18"/>
              </w:rPr>
              <w:t>4.67 (3.98)</w:t>
            </w:r>
          </w:p>
        </w:tc>
        <w:tc>
          <w:tcPr>
            <w:tcW w:w="816" w:type="dxa"/>
            <w:gridSpan w:val="2"/>
          </w:tcPr>
          <w:p w14:paraId="5965257F" w14:textId="77777777" w:rsidR="00D66388" w:rsidRPr="00292779" w:rsidRDefault="00D66388" w:rsidP="0024187D">
            <w:pPr>
              <w:jc w:val="center"/>
              <w:rPr>
                <w:color w:val="000000"/>
                <w:sz w:val="18"/>
                <w:szCs w:val="18"/>
              </w:rPr>
            </w:pPr>
            <w:r w:rsidRPr="00292779">
              <w:rPr>
                <w:color w:val="000000"/>
                <w:sz w:val="18"/>
                <w:szCs w:val="18"/>
              </w:rPr>
              <w:t>-0.34</w:t>
            </w:r>
          </w:p>
        </w:tc>
        <w:tc>
          <w:tcPr>
            <w:tcW w:w="1370" w:type="dxa"/>
            <w:noWrap/>
            <w:hideMark/>
          </w:tcPr>
          <w:p w14:paraId="185C5740" w14:textId="77777777" w:rsidR="00D66388" w:rsidRPr="00292779" w:rsidRDefault="00D66388" w:rsidP="0024187D">
            <w:pPr>
              <w:jc w:val="center"/>
              <w:rPr>
                <w:color w:val="000000"/>
                <w:sz w:val="18"/>
                <w:szCs w:val="18"/>
              </w:rPr>
            </w:pPr>
            <w:r w:rsidRPr="00292779">
              <w:rPr>
                <w:color w:val="000000"/>
                <w:sz w:val="18"/>
                <w:szCs w:val="18"/>
              </w:rPr>
              <w:t>3.56 (4.02)</w:t>
            </w:r>
          </w:p>
        </w:tc>
        <w:tc>
          <w:tcPr>
            <w:tcW w:w="681" w:type="dxa"/>
          </w:tcPr>
          <w:p w14:paraId="298BEB1F" w14:textId="77777777" w:rsidR="00D66388" w:rsidRPr="00292779" w:rsidRDefault="00D66388" w:rsidP="0024187D">
            <w:pPr>
              <w:jc w:val="center"/>
              <w:rPr>
                <w:color w:val="000000"/>
                <w:sz w:val="18"/>
                <w:szCs w:val="18"/>
              </w:rPr>
            </w:pPr>
            <w:r w:rsidRPr="00292779">
              <w:rPr>
                <w:color w:val="000000"/>
                <w:sz w:val="18"/>
                <w:szCs w:val="18"/>
              </w:rPr>
              <w:t>-0.58</w:t>
            </w:r>
          </w:p>
        </w:tc>
        <w:tc>
          <w:tcPr>
            <w:tcW w:w="1370" w:type="dxa"/>
            <w:noWrap/>
            <w:hideMark/>
          </w:tcPr>
          <w:p w14:paraId="77C7D8ED" w14:textId="77777777" w:rsidR="00D66388" w:rsidRPr="00292779" w:rsidRDefault="00D66388" w:rsidP="0024187D">
            <w:pPr>
              <w:jc w:val="center"/>
              <w:rPr>
                <w:color w:val="000000"/>
                <w:sz w:val="18"/>
                <w:szCs w:val="18"/>
              </w:rPr>
            </w:pPr>
            <w:r w:rsidRPr="00292779">
              <w:rPr>
                <w:color w:val="000000"/>
                <w:sz w:val="18"/>
                <w:szCs w:val="18"/>
              </w:rPr>
              <w:t>6.15 (4.01)</w:t>
            </w:r>
          </w:p>
        </w:tc>
        <w:tc>
          <w:tcPr>
            <w:tcW w:w="1430" w:type="dxa"/>
            <w:noWrap/>
            <w:hideMark/>
          </w:tcPr>
          <w:p w14:paraId="48DA060A" w14:textId="77777777" w:rsidR="00D66388" w:rsidRPr="00292779" w:rsidRDefault="00D66388" w:rsidP="0024187D">
            <w:pPr>
              <w:jc w:val="center"/>
              <w:rPr>
                <w:color w:val="000000"/>
                <w:sz w:val="18"/>
                <w:szCs w:val="18"/>
              </w:rPr>
            </w:pPr>
            <w:r w:rsidRPr="00292779">
              <w:rPr>
                <w:color w:val="000000"/>
                <w:sz w:val="18"/>
                <w:szCs w:val="18"/>
              </w:rPr>
              <w:t>6.37 (4.71)</w:t>
            </w:r>
          </w:p>
        </w:tc>
        <w:tc>
          <w:tcPr>
            <w:tcW w:w="620" w:type="dxa"/>
          </w:tcPr>
          <w:p w14:paraId="6F2696E8" w14:textId="77777777" w:rsidR="00D66388" w:rsidRPr="00292779" w:rsidRDefault="00D66388" w:rsidP="0024187D">
            <w:pPr>
              <w:jc w:val="center"/>
              <w:rPr>
                <w:color w:val="000000"/>
                <w:sz w:val="18"/>
                <w:szCs w:val="18"/>
              </w:rPr>
            </w:pPr>
            <w:r w:rsidRPr="00292779">
              <w:rPr>
                <w:color w:val="000000"/>
                <w:sz w:val="18"/>
                <w:szCs w:val="18"/>
              </w:rPr>
              <w:t>0.06</w:t>
            </w:r>
          </w:p>
        </w:tc>
        <w:tc>
          <w:tcPr>
            <w:tcW w:w="1430" w:type="dxa"/>
            <w:noWrap/>
            <w:hideMark/>
          </w:tcPr>
          <w:p w14:paraId="367823FD" w14:textId="77777777" w:rsidR="00D66388" w:rsidRPr="00292779" w:rsidRDefault="00D66388" w:rsidP="0024187D">
            <w:pPr>
              <w:jc w:val="center"/>
              <w:rPr>
                <w:color w:val="000000"/>
                <w:sz w:val="18"/>
                <w:szCs w:val="18"/>
              </w:rPr>
            </w:pPr>
            <w:r w:rsidRPr="00292779">
              <w:rPr>
                <w:color w:val="000000"/>
                <w:sz w:val="18"/>
                <w:szCs w:val="18"/>
              </w:rPr>
              <w:t>4.80 (4.84)</w:t>
            </w:r>
          </w:p>
        </w:tc>
        <w:tc>
          <w:tcPr>
            <w:tcW w:w="681" w:type="dxa"/>
          </w:tcPr>
          <w:p w14:paraId="3A09755B" w14:textId="77777777" w:rsidR="00D66388" w:rsidRPr="00292779" w:rsidRDefault="00D66388" w:rsidP="0024187D">
            <w:pPr>
              <w:jc w:val="center"/>
              <w:rPr>
                <w:color w:val="000000"/>
                <w:sz w:val="18"/>
                <w:szCs w:val="18"/>
              </w:rPr>
            </w:pPr>
            <w:r w:rsidRPr="00292779">
              <w:rPr>
                <w:color w:val="000000"/>
                <w:sz w:val="18"/>
                <w:szCs w:val="18"/>
              </w:rPr>
              <w:t>-0.34</w:t>
            </w:r>
          </w:p>
        </w:tc>
      </w:tr>
      <w:tr w:rsidR="00D66388" w:rsidRPr="00292779" w14:paraId="483FC15D" w14:textId="77777777" w:rsidTr="0024187D">
        <w:trPr>
          <w:trHeight w:val="207"/>
        </w:trPr>
        <w:tc>
          <w:tcPr>
            <w:tcW w:w="2324" w:type="dxa"/>
            <w:hideMark/>
          </w:tcPr>
          <w:p w14:paraId="3857E57F" w14:textId="77777777" w:rsidR="00D66388" w:rsidRPr="00292779" w:rsidRDefault="00D66388" w:rsidP="0024187D">
            <w:pPr>
              <w:rPr>
                <w:color w:val="000000"/>
                <w:sz w:val="18"/>
                <w:szCs w:val="18"/>
              </w:rPr>
            </w:pPr>
            <w:proofErr w:type="spellStart"/>
            <w:r w:rsidRPr="00292779">
              <w:rPr>
                <w:color w:val="000000"/>
                <w:sz w:val="18"/>
                <w:szCs w:val="18"/>
              </w:rPr>
              <w:t>PSQI</w:t>
            </w:r>
            <w:proofErr w:type="spellEnd"/>
          </w:p>
        </w:tc>
        <w:tc>
          <w:tcPr>
            <w:tcW w:w="1434" w:type="dxa"/>
            <w:noWrap/>
            <w:hideMark/>
          </w:tcPr>
          <w:p w14:paraId="1F0C12C1" w14:textId="77777777" w:rsidR="00D66388" w:rsidRPr="00292779" w:rsidRDefault="00D66388" w:rsidP="0024187D">
            <w:pPr>
              <w:jc w:val="center"/>
              <w:rPr>
                <w:color w:val="000000"/>
                <w:sz w:val="18"/>
                <w:szCs w:val="18"/>
              </w:rPr>
            </w:pPr>
            <w:r w:rsidRPr="00292779">
              <w:rPr>
                <w:color w:val="000000"/>
                <w:sz w:val="18"/>
                <w:szCs w:val="18"/>
              </w:rPr>
              <w:t>7.58 (2.99)</w:t>
            </w:r>
          </w:p>
        </w:tc>
        <w:tc>
          <w:tcPr>
            <w:tcW w:w="1367" w:type="dxa"/>
            <w:noWrap/>
            <w:hideMark/>
          </w:tcPr>
          <w:p w14:paraId="2D3832E2" w14:textId="77777777" w:rsidR="00D66388" w:rsidRPr="00292779" w:rsidRDefault="00D66388" w:rsidP="0024187D">
            <w:pPr>
              <w:jc w:val="center"/>
              <w:rPr>
                <w:color w:val="000000"/>
                <w:sz w:val="18"/>
                <w:szCs w:val="18"/>
              </w:rPr>
            </w:pPr>
            <w:r w:rsidRPr="00292779">
              <w:rPr>
                <w:color w:val="000000"/>
                <w:sz w:val="18"/>
                <w:szCs w:val="18"/>
              </w:rPr>
              <w:t>5.85 (2.56)</w:t>
            </w:r>
          </w:p>
        </w:tc>
        <w:tc>
          <w:tcPr>
            <w:tcW w:w="816" w:type="dxa"/>
            <w:gridSpan w:val="2"/>
          </w:tcPr>
          <w:p w14:paraId="6004C77D" w14:textId="77777777" w:rsidR="00D66388" w:rsidRPr="00292779" w:rsidRDefault="00D66388" w:rsidP="0024187D">
            <w:pPr>
              <w:jc w:val="center"/>
              <w:rPr>
                <w:color w:val="000000"/>
                <w:sz w:val="18"/>
                <w:szCs w:val="18"/>
              </w:rPr>
            </w:pPr>
            <w:r w:rsidRPr="00292779">
              <w:rPr>
                <w:color w:val="000000"/>
                <w:sz w:val="18"/>
                <w:szCs w:val="18"/>
              </w:rPr>
              <w:t>-0.58</w:t>
            </w:r>
          </w:p>
        </w:tc>
        <w:tc>
          <w:tcPr>
            <w:tcW w:w="1370" w:type="dxa"/>
            <w:noWrap/>
            <w:hideMark/>
          </w:tcPr>
          <w:p w14:paraId="3265F9E0" w14:textId="77777777" w:rsidR="00D66388" w:rsidRPr="00292779" w:rsidRDefault="00D66388" w:rsidP="0024187D">
            <w:pPr>
              <w:jc w:val="center"/>
              <w:rPr>
                <w:color w:val="000000"/>
                <w:sz w:val="18"/>
                <w:szCs w:val="18"/>
              </w:rPr>
            </w:pPr>
            <w:r w:rsidRPr="00292779">
              <w:rPr>
                <w:color w:val="000000"/>
                <w:sz w:val="18"/>
                <w:szCs w:val="18"/>
              </w:rPr>
              <w:t>4.88 (3.03)</w:t>
            </w:r>
          </w:p>
        </w:tc>
        <w:tc>
          <w:tcPr>
            <w:tcW w:w="681" w:type="dxa"/>
          </w:tcPr>
          <w:p w14:paraId="0D2FDCB2" w14:textId="77777777" w:rsidR="00D66388" w:rsidRPr="00292779" w:rsidRDefault="00D66388" w:rsidP="0024187D">
            <w:pPr>
              <w:jc w:val="center"/>
              <w:rPr>
                <w:color w:val="000000"/>
                <w:sz w:val="18"/>
                <w:szCs w:val="18"/>
              </w:rPr>
            </w:pPr>
            <w:r w:rsidRPr="00292779">
              <w:rPr>
                <w:color w:val="000000"/>
                <w:sz w:val="18"/>
                <w:szCs w:val="18"/>
              </w:rPr>
              <w:t>-0.90</w:t>
            </w:r>
          </w:p>
        </w:tc>
        <w:tc>
          <w:tcPr>
            <w:tcW w:w="1370" w:type="dxa"/>
            <w:noWrap/>
            <w:hideMark/>
          </w:tcPr>
          <w:p w14:paraId="003255BC" w14:textId="77777777" w:rsidR="00D66388" w:rsidRPr="00292779" w:rsidRDefault="00D66388" w:rsidP="0024187D">
            <w:pPr>
              <w:jc w:val="center"/>
              <w:rPr>
                <w:color w:val="000000"/>
                <w:sz w:val="18"/>
                <w:szCs w:val="18"/>
              </w:rPr>
            </w:pPr>
            <w:r w:rsidRPr="00292779">
              <w:rPr>
                <w:color w:val="000000"/>
                <w:sz w:val="18"/>
                <w:szCs w:val="18"/>
              </w:rPr>
              <w:t>7.58 (3.03)</w:t>
            </w:r>
          </w:p>
        </w:tc>
        <w:tc>
          <w:tcPr>
            <w:tcW w:w="1430" w:type="dxa"/>
            <w:noWrap/>
            <w:hideMark/>
          </w:tcPr>
          <w:p w14:paraId="260FC233" w14:textId="77777777" w:rsidR="00D66388" w:rsidRPr="00292779" w:rsidRDefault="00D66388" w:rsidP="0024187D">
            <w:pPr>
              <w:jc w:val="center"/>
              <w:rPr>
                <w:color w:val="000000"/>
                <w:sz w:val="18"/>
                <w:szCs w:val="18"/>
              </w:rPr>
            </w:pPr>
            <w:r w:rsidRPr="00292779">
              <w:rPr>
                <w:color w:val="000000"/>
                <w:sz w:val="18"/>
                <w:szCs w:val="18"/>
              </w:rPr>
              <w:t>6.75 (3.48)</w:t>
            </w:r>
          </w:p>
        </w:tc>
        <w:tc>
          <w:tcPr>
            <w:tcW w:w="620" w:type="dxa"/>
          </w:tcPr>
          <w:p w14:paraId="4599DB25" w14:textId="77777777" w:rsidR="00D66388" w:rsidRPr="00292779" w:rsidRDefault="00D66388" w:rsidP="0024187D">
            <w:pPr>
              <w:jc w:val="center"/>
              <w:rPr>
                <w:color w:val="000000"/>
                <w:sz w:val="18"/>
                <w:szCs w:val="18"/>
              </w:rPr>
            </w:pPr>
            <w:r w:rsidRPr="00292779">
              <w:rPr>
                <w:color w:val="000000"/>
                <w:sz w:val="18"/>
                <w:szCs w:val="18"/>
              </w:rPr>
              <w:t>-0.28</w:t>
            </w:r>
          </w:p>
        </w:tc>
        <w:tc>
          <w:tcPr>
            <w:tcW w:w="1430" w:type="dxa"/>
            <w:noWrap/>
            <w:hideMark/>
          </w:tcPr>
          <w:p w14:paraId="3A7900A5" w14:textId="77777777" w:rsidR="00D66388" w:rsidRPr="00292779" w:rsidRDefault="00D66388" w:rsidP="0024187D">
            <w:pPr>
              <w:jc w:val="center"/>
              <w:rPr>
                <w:color w:val="000000"/>
                <w:sz w:val="18"/>
                <w:szCs w:val="18"/>
              </w:rPr>
            </w:pPr>
            <w:r w:rsidRPr="00292779">
              <w:rPr>
                <w:color w:val="000000"/>
                <w:sz w:val="18"/>
                <w:szCs w:val="18"/>
              </w:rPr>
              <w:t>6.00 (3.97)</w:t>
            </w:r>
          </w:p>
        </w:tc>
        <w:tc>
          <w:tcPr>
            <w:tcW w:w="681" w:type="dxa"/>
          </w:tcPr>
          <w:p w14:paraId="4F1A8A7D" w14:textId="77777777" w:rsidR="00D66388" w:rsidRPr="00292779" w:rsidRDefault="00D66388" w:rsidP="0024187D">
            <w:pPr>
              <w:jc w:val="center"/>
              <w:rPr>
                <w:color w:val="000000"/>
                <w:sz w:val="18"/>
                <w:szCs w:val="18"/>
              </w:rPr>
            </w:pPr>
            <w:r w:rsidRPr="00292779">
              <w:rPr>
                <w:color w:val="000000"/>
                <w:sz w:val="18"/>
                <w:szCs w:val="18"/>
              </w:rPr>
              <w:t>-0.52</w:t>
            </w:r>
          </w:p>
        </w:tc>
      </w:tr>
      <w:tr w:rsidR="00D66388" w:rsidRPr="00292779" w14:paraId="4943227F" w14:textId="77777777" w:rsidTr="0024187D">
        <w:trPr>
          <w:trHeight w:val="207"/>
        </w:trPr>
        <w:tc>
          <w:tcPr>
            <w:tcW w:w="2324" w:type="dxa"/>
            <w:hideMark/>
          </w:tcPr>
          <w:p w14:paraId="50E9F276" w14:textId="77777777" w:rsidR="00D66388" w:rsidRPr="00292779" w:rsidRDefault="00D66388" w:rsidP="0024187D">
            <w:pPr>
              <w:rPr>
                <w:color w:val="000000"/>
                <w:sz w:val="18"/>
                <w:szCs w:val="18"/>
              </w:rPr>
            </w:pPr>
            <w:r w:rsidRPr="00292779">
              <w:rPr>
                <w:color w:val="000000"/>
                <w:sz w:val="18"/>
                <w:szCs w:val="18"/>
              </w:rPr>
              <w:t>CBCL Sleep Composite</w:t>
            </w:r>
          </w:p>
        </w:tc>
        <w:tc>
          <w:tcPr>
            <w:tcW w:w="1434" w:type="dxa"/>
            <w:noWrap/>
            <w:hideMark/>
          </w:tcPr>
          <w:p w14:paraId="3A07855D" w14:textId="77777777" w:rsidR="00D66388" w:rsidRPr="00292779" w:rsidRDefault="00D66388" w:rsidP="0024187D">
            <w:pPr>
              <w:jc w:val="center"/>
              <w:rPr>
                <w:color w:val="000000"/>
                <w:sz w:val="18"/>
                <w:szCs w:val="18"/>
              </w:rPr>
            </w:pPr>
            <w:r w:rsidRPr="00292779">
              <w:rPr>
                <w:color w:val="000000"/>
                <w:sz w:val="18"/>
                <w:szCs w:val="18"/>
              </w:rPr>
              <w:t>3.32 (2.03)</w:t>
            </w:r>
          </w:p>
        </w:tc>
        <w:tc>
          <w:tcPr>
            <w:tcW w:w="1367" w:type="dxa"/>
            <w:noWrap/>
            <w:hideMark/>
          </w:tcPr>
          <w:p w14:paraId="4D941B39" w14:textId="77777777" w:rsidR="00D66388" w:rsidRPr="00292779" w:rsidRDefault="00D66388" w:rsidP="0024187D">
            <w:pPr>
              <w:jc w:val="center"/>
              <w:rPr>
                <w:color w:val="000000"/>
                <w:sz w:val="18"/>
                <w:szCs w:val="18"/>
              </w:rPr>
            </w:pPr>
            <w:r w:rsidRPr="00292779">
              <w:rPr>
                <w:color w:val="000000"/>
                <w:sz w:val="18"/>
                <w:szCs w:val="18"/>
              </w:rPr>
              <w:t>1.84 (1.86)</w:t>
            </w:r>
          </w:p>
        </w:tc>
        <w:tc>
          <w:tcPr>
            <w:tcW w:w="816" w:type="dxa"/>
            <w:gridSpan w:val="2"/>
          </w:tcPr>
          <w:p w14:paraId="45E53CC3" w14:textId="77777777" w:rsidR="00D66388" w:rsidRPr="00292779" w:rsidRDefault="00D66388" w:rsidP="0024187D">
            <w:pPr>
              <w:jc w:val="center"/>
              <w:rPr>
                <w:color w:val="000000"/>
                <w:sz w:val="18"/>
                <w:szCs w:val="18"/>
              </w:rPr>
            </w:pPr>
            <w:r w:rsidRPr="00292779">
              <w:rPr>
                <w:color w:val="000000"/>
                <w:sz w:val="18"/>
                <w:szCs w:val="18"/>
              </w:rPr>
              <w:t>-0.73</w:t>
            </w:r>
          </w:p>
        </w:tc>
        <w:tc>
          <w:tcPr>
            <w:tcW w:w="1370" w:type="dxa"/>
            <w:noWrap/>
            <w:hideMark/>
          </w:tcPr>
          <w:p w14:paraId="0658E3A1" w14:textId="77777777" w:rsidR="00D66388" w:rsidRPr="00292779" w:rsidRDefault="00D66388" w:rsidP="0024187D">
            <w:pPr>
              <w:jc w:val="center"/>
              <w:rPr>
                <w:color w:val="000000"/>
                <w:sz w:val="18"/>
                <w:szCs w:val="18"/>
              </w:rPr>
            </w:pPr>
            <w:r w:rsidRPr="00292779">
              <w:rPr>
                <w:color w:val="000000"/>
                <w:sz w:val="18"/>
                <w:szCs w:val="18"/>
              </w:rPr>
              <w:t>2.10 (2.14)</w:t>
            </w:r>
          </w:p>
        </w:tc>
        <w:tc>
          <w:tcPr>
            <w:tcW w:w="681" w:type="dxa"/>
          </w:tcPr>
          <w:p w14:paraId="1B21425A" w14:textId="77777777" w:rsidR="00D66388" w:rsidRPr="00292779" w:rsidRDefault="00D66388" w:rsidP="0024187D">
            <w:pPr>
              <w:jc w:val="center"/>
              <w:rPr>
                <w:color w:val="000000"/>
                <w:sz w:val="18"/>
                <w:szCs w:val="18"/>
              </w:rPr>
            </w:pPr>
            <w:r w:rsidRPr="00292779">
              <w:rPr>
                <w:color w:val="000000"/>
                <w:sz w:val="18"/>
                <w:szCs w:val="18"/>
              </w:rPr>
              <w:t>-0.60</w:t>
            </w:r>
          </w:p>
        </w:tc>
        <w:tc>
          <w:tcPr>
            <w:tcW w:w="1370" w:type="dxa"/>
            <w:noWrap/>
            <w:hideMark/>
          </w:tcPr>
          <w:p w14:paraId="65FB2646" w14:textId="77777777" w:rsidR="00D66388" w:rsidRPr="00292779" w:rsidRDefault="00D66388" w:rsidP="0024187D">
            <w:pPr>
              <w:jc w:val="center"/>
              <w:rPr>
                <w:color w:val="000000"/>
                <w:sz w:val="18"/>
                <w:szCs w:val="18"/>
              </w:rPr>
            </w:pPr>
            <w:r w:rsidRPr="00292779">
              <w:rPr>
                <w:color w:val="000000"/>
                <w:sz w:val="18"/>
                <w:szCs w:val="18"/>
              </w:rPr>
              <w:t>3.24 (2.13)</w:t>
            </w:r>
          </w:p>
        </w:tc>
        <w:tc>
          <w:tcPr>
            <w:tcW w:w="1430" w:type="dxa"/>
            <w:noWrap/>
            <w:hideMark/>
          </w:tcPr>
          <w:p w14:paraId="6EF83261" w14:textId="77777777" w:rsidR="00D66388" w:rsidRPr="00292779" w:rsidRDefault="00D66388" w:rsidP="0024187D">
            <w:pPr>
              <w:jc w:val="center"/>
              <w:rPr>
                <w:color w:val="000000"/>
                <w:sz w:val="18"/>
                <w:szCs w:val="18"/>
              </w:rPr>
            </w:pPr>
            <w:r w:rsidRPr="00292779">
              <w:rPr>
                <w:color w:val="000000"/>
                <w:sz w:val="18"/>
                <w:szCs w:val="18"/>
              </w:rPr>
              <w:t>2.54 (1.92)</w:t>
            </w:r>
          </w:p>
        </w:tc>
        <w:tc>
          <w:tcPr>
            <w:tcW w:w="620" w:type="dxa"/>
          </w:tcPr>
          <w:p w14:paraId="42B1A31B" w14:textId="77777777" w:rsidR="00D66388" w:rsidRPr="00292779" w:rsidRDefault="00D66388" w:rsidP="0024187D">
            <w:pPr>
              <w:jc w:val="center"/>
              <w:rPr>
                <w:color w:val="000000"/>
                <w:sz w:val="18"/>
                <w:szCs w:val="18"/>
              </w:rPr>
            </w:pPr>
            <w:r w:rsidRPr="00292779">
              <w:rPr>
                <w:color w:val="000000"/>
                <w:sz w:val="18"/>
                <w:szCs w:val="18"/>
              </w:rPr>
              <w:t>-0.33</w:t>
            </w:r>
          </w:p>
        </w:tc>
        <w:tc>
          <w:tcPr>
            <w:tcW w:w="1430" w:type="dxa"/>
            <w:noWrap/>
            <w:hideMark/>
          </w:tcPr>
          <w:p w14:paraId="33CB23FE" w14:textId="77777777" w:rsidR="00D66388" w:rsidRPr="00292779" w:rsidRDefault="00D66388" w:rsidP="0024187D">
            <w:pPr>
              <w:jc w:val="center"/>
              <w:rPr>
                <w:color w:val="000000"/>
                <w:sz w:val="18"/>
                <w:szCs w:val="18"/>
              </w:rPr>
            </w:pPr>
            <w:r w:rsidRPr="00292779">
              <w:rPr>
                <w:color w:val="000000"/>
                <w:sz w:val="18"/>
                <w:szCs w:val="18"/>
              </w:rPr>
              <w:t>2.11 (1.95)</w:t>
            </w:r>
          </w:p>
        </w:tc>
        <w:tc>
          <w:tcPr>
            <w:tcW w:w="681" w:type="dxa"/>
          </w:tcPr>
          <w:p w14:paraId="1330914E" w14:textId="77777777" w:rsidR="00D66388" w:rsidRPr="00292779" w:rsidRDefault="00D66388" w:rsidP="0024187D">
            <w:pPr>
              <w:jc w:val="center"/>
              <w:rPr>
                <w:color w:val="000000"/>
                <w:sz w:val="18"/>
                <w:szCs w:val="18"/>
              </w:rPr>
            </w:pPr>
            <w:r w:rsidRPr="00292779">
              <w:rPr>
                <w:color w:val="000000"/>
                <w:sz w:val="18"/>
                <w:szCs w:val="18"/>
              </w:rPr>
              <w:t>-0.53</w:t>
            </w:r>
          </w:p>
        </w:tc>
      </w:tr>
      <w:tr w:rsidR="00D66388" w:rsidRPr="00292779" w14:paraId="6FEB363B" w14:textId="77777777" w:rsidTr="0024187D">
        <w:trPr>
          <w:trHeight w:val="207"/>
        </w:trPr>
        <w:tc>
          <w:tcPr>
            <w:tcW w:w="2324" w:type="dxa"/>
            <w:hideMark/>
          </w:tcPr>
          <w:p w14:paraId="2F8F2EB7" w14:textId="77777777" w:rsidR="00D66388" w:rsidRPr="00292779" w:rsidRDefault="00D66388" w:rsidP="0024187D">
            <w:pPr>
              <w:rPr>
                <w:color w:val="000000"/>
                <w:sz w:val="18"/>
                <w:szCs w:val="18"/>
              </w:rPr>
            </w:pPr>
            <w:r w:rsidRPr="00292779">
              <w:rPr>
                <w:color w:val="000000"/>
                <w:sz w:val="18"/>
                <w:szCs w:val="18"/>
              </w:rPr>
              <w:t>CMEP*</w:t>
            </w:r>
          </w:p>
        </w:tc>
        <w:tc>
          <w:tcPr>
            <w:tcW w:w="1434" w:type="dxa"/>
            <w:noWrap/>
            <w:hideMark/>
          </w:tcPr>
          <w:p w14:paraId="22FFEE63" w14:textId="77777777" w:rsidR="00D66388" w:rsidRPr="00292779" w:rsidRDefault="00D66388" w:rsidP="0024187D">
            <w:pPr>
              <w:jc w:val="center"/>
              <w:rPr>
                <w:color w:val="000000"/>
                <w:sz w:val="18"/>
                <w:szCs w:val="18"/>
                <w:highlight w:val="yellow"/>
              </w:rPr>
            </w:pPr>
            <w:r w:rsidRPr="00292779">
              <w:rPr>
                <w:color w:val="000000"/>
                <w:sz w:val="18"/>
                <w:szCs w:val="18"/>
              </w:rPr>
              <w:t>21.09 (3.76)</w:t>
            </w:r>
          </w:p>
        </w:tc>
        <w:tc>
          <w:tcPr>
            <w:tcW w:w="1367" w:type="dxa"/>
            <w:noWrap/>
            <w:hideMark/>
          </w:tcPr>
          <w:p w14:paraId="4F68FF84" w14:textId="77777777" w:rsidR="00D66388" w:rsidRPr="00292779" w:rsidRDefault="00D66388" w:rsidP="0024187D">
            <w:pPr>
              <w:jc w:val="center"/>
              <w:rPr>
                <w:color w:val="000000"/>
                <w:sz w:val="18"/>
                <w:szCs w:val="18"/>
              </w:rPr>
            </w:pPr>
            <w:r w:rsidRPr="00292779">
              <w:rPr>
                <w:color w:val="000000"/>
                <w:sz w:val="18"/>
                <w:szCs w:val="18"/>
              </w:rPr>
              <w:t>25.08 (4.86)</w:t>
            </w:r>
          </w:p>
        </w:tc>
        <w:tc>
          <w:tcPr>
            <w:tcW w:w="816" w:type="dxa"/>
            <w:gridSpan w:val="2"/>
          </w:tcPr>
          <w:p w14:paraId="0A1F4399" w14:textId="77777777" w:rsidR="00D66388" w:rsidRPr="00292779" w:rsidRDefault="00D66388" w:rsidP="0024187D">
            <w:pPr>
              <w:jc w:val="center"/>
              <w:rPr>
                <w:color w:val="000000"/>
                <w:sz w:val="18"/>
                <w:szCs w:val="18"/>
              </w:rPr>
            </w:pPr>
            <w:r w:rsidRPr="00292779">
              <w:rPr>
                <w:color w:val="000000"/>
                <w:sz w:val="18"/>
                <w:szCs w:val="18"/>
              </w:rPr>
              <w:t>1.06</w:t>
            </w:r>
          </w:p>
        </w:tc>
        <w:tc>
          <w:tcPr>
            <w:tcW w:w="1370" w:type="dxa"/>
            <w:noWrap/>
            <w:hideMark/>
          </w:tcPr>
          <w:p w14:paraId="6C70F37C" w14:textId="77777777" w:rsidR="00D66388" w:rsidRPr="00292779" w:rsidRDefault="00D66388" w:rsidP="0024187D">
            <w:pPr>
              <w:jc w:val="center"/>
              <w:rPr>
                <w:color w:val="000000"/>
                <w:sz w:val="18"/>
                <w:szCs w:val="18"/>
              </w:rPr>
            </w:pPr>
            <w:r w:rsidRPr="00292779">
              <w:rPr>
                <w:color w:val="000000"/>
                <w:sz w:val="18"/>
                <w:szCs w:val="18"/>
              </w:rPr>
              <w:t>25.33 (4.77)</w:t>
            </w:r>
          </w:p>
        </w:tc>
        <w:tc>
          <w:tcPr>
            <w:tcW w:w="681" w:type="dxa"/>
          </w:tcPr>
          <w:p w14:paraId="4439D103" w14:textId="77777777" w:rsidR="00D66388" w:rsidRPr="00292779" w:rsidRDefault="00D66388" w:rsidP="0024187D">
            <w:pPr>
              <w:jc w:val="center"/>
              <w:rPr>
                <w:color w:val="000000"/>
                <w:sz w:val="18"/>
                <w:szCs w:val="18"/>
              </w:rPr>
            </w:pPr>
            <w:r w:rsidRPr="00292779">
              <w:rPr>
                <w:color w:val="000000"/>
                <w:sz w:val="18"/>
                <w:szCs w:val="18"/>
              </w:rPr>
              <w:t>1.13</w:t>
            </w:r>
          </w:p>
        </w:tc>
        <w:tc>
          <w:tcPr>
            <w:tcW w:w="1370" w:type="dxa"/>
            <w:noWrap/>
            <w:hideMark/>
          </w:tcPr>
          <w:p w14:paraId="79142864" w14:textId="77777777" w:rsidR="00D66388" w:rsidRPr="00292779" w:rsidRDefault="00D66388" w:rsidP="0024187D">
            <w:pPr>
              <w:jc w:val="center"/>
              <w:rPr>
                <w:color w:val="000000"/>
                <w:sz w:val="18"/>
                <w:szCs w:val="18"/>
              </w:rPr>
            </w:pPr>
            <w:r w:rsidRPr="00292779">
              <w:rPr>
                <w:color w:val="000000"/>
                <w:sz w:val="18"/>
                <w:szCs w:val="18"/>
              </w:rPr>
              <w:t>21.52 (3.86)</w:t>
            </w:r>
          </w:p>
        </w:tc>
        <w:tc>
          <w:tcPr>
            <w:tcW w:w="1430" w:type="dxa"/>
            <w:noWrap/>
            <w:hideMark/>
          </w:tcPr>
          <w:p w14:paraId="155E8F66" w14:textId="77777777" w:rsidR="00D66388" w:rsidRPr="00292779" w:rsidRDefault="00D66388" w:rsidP="0024187D">
            <w:pPr>
              <w:jc w:val="center"/>
              <w:rPr>
                <w:color w:val="000000"/>
                <w:sz w:val="18"/>
                <w:szCs w:val="18"/>
              </w:rPr>
            </w:pPr>
            <w:r w:rsidRPr="00292779">
              <w:rPr>
                <w:color w:val="000000"/>
                <w:sz w:val="18"/>
                <w:szCs w:val="18"/>
              </w:rPr>
              <w:t>23.44 (4.82)</w:t>
            </w:r>
          </w:p>
        </w:tc>
        <w:tc>
          <w:tcPr>
            <w:tcW w:w="620" w:type="dxa"/>
          </w:tcPr>
          <w:p w14:paraId="67AFF453" w14:textId="77777777" w:rsidR="00D66388" w:rsidRPr="00292779" w:rsidRDefault="00D66388" w:rsidP="0024187D">
            <w:pPr>
              <w:jc w:val="center"/>
              <w:rPr>
                <w:color w:val="000000"/>
                <w:sz w:val="18"/>
                <w:szCs w:val="18"/>
              </w:rPr>
            </w:pPr>
            <w:r w:rsidRPr="00292779">
              <w:rPr>
                <w:color w:val="000000"/>
                <w:sz w:val="18"/>
                <w:szCs w:val="18"/>
              </w:rPr>
              <w:t>0.49</w:t>
            </w:r>
          </w:p>
        </w:tc>
        <w:tc>
          <w:tcPr>
            <w:tcW w:w="1430" w:type="dxa"/>
            <w:noWrap/>
            <w:hideMark/>
          </w:tcPr>
          <w:p w14:paraId="643CFDCD" w14:textId="77777777" w:rsidR="00D66388" w:rsidRPr="00292779" w:rsidRDefault="00D66388" w:rsidP="0024187D">
            <w:pPr>
              <w:jc w:val="center"/>
              <w:rPr>
                <w:color w:val="000000"/>
                <w:sz w:val="18"/>
                <w:szCs w:val="18"/>
              </w:rPr>
            </w:pPr>
            <w:r w:rsidRPr="00292779">
              <w:rPr>
                <w:color w:val="000000"/>
                <w:sz w:val="18"/>
                <w:szCs w:val="18"/>
              </w:rPr>
              <w:t>23.93 (4.32)</w:t>
            </w:r>
          </w:p>
        </w:tc>
        <w:tc>
          <w:tcPr>
            <w:tcW w:w="681" w:type="dxa"/>
          </w:tcPr>
          <w:p w14:paraId="12E17FA9" w14:textId="77777777" w:rsidR="00D66388" w:rsidRPr="00292779" w:rsidRDefault="00D66388" w:rsidP="0024187D">
            <w:pPr>
              <w:jc w:val="center"/>
              <w:rPr>
                <w:color w:val="000000"/>
                <w:sz w:val="18"/>
                <w:szCs w:val="18"/>
              </w:rPr>
            </w:pPr>
            <w:r w:rsidRPr="00292779">
              <w:rPr>
                <w:color w:val="000000"/>
                <w:sz w:val="18"/>
                <w:szCs w:val="18"/>
              </w:rPr>
              <w:t>0.62</w:t>
            </w:r>
          </w:p>
        </w:tc>
      </w:tr>
      <w:tr w:rsidR="00D66388" w:rsidRPr="00292779" w14:paraId="1C7FC114" w14:textId="77777777" w:rsidTr="0024187D">
        <w:trPr>
          <w:trHeight w:val="207"/>
        </w:trPr>
        <w:tc>
          <w:tcPr>
            <w:tcW w:w="2324" w:type="dxa"/>
          </w:tcPr>
          <w:p w14:paraId="2D8C6C59" w14:textId="77777777" w:rsidR="00D66388" w:rsidRPr="00292779" w:rsidRDefault="00D66388" w:rsidP="0024187D">
            <w:pPr>
              <w:rPr>
                <w:color w:val="000000"/>
                <w:sz w:val="18"/>
                <w:szCs w:val="18"/>
              </w:rPr>
            </w:pPr>
          </w:p>
        </w:tc>
        <w:tc>
          <w:tcPr>
            <w:tcW w:w="1434" w:type="dxa"/>
            <w:noWrap/>
          </w:tcPr>
          <w:p w14:paraId="7F254FFF" w14:textId="77777777" w:rsidR="00D66388" w:rsidRPr="00292779" w:rsidRDefault="00D66388" w:rsidP="0024187D">
            <w:pPr>
              <w:jc w:val="center"/>
              <w:rPr>
                <w:color w:val="000000"/>
                <w:sz w:val="18"/>
                <w:szCs w:val="18"/>
              </w:rPr>
            </w:pPr>
          </w:p>
        </w:tc>
        <w:tc>
          <w:tcPr>
            <w:tcW w:w="1367" w:type="dxa"/>
            <w:noWrap/>
          </w:tcPr>
          <w:p w14:paraId="557AD648" w14:textId="77777777" w:rsidR="00D66388" w:rsidRPr="00292779" w:rsidRDefault="00D66388" w:rsidP="0024187D">
            <w:pPr>
              <w:jc w:val="center"/>
              <w:rPr>
                <w:color w:val="000000"/>
                <w:sz w:val="18"/>
                <w:szCs w:val="18"/>
              </w:rPr>
            </w:pPr>
          </w:p>
        </w:tc>
        <w:tc>
          <w:tcPr>
            <w:tcW w:w="816" w:type="dxa"/>
            <w:gridSpan w:val="2"/>
          </w:tcPr>
          <w:p w14:paraId="647B70AE" w14:textId="77777777" w:rsidR="00D66388" w:rsidRPr="00292779" w:rsidRDefault="00D66388" w:rsidP="0024187D">
            <w:pPr>
              <w:jc w:val="center"/>
              <w:rPr>
                <w:color w:val="000000"/>
                <w:sz w:val="18"/>
                <w:szCs w:val="18"/>
              </w:rPr>
            </w:pPr>
          </w:p>
        </w:tc>
        <w:tc>
          <w:tcPr>
            <w:tcW w:w="1370" w:type="dxa"/>
            <w:noWrap/>
          </w:tcPr>
          <w:p w14:paraId="6E9EABF5" w14:textId="77777777" w:rsidR="00D66388" w:rsidRPr="00292779" w:rsidRDefault="00D66388" w:rsidP="0024187D">
            <w:pPr>
              <w:jc w:val="center"/>
              <w:rPr>
                <w:color w:val="000000"/>
                <w:sz w:val="18"/>
                <w:szCs w:val="18"/>
              </w:rPr>
            </w:pPr>
          </w:p>
        </w:tc>
        <w:tc>
          <w:tcPr>
            <w:tcW w:w="681" w:type="dxa"/>
          </w:tcPr>
          <w:p w14:paraId="5837D3A8" w14:textId="77777777" w:rsidR="00D66388" w:rsidRPr="00292779" w:rsidRDefault="00D66388" w:rsidP="0024187D">
            <w:pPr>
              <w:jc w:val="center"/>
              <w:rPr>
                <w:color w:val="000000"/>
                <w:sz w:val="18"/>
                <w:szCs w:val="18"/>
              </w:rPr>
            </w:pPr>
          </w:p>
        </w:tc>
        <w:tc>
          <w:tcPr>
            <w:tcW w:w="1370" w:type="dxa"/>
            <w:noWrap/>
          </w:tcPr>
          <w:p w14:paraId="70BFC565" w14:textId="77777777" w:rsidR="00D66388" w:rsidRPr="00292779" w:rsidRDefault="00D66388" w:rsidP="0024187D">
            <w:pPr>
              <w:jc w:val="center"/>
              <w:rPr>
                <w:color w:val="000000"/>
                <w:sz w:val="18"/>
                <w:szCs w:val="18"/>
              </w:rPr>
            </w:pPr>
          </w:p>
        </w:tc>
        <w:tc>
          <w:tcPr>
            <w:tcW w:w="1430" w:type="dxa"/>
            <w:noWrap/>
          </w:tcPr>
          <w:p w14:paraId="0804AD14" w14:textId="77777777" w:rsidR="00D66388" w:rsidRPr="00292779" w:rsidRDefault="00D66388" w:rsidP="0024187D">
            <w:pPr>
              <w:jc w:val="center"/>
              <w:rPr>
                <w:color w:val="000000"/>
                <w:sz w:val="18"/>
                <w:szCs w:val="18"/>
              </w:rPr>
            </w:pPr>
          </w:p>
        </w:tc>
        <w:tc>
          <w:tcPr>
            <w:tcW w:w="620" w:type="dxa"/>
          </w:tcPr>
          <w:p w14:paraId="367095A2" w14:textId="77777777" w:rsidR="00D66388" w:rsidRPr="00292779" w:rsidRDefault="00D66388" w:rsidP="0024187D">
            <w:pPr>
              <w:jc w:val="center"/>
              <w:rPr>
                <w:color w:val="000000"/>
                <w:sz w:val="18"/>
                <w:szCs w:val="18"/>
              </w:rPr>
            </w:pPr>
          </w:p>
        </w:tc>
        <w:tc>
          <w:tcPr>
            <w:tcW w:w="1430" w:type="dxa"/>
            <w:noWrap/>
          </w:tcPr>
          <w:p w14:paraId="182938A1" w14:textId="77777777" w:rsidR="00D66388" w:rsidRPr="00292779" w:rsidRDefault="00D66388" w:rsidP="0024187D">
            <w:pPr>
              <w:jc w:val="center"/>
              <w:rPr>
                <w:color w:val="000000"/>
                <w:sz w:val="18"/>
                <w:szCs w:val="18"/>
              </w:rPr>
            </w:pPr>
          </w:p>
        </w:tc>
        <w:tc>
          <w:tcPr>
            <w:tcW w:w="681" w:type="dxa"/>
          </w:tcPr>
          <w:p w14:paraId="006E24A0" w14:textId="77777777" w:rsidR="00D66388" w:rsidRPr="00292779" w:rsidRDefault="00D66388" w:rsidP="0024187D">
            <w:pPr>
              <w:jc w:val="center"/>
              <w:rPr>
                <w:color w:val="000000"/>
                <w:sz w:val="18"/>
                <w:szCs w:val="18"/>
              </w:rPr>
            </w:pPr>
          </w:p>
        </w:tc>
      </w:tr>
      <w:tr w:rsidR="00D66388" w:rsidRPr="00292779" w14:paraId="780B670D" w14:textId="77777777" w:rsidTr="0024187D">
        <w:trPr>
          <w:trHeight w:val="207"/>
        </w:trPr>
        <w:tc>
          <w:tcPr>
            <w:tcW w:w="13523" w:type="dxa"/>
            <w:gridSpan w:val="12"/>
            <w:hideMark/>
          </w:tcPr>
          <w:p w14:paraId="6C1EE385" w14:textId="77777777" w:rsidR="00D66388" w:rsidRPr="00292779" w:rsidRDefault="00D66388" w:rsidP="0024187D">
            <w:pPr>
              <w:rPr>
                <w:sz w:val="20"/>
                <w:szCs w:val="20"/>
              </w:rPr>
            </w:pPr>
            <w:r w:rsidRPr="00292779">
              <w:rPr>
                <w:color w:val="000000"/>
                <w:sz w:val="18"/>
                <w:szCs w:val="18"/>
                <w:u w:val="single"/>
              </w:rPr>
              <w:t>Youth Self-Report Composite Risk Score</w:t>
            </w:r>
            <w:r w:rsidRPr="00292779">
              <w:rPr>
                <w:color w:val="000000"/>
                <w:sz w:val="18"/>
                <w:szCs w:val="18"/>
              </w:rPr>
              <w:t>*</w:t>
            </w:r>
          </w:p>
        </w:tc>
      </w:tr>
      <w:tr w:rsidR="00D66388" w:rsidRPr="00292779" w14:paraId="6B48316B" w14:textId="77777777" w:rsidTr="004006BD">
        <w:trPr>
          <w:trHeight w:val="78"/>
        </w:trPr>
        <w:tc>
          <w:tcPr>
            <w:tcW w:w="2324" w:type="dxa"/>
          </w:tcPr>
          <w:p w14:paraId="687D5E5F" w14:textId="77777777" w:rsidR="00D66388" w:rsidRPr="00292779" w:rsidRDefault="00D66388" w:rsidP="0024187D">
            <w:pPr>
              <w:rPr>
                <w:i/>
                <w:iCs/>
                <w:color w:val="000000"/>
                <w:sz w:val="18"/>
                <w:szCs w:val="18"/>
              </w:rPr>
            </w:pPr>
            <w:r w:rsidRPr="00292779">
              <w:rPr>
                <w:i/>
                <w:iCs/>
                <w:color w:val="000000"/>
                <w:sz w:val="18"/>
                <w:szCs w:val="18"/>
              </w:rPr>
              <w:t>Emotional health</w:t>
            </w:r>
          </w:p>
        </w:tc>
        <w:tc>
          <w:tcPr>
            <w:tcW w:w="1434" w:type="dxa"/>
            <w:noWrap/>
          </w:tcPr>
          <w:p w14:paraId="2C9A5E12" w14:textId="77777777" w:rsidR="00D66388" w:rsidRPr="00292779" w:rsidRDefault="00D66388" w:rsidP="0024187D">
            <w:pPr>
              <w:jc w:val="center"/>
              <w:rPr>
                <w:color w:val="000000"/>
                <w:sz w:val="18"/>
                <w:szCs w:val="18"/>
              </w:rPr>
            </w:pPr>
          </w:p>
        </w:tc>
        <w:tc>
          <w:tcPr>
            <w:tcW w:w="1367" w:type="dxa"/>
            <w:noWrap/>
          </w:tcPr>
          <w:p w14:paraId="3917A02C" w14:textId="77777777" w:rsidR="00D66388" w:rsidRPr="00292779" w:rsidRDefault="00D66388" w:rsidP="0024187D">
            <w:pPr>
              <w:jc w:val="center"/>
              <w:rPr>
                <w:sz w:val="20"/>
                <w:szCs w:val="20"/>
              </w:rPr>
            </w:pPr>
          </w:p>
        </w:tc>
        <w:tc>
          <w:tcPr>
            <w:tcW w:w="816" w:type="dxa"/>
            <w:gridSpan w:val="2"/>
          </w:tcPr>
          <w:p w14:paraId="5A688456" w14:textId="77777777" w:rsidR="00D66388" w:rsidRPr="00292779" w:rsidRDefault="00D66388" w:rsidP="0024187D">
            <w:pPr>
              <w:jc w:val="center"/>
              <w:rPr>
                <w:sz w:val="20"/>
                <w:szCs w:val="20"/>
              </w:rPr>
            </w:pPr>
          </w:p>
        </w:tc>
        <w:tc>
          <w:tcPr>
            <w:tcW w:w="1370" w:type="dxa"/>
            <w:noWrap/>
          </w:tcPr>
          <w:p w14:paraId="76A9B49A" w14:textId="77777777" w:rsidR="00D66388" w:rsidRPr="00292779" w:rsidRDefault="00D66388" w:rsidP="0024187D">
            <w:pPr>
              <w:jc w:val="center"/>
              <w:rPr>
                <w:sz w:val="20"/>
                <w:szCs w:val="20"/>
              </w:rPr>
            </w:pPr>
          </w:p>
        </w:tc>
        <w:tc>
          <w:tcPr>
            <w:tcW w:w="681" w:type="dxa"/>
          </w:tcPr>
          <w:p w14:paraId="67825E38" w14:textId="77777777" w:rsidR="00D66388" w:rsidRPr="00292779" w:rsidRDefault="00D66388" w:rsidP="0024187D">
            <w:pPr>
              <w:jc w:val="center"/>
              <w:rPr>
                <w:sz w:val="20"/>
                <w:szCs w:val="20"/>
              </w:rPr>
            </w:pPr>
          </w:p>
        </w:tc>
        <w:tc>
          <w:tcPr>
            <w:tcW w:w="1370" w:type="dxa"/>
            <w:noWrap/>
          </w:tcPr>
          <w:p w14:paraId="0F65884D" w14:textId="77777777" w:rsidR="00D66388" w:rsidRPr="00292779" w:rsidRDefault="00D66388" w:rsidP="0024187D">
            <w:pPr>
              <w:jc w:val="center"/>
              <w:rPr>
                <w:sz w:val="20"/>
                <w:szCs w:val="20"/>
              </w:rPr>
            </w:pPr>
          </w:p>
        </w:tc>
        <w:tc>
          <w:tcPr>
            <w:tcW w:w="1430" w:type="dxa"/>
            <w:noWrap/>
          </w:tcPr>
          <w:p w14:paraId="452AB269" w14:textId="77777777" w:rsidR="00D66388" w:rsidRPr="00292779" w:rsidRDefault="00D66388" w:rsidP="0024187D">
            <w:pPr>
              <w:jc w:val="center"/>
              <w:rPr>
                <w:sz w:val="20"/>
                <w:szCs w:val="20"/>
              </w:rPr>
            </w:pPr>
          </w:p>
        </w:tc>
        <w:tc>
          <w:tcPr>
            <w:tcW w:w="620" w:type="dxa"/>
          </w:tcPr>
          <w:p w14:paraId="120B4814" w14:textId="77777777" w:rsidR="00D66388" w:rsidRPr="00292779" w:rsidRDefault="00D66388" w:rsidP="0024187D">
            <w:pPr>
              <w:jc w:val="center"/>
              <w:rPr>
                <w:sz w:val="20"/>
                <w:szCs w:val="20"/>
              </w:rPr>
            </w:pPr>
          </w:p>
        </w:tc>
        <w:tc>
          <w:tcPr>
            <w:tcW w:w="1430" w:type="dxa"/>
            <w:noWrap/>
          </w:tcPr>
          <w:p w14:paraId="55D8EA40" w14:textId="77777777" w:rsidR="00D66388" w:rsidRPr="00292779" w:rsidRDefault="00D66388" w:rsidP="0024187D">
            <w:pPr>
              <w:jc w:val="center"/>
              <w:rPr>
                <w:sz w:val="20"/>
                <w:szCs w:val="20"/>
              </w:rPr>
            </w:pPr>
          </w:p>
        </w:tc>
        <w:tc>
          <w:tcPr>
            <w:tcW w:w="681" w:type="dxa"/>
          </w:tcPr>
          <w:p w14:paraId="7D9F81EC" w14:textId="77777777" w:rsidR="00D66388" w:rsidRPr="00292779" w:rsidRDefault="00D66388" w:rsidP="0024187D">
            <w:pPr>
              <w:jc w:val="center"/>
              <w:rPr>
                <w:sz w:val="20"/>
                <w:szCs w:val="20"/>
              </w:rPr>
            </w:pPr>
          </w:p>
        </w:tc>
      </w:tr>
      <w:tr w:rsidR="00D66388" w:rsidRPr="00292779" w14:paraId="196F986B" w14:textId="77777777" w:rsidTr="004006BD">
        <w:trPr>
          <w:trHeight w:val="78"/>
        </w:trPr>
        <w:tc>
          <w:tcPr>
            <w:tcW w:w="2324" w:type="dxa"/>
            <w:hideMark/>
          </w:tcPr>
          <w:p w14:paraId="4B9CCB49" w14:textId="77777777" w:rsidR="00D66388" w:rsidRPr="004006BD" w:rsidRDefault="00D66388" w:rsidP="0024187D">
            <w:pPr>
              <w:rPr>
                <w:color w:val="000000"/>
                <w:sz w:val="18"/>
                <w:szCs w:val="18"/>
              </w:rPr>
            </w:pPr>
            <w:r w:rsidRPr="00292779">
              <w:rPr>
                <w:color w:val="000000"/>
                <w:sz w:val="18"/>
                <w:szCs w:val="18"/>
              </w:rPr>
              <w:t xml:space="preserve">  </w:t>
            </w:r>
            <w:proofErr w:type="spellStart"/>
            <w:r w:rsidRPr="004006BD">
              <w:rPr>
                <w:color w:val="000000"/>
                <w:sz w:val="18"/>
                <w:szCs w:val="18"/>
              </w:rPr>
              <w:t>CDRS</w:t>
            </w:r>
            <w:proofErr w:type="spellEnd"/>
          </w:p>
        </w:tc>
        <w:tc>
          <w:tcPr>
            <w:tcW w:w="1434" w:type="dxa"/>
            <w:noWrap/>
            <w:hideMark/>
          </w:tcPr>
          <w:p w14:paraId="592F7B45" w14:textId="77777777" w:rsidR="00D66388" w:rsidRPr="004006BD" w:rsidRDefault="00D66388" w:rsidP="0024187D">
            <w:pPr>
              <w:jc w:val="center"/>
              <w:rPr>
                <w:color w:val="000000"/>
                <w:sz w:val="18"/>
                <w:szCs w:val="18"/>
              </w:rPr>
            </w:pPr>
            <w:r w:rsidRPr="004006BD">
              <w:rPr>
                <w:color w:val="000000"/>
                <w:sz w:val="18"/>
                <w:szCs w:val="18"/>
              </w:rPr>
              <w:t>33.90 (9.34)</w:t>
            </w:r>
          </w:p>
        </w:tc>
        <w:tc>
          <w:tcPr>
            <w:tcW w:w="1367" w:type="dxa"/>
            <w:noWrap/>
            <w:hideMark/>
          </w:tcPr>
          <w:p w14:paraId="0D98F869" w14:textId="77777777" w:rsidR="00D66388" w:rsidRPr="004006BD" w:rsidRDefault="00D66388" w:rsidP="0024187D">
            <w:pPr>
              <w:jc w:val="center"/>
              <w:rPr>
                <w:color w:val="000000"/>
                <w:sz w:val="18"/>
                <w:szCs w:val="18"/>
              </w:rPr>
            </w:pPr>
            <w:r w:rsidRPr="004006BD">
              <w:rPr>
                <w:color w:val="000000"/>
                <w:sz w:val="18"/>
                <w:szCs w:val="18"/>
              </w:rPr>
              <w:t>27.01 (8.72)</w:t>
            </w:r>
          </w:p>
        </w:tc>
        <w:tc>
          <w:tcPr>
            <w:tcW w:w="816" w:type="dxa"/>
            <w:gridSpan w:val="2"/>
          </w:tcPr>
          <w:p w14:paraId="407E8EAA" w14:textId="77777777" w:rsidR="00D66388" w:rsidRPr="004006BD" w:rsidRDefault="00D66388" w:rsidP="0024187D">
            <w:pPr>
              <w:jc w:val="center"/>
              <w:rPr>
                <w:color w:val="000000"/>
                <w:sz w:val="18"/>
                <w:szCs w:val="18"/>
              </w:rPr>
            </w:pPr>
            <w:r w:rsidRPr="004006BD">
              <w:rPr>
                <w:color w:val="000000"/>
                <w:sz w:val="18"/>
                <w:szCs w:val="18"/>
              </w:rPr>
              <w:t>-0.74</w:t>
            </w:r>
          </w:p>
        </w:tc>
        <w:tc>
          <w:tcPr>
            <w:tcW w:w="1370" w:type="dxa"/>
            <w:noWrap/>
            <w:hideMark/>
          </w:tcPr>
          <w:p w14:paraId="5233E447" w14:textId="77777777" w:rsidR="00D66388" w:rsidRPr="004006BD" w:rsidRDefault="00D66388" w:rsidP="0024187D">
            <w:pPr>
              <w:jc w:val="center"/>
              <w:rPr>
                <w:color w:val="000000"/>
                <w:sz w:val="18"/>
                <w:szCs w:val="18"/>
              </w:rPr>
            </w:pPr>
            <w:r w:rsidRPr="004006BD">
              <w:rPr>
                <w:color w:val="000000"/>
                <w:sz w:val="18"/>
                <w:szCs w:val="18"/>
              </w:rPr>
              <w:t>25.87 (7.68)</w:t>
            </w:r>
          </w:p>
        </w:tc>
        <w:tc>
          <w:tcPr>
            <w:tcW w:w="681" w:type="dxa"/>
          </w:tcPr>
          <w:p w14:paraId="2BC94D70" w14:textId="77777777" w:rsidR="00D66388" w:rsidRPr="004006BD" w:rsidRDefault="00D66388" w:rsidP="0024187D">
            <w:pPr>
              <w:jc w:val="center"/>
              <w:rPr>
                <w:color w:val="000000"/>
                <w:sz w:val="18"/>
                <w:szCs w:val="18"/>
              </w:rPr>
            </w:pPr>
            <w:r w:rsidRPr="004006BD">
              <w:rPr>
                <w:color w:val="000000"/>
                <w:sz w:val="18"/>
                <w:szCs w:val="18"/>
              </w:rPr>
              <w:t>-0.86</w:t>
            </w:r>
          </w:p>
        </w:tc>
        <w:tc>
          <w:tcPr>
            <w:tcW w:w="1370" w:type="dxa"/>
            <w:noWrap/>
            <w:hideMark/>
          </w:tcPr>
          <w:p w14:paraId="64AC8CC4" w14:textId="77777777" w:rsidR="00D66388" w:rsidRPr="004006BD" w:rsidRDefault="00D66388" w:rsidP="0024187D">
            <w:pPr>
              <w:jc w:val="center"/>
              <w:rPr>
                <w:color w:val="000000"/>
                <w:sz w:val="18"/>
                <w:szCs w:val="18"/>
              </w:rPr>
            </w:pPr>
            <w:r w:rsidRPr="004006BD">
              <w:rPr>
                <w:color w:val="000000"/>
                <w:sz w:val="18"/>
                <w:szCs w:val="18"/>
              </w:rPr>
              <w:t>33.08 (9.90)</w:t>
            </w:r>
          </w:p>
        </w:tc>
        <w:tc>
          <w:tcPr>
            <w:tcW w:w="1430" w:type="dxa"/>
            <w:noWrap/>
            <w:hideMark/>
          </w:tcPr>
          <w:p w14:paraId="4AA11531" w14:textId="77777777" w:rsidR="00D66388" w:rsidRPr="004006BD" w:rsidRDefault="00D66388" w:rsidP="0024187D">
            <w:pPr>
              <w:jc w:val="center"/>
              <w:rPr>
                <w:color w:val="000000"/>
                <w:sz w:val="18"/>
                <w:szCs w:val="18"/>
              </w:rPr>
            </w:pPr>
            <w:r w:rsidRPr="004006BD">
              <w:rPr>
                <w:color w:val="000000"/>
                <w:sz w:val="18"/>
                <w:szCs w:val="18"/>
              </w:rPr>
              <w:t>27.00 (8.16)</w:t>
            </w:r>
          </w:p>
        </w:tc>
        <w:tc>
          <w:tcPr>
            <w:tcW w:w="620" w:type="dxa"/>
          </w:tcPr>
          <w:p w14:paraId="20B6D869" w14:textId="77777777" w:rsidR="00D66388" w:rsidRPr="004006BD" w:rsidRDefault="00D66388" w:rsidP="0024187D">
            <w:pPr>
              <w:jc w:val="center"/>
              <w:rPr>
                <w:color w:val="000000"/>
                <w:sz w:val="18"/>
                <w:szCs w:val="18"/>
              </w:rPr>
            </w:pPr>
            <w:r w:rsidRPr="004006BD">
              <w:rPr>
                <w:color w:val="000000"/>
                <w:sz w:val="18"/>
                <w:szCs w:val="18"/>
              </w:rPr>
              <w:t>-0.61</w:t>
            </w:r>
          </w:p>
        </w:tc>
        <w:tc>
          <w:tcPr>
            <w:tcW w:w="1430" w:type="dxa"/>
            <w:noWrap/>
            <w:hideMark/>
          </w:tcPr>
          <w:p w14:paraId="2199054B" w14:textId="77777777" w:rsidR="00D66388" w:rsidRPr="004006BD" w:rsidRDefault="00D66388" w:rsidP="0024187D">
            <w:pPr>
              <w:jc w:val="center"/>
              <w:rPr>
                <w:color w:val="000000"/>
                <w:sz w:val="18"/>
                <w:szCs w:val="18"/>
              </w:rPr>
            </w:pPr>
            <w:r w:rsidRPr="004006BD">
              <w:rPr>
                <w:color w:val="000000"/>
                <w:sz w:val="18"/>
                <w:szCs w:val="18"/>
              </w:rPr>
              <w:t>26.63 (10.08)</w:t>
            </w:r>
          </w:p>
        </w:tc>
        <w:tc>
          <w:tcPr>
            <w:tcW w:w="681" w:type="dxa"/>
          </w:tcPr>
          <w:p w14:paraId="066CDD39" w14:textId="77777777" w:rsidR="00D66388" w:rsidRPr="00292779" w:rsidRDefault="00D66388" w:rsidP="0024187D">
            <w:pPr>
              <w:jc w:val="center"/>
              <w:rPr>
                <w:color w:val="000000"/>
                <w:sz w:val="18"/>
                <w:szCs w:val="18"/>
              </w:rPr>
            </w:pPr>
            <w:r w:rsidRPr="004006BD">
              <w:rPr>
                <w:color w:val="000000"/>
                <w:sz w:val="18"/>
                <w:szCs w:val="18"/>
              </w:rPr>
              <w:t>-0.65</w:t>
            </w:r>
          </w:p>
        </w:tc>
      </w:tr>
      <w:tr w:rsidR="00D66388" w:rsidRPr="00292779" w14:paraId="3F5257B4" w14:textId="77777777" w:rsidTr="0024187D">
        <w:trPr>
          <w:trHeight w:val="207"/>
        </w:trPr>
        <w:tc>
          <w:tcPr>
            <w:tcW w:w="2324" w:type="dxa"/>
            <w:hideMark/>
          </w:tcPr>
          <w:p w14:paraId="69370A00" w14:textId="77777777" w:rsidR="00D66388" w:rsidRPr="00292779" w:rsidRDefault="00D66388" w:rsidP="0024187D">
            <w:pPr>
              <w:rPr>
                <w:color w:val="000000"/>
                <w:sz w:val="18"/>
                <w:szCs w:val="18"/>
              </w:rPr>
            </w:pPr>
            <w:r w:rsidRPr="00292779">
              <w:rPr>
                <w:color w:val="000000"/>
                <w:sz w:val="18"/>
                <w:szCs w:val="18"/>
              </w:rPr>
              <w:t xml:space="preserve">  </w:t>
            </w:r>
            <w:proofErr w:type="spellStart"/>
            <w:r w:rsidRPr="00292779">
              <w:rPr>
                <w:color w:val="000000"/>
                <w:sz w:val="18"/>
                <w:szCs w:val="18"/>
              </w:rPr>
              <w:t>MASC</w:t>
            </w:r>
            <w:proofErr w:type="spellEnd"/>
          </w:p>
        </w:tc>
        <w:tc>
          <w:tcPr>
            <w:tcW w:w="1434" w:type="dxa"/>
            <w:noWrap/>
            <w:hideMark/>
          </w:tcPr>
          <w:p w14:paraId="7F8786A0" w14:textId="77777777" w:rsidR="00D66388" w:rsidRPr="00292779" w:rsidRDefault="00D66388" w:rsidP="0024187D">
            <w:pPr>
              <w:jc w:val="center"/>
              <w:rPr>
                <w:color w:val="000000"/>
                <w:sz w:val="18"/>
                <w:szCs w:val="18"/>
              </w:rPr>
            </w:pPr>
            <w:r w:rsidRPr="00292779">
              <w:rPr>
                <w:color w:val="000000"/>
                <w:sz w:val="18"/>
                <w:szCs w:val="18"/>
              </w:rPr>
              <w:t>46.51 (17.73)</w:t>
            </w:r>
          </w:p>
        </w:tc>
        <w:tc>
          <w:tcPr>
            <w:tcW w:w="1367" w:type="dxa"/>
            <w:noWrap/>
            <w:hideMark/>
          </w:tcPr>
          <w:p w14:paraId="0D44A628" w14:textId="77777777" w:rsidR="00D66388" w:rsidRPr="00292779" w:rsidRDefault="00D66388" w:rsidP="0024187D">
            <w:pPr>
              <w:jc w:val="center"/>
              <w:rPr>
                <w:color w:val="000000"/>
                <w:sz w:val="18"/>
                <w:szCs w:val="18"/>
              </w:rPr>
            </w:pPr>
            <w:r w:rsidRPr="00292779">
              <w:rPr>
                <w:color w:val="000000"/>
                <w:sz w:val="18"/>
                <w:szCs w:val="18"/>
              </w:rPr>
              <w:t>45.45 (17.10)</w:t>
            </w:r>
          </w:p>
        </w:tc>
        <w:tc>
          <w:tcPr>
            <w:tcW w:w="816" w:type="dxa"/>
            <w:gridSpan w:val="2"/>
          </w:tcPr>
          <w:p w14:paraId="1DA71417" w14:textId="77777777" w:rsidR="00D66388" w:rsidRPr="00292779" w:rsidRDefault="00D66388" w:rsidP="0024187D">
            <w:pPr>
              <w:jc w:val="center"/>
              <w:rPr>
                <w:color w:val="000000"/>
                <w:sz w:val="18"/>
                <w:szCs w:val="18"/>
              </w:rPr>
            </w:pPr>
            <w:r w:rsidRPr="00292779">
              <w:rPr>
                <w:color w:val="000000"/>
                <w:sz w:val="18"/>
                <w:szCs w:val="18"/>
              </w:rPr>
              <w:t>-0.06</w:t>
            </w:r>
          </w:p>
        </w:tc>
        <w:tc>
          <w:tcPr>
            <w:tcW w:w="1370" w:type="dxa"/>
            <w:noWrap/>
            <w:hideMark/>
          </w:tcPr>
          <w:p w14:paraId="2DBA7BBE" w14:textId="77777777" w:rsidR="00D66388" w:rsidRPr="00292779" w:rsidRDefault="00D66388" w:rsidP="0024187D">
            <w:pPr>
              <w:jc w:val="center"/>
              <w:rPr>
                <w:color w:val="000000"/>
                <w:sz w:val="18"/>
                <w:szCs w:val="18"/>
              </w:rPr>
            </w:pPr>
            <w:r w:rsidRPr="00292779">
              <w:rPr>
                <w:color w:val="000000"/>
                <w:sz w:val="18"/>
                <w:szCs w:val="18"/>
              </w:rPr>
              <w:t>42.28 (20.28)</w:t>
            </w:r>
          </w:p>
        </w:tc>
        <w:tc>
          <w:tcPr>
            <w:tcW w:w="681" w:type="dxa"/>
          </w:tcPr>
          <w:p w14:paraId="6629E324" w14:textId="77777777" w:rsidR="00D66388" w:rsidRPr="00292779" w:rsidRDefault="00D66388" w:rsidP="0024187D">
            <w:pPr>
              <w:jc w:val="center"/>
              <w:rPr>
                <w:color w:val="000000"/>
                <w:sz w:val="18"/>
                <w:szCs w:val="18"/>
              </w:rPr>
            </w:pPr>
            <w:r w:rsidRPr="00292779">
              <w:rPr>
                <w:color w:val="000000"/>
                <w:sz w:val="18"/>
                <w:szCs w:val="18"/>
              </w:rPr>
              <w:t>-0.24</w:t>
            </w:r>
          </w:p>
        </w:tc>
        <w:tc>
          <w:tcPr>
            <w:tcW w:w="1370" w:type="dxa"/>
            <w:noWrap/>
            <w:hideMark/>
          </w:tcPr>
          <w:p w14:paraId="6FFBC1FA" w14:textId="77777777" w:rsidR="00D66388" w:rsidRPr="00292779" w:rsidRDefault="00D66388" w:rsidP="0024187D">
            <w:pPr>
              <w:jc w:val="center"/>
              <w:rPr>
                <w:color w:val="000000"/>
                <w:sz w:val="18"/>
                <w:szCs w:val="18"/>
              </w:rPr>
            </w:pPr>
            <w:r w:rsidRPr="00292779">
              <w:rPr>
                <w:color w:val="000000"/>
                <w:sz w:val="18"/>
                <w:szCs w:val="18"/>
              </w:rPr>
              <w:t>45.98 (15.99)</w:t>
            </w:r>
          </w:p>
        </w:tc>
        <w:tc>
          <w:tcPr>
            <w:tcW w:w="1430" w:type="dxa"/>
            <w:noWrap/>
            <w:hideMark/>
          </w:tcPr>
          <w:p w14:paraId="284D9539" w14:textId="77777777" w:rsidR="00D66388" w:rsidRPr="00292779" w:rsidRDefault="00D66388" w:rsidP="0024187D">
            <w:pPr>
              <w:jc w:val="center"/>
              <w:rPr>
                <w:color w:val="000000"/>
                <w:sz w:val="18"/>
                <w:szCs w:val="18"/>
              </w:rPr>
            </w:pPr>
            <w:r w:rsidRPr="00292779">
              <w:rPr>
                <w:color w:val="000000"/>
                <w:sz w:val="18"/>
                <w:szCs w:val="18"/>
              </w:rPr>
              <w:t>44.74 (18.03)</w:t>
            </w:r>
          </w:p>
        </w:tc>
        <w:tc>
          <w:tcPr>
            <w:tcW w:w="620" w:type="dxa"/>
          </w:tcPr>
          <w:p w14:paraId="436279DB" w14:textId="77777777" w:rsidR="00D66388" w:rsidRPr="00292779" w:rsidRDefault="00D66388" w:rsidP="0024187D">
            <w:pPr>
              <w:jc w:val="center"/>
              <w:rPr>
                <w:color w:val="000000"/>
                <w:sz w:val="18"/>
                <w:szCs w:val="18"/>
              </w:rPr>
            </w:pPr>
            <w:r w:rsidRPr="00292779">
              <w:rPr>
                <w:color w:val="000000"/>
                <w:sz w:val="18"/>
                <w:szCs w:val="18"/>
              </w:rPr>
              <w:t>-0.08</w:t>
            </w:r>
          </w:p>
        </w:tc>
        <w:tc>
          <w:tcPr>
            <w:tcW w:w="1430" w:type="dxa"/>
            <w:noWrap/>
            <w:hideMark/>
          </w:tcPr>
          <w:p w14:paraId="33E9B1B5" w14:textId="77777777" w:rsidR="00D66388" w:rsidRPr="00292779" w:rsidRDefault="00D66388" w:rsidP="0024187D">
            <w:pPr>
              <w:jc w:val="center"/>
              <w:rPr>
                <w:color w:val="000000"/>
                <w:sz w:val="18"/>
                <w:szCs w:val="18"/>
              </w:rPr>
            </w:pPr>
            <w:r w:rsidRPr="00292779">
              <w:rPr>
                <w:color w:val="000000"/>
                <w:sz w:val="18"/>
                <w:szCs w:val="18"/>
              </w:rPr>
              <w:t>40.63 (18.18)</w:t>
            </w:r>
          </w:p>
        </w:tc>
        <w:tc>
          <w:tcPr>
            <w:tcW w:w="681" w:type="dxa"/>
          </w:tcPr>
          <w:p w14:paraId="27533CDB" w14:textId="77777777" w:rsidR="00D66388" w:rsidRPr="00292779" w:rsidRDefault="00D66388" w:rsidP="0024187D">
            <w:pPr>
              <w:jc w:val="center"/>
              <w:rPr>
                <w:color w:val="000000"/>
                <w:sz w:val="18"/>
                <w:szCs w:val="18"/>
              </w:rPr>
            </w:pPr>
            <w:r w:rsidRPr="00292779">
              <w:rPr>
                <w:color w:val="000000"/>
                <w:sz w:val="18"/>
                <w:szCs w:val="18"/>
              </w:rPr>
              <w:t>-0.33</w:t>
            </w:r>
          </w:p>
        </w:tc>
      </w:tr>
      <w:tr w:rsidR="00D66388" w:rsidRPr="00292779" w14:paraId="01CB7622" w14:textId="77777777" w:rsidTr="0024187D">
        <w:trPr>
          <w:trHeight w:val="207"/>
        </w:trPr>
        <w:tc>
          <w:tcPr>
            <w:tcW w:w="2324" w:type="dxa"/>
            <w:hideMark/>
          </w:tcPr>
          <w:p w14:paraId="54FB6C6E"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noWrap/>
            <w:hideMark/>
          </w:tcPr>
          <w:p w14:paraId="4C7BA235" w14:textId="77777777" w:rsidR="00D66388" w:rsidRPr="00292779" w:rsidRDefault="00D66388" w:rsidP="0024187D">
            <w:pPr>
              <w:jc w:val="center"/>
              <w:rPr>
                <w:color w:val="000000"/>
                <w:sz w:val="18"/>
                <w:szCs w:val="18"/>
              </w:rPr>
            </w:pPr>
            <w:r w:rsidRPr="00292779">
              <w:rPr>
                <w:color w:val="000000"/>
                <w:sz w:val="18"/>
                <w:szCs w:val="18"/>
              </w:rPr>
              <w:t>0.36 (0.90)</w:t>
            </w:r>
          </w:p>
        </w:tc>
        <w:tc>
          <w:tcPr>
            <w:tcW w:w="1367" w:type="dxa"/>
            <w:noWrap/>
            <w:hideMark/>
          </w:tcPr>
          <w:p w14:paraId="3E0ABAD3" w14:textId="77777777" w:rsidR="00D66388" w:rsidRPr="00292779" w:rsidRDefault="00D66388" w:rsidP="0024187D">
            <w:pPr>
              <w:jc w:val="center"/>
              <w:rPr>
                <w:sz w:val="20"/>
                <w:szCs w:val="20"/>
              </w:rPr>
            </w:pPr>
            <w:r w:rsidRPr="00292779">
              <w:rPr>
                <w:color w:val="000000"/>
                <w:sz w:val="18"/>
                <w:szCs w:val="18"/>
              </w:rPr>
              <w:t>-0.07 (0.79)</w:t>
            </w:r>
          </w:p>
        </w:tc>
        <w:tc>
          <w:tcPr>
            <w:tcW w:w="816" w:type="dxa"/>
            <w:gridSpan w:val="2"/>
          </w:tcPr>
          <w:p w14:paraId="3CADF5E3" w14:textId="77777777" w:rsidR="00D66388" w:rsidRPr="00292779" w:rsidRDefault="00D66388" w:rsidP="0024187D">
            <w:pPr>
              <w:jc w:val="center"/>
              <w:rPr>
                <w:color w:val="000000"/>
                <w:sz w:val="18"/>
                <w:szCs w:val="18"/>
              </w:rPr>
            </w:pPr>
            <w:r w:rsidRPr="00292779">
              <w:rPr>
                <w:color w:val="000000"/>
                <w:sz w:val="18"/>
                <w:szCs w:val="18"/>
              </w:rPr>
              <w:t>-0.48</w:t>
            </w:r>
          </w:p>
        </w:tc>
        <w:tc>
          <w:tcPr>
            <w:tcW w:w="1370" w:type="dxa"/>
            <w:noWrap/>
            <w:hideMark/>
          </w:tcPr>
          <w:p w14:paraId="78BED902" w14:textId="77777777" w:rsidR="00D66388" w:rsidRPr="00292779" w:rsidRDefault="00D66388" w:rsidP="0024187D">
            <w:pPr>
              <w:jc w:val="center"/>
              <w:rPr>
                <w:sz w:val="20"/>
                <w:szCs w:val="20"/>
              </w:rPr>
            </w:pPr>
            <w:r w:rsidRPr="00292779">
              <w:rPr>
                <w:color w:val="000000"/>
                <w:sz w:val="18"/>
                <w:szCs w:val="18"/>
              </w:rPr>
              <w:t>-0.24 (0.82)</w:t>
            </w:r>
          </w:p>
        </w:tc>
        <w:tc>
          <w:tcPr>
            <w:tcW w:w="681" w:type="dxa"/>
          </w:tcPr>
          <w:p w14:paraId="4C980FDF" w14:textId="77777777" w:rsidR="00D66388" w:rsidRPr="00292779" w:rsidRDefault="00D66388" w:rsidP="0024187D">
            <w:pPr>
              <w:jc w:val="center"/>
              <w:rPr>
                <w:color w:val="000000"/>
                <w:sz w:val="18"/>
                <w:szCs w:val="18"/>
              </w:rPr>
            </w:pPr>
            <w:r w:rsidRPr="00292779">
              <w:rPr>
                <w:color w:val="000000"/>
                <w:sz w:val="18"/>
                <w:szCs w:val="18"/>
              </w:rPr>
              <w:t>-0.66</w:t>
            </w:r>
          </w:p>
        </w:tc>
        <w:tc>
          <w:tcPr>
            <w:tcW w:w="1370" w:type="dxa"/>
            <w:noWrap/>
            <w:hideMark/>
          </w:tcPr>
          <w:p w14:paraId="00A5B874" w14:textId="77777777" w:rsidR="00D66388" w:rsidRPr="00292779" w:rsidRDefault="00D66388" w:rsidP="0024187D">
            <w:pPr>
              <w:jc w:val="center"/>
              <w:rPr>
                <w:sz w:val="20"/>
                <w:szCs w:val="20"/>
              </w:rPr>
            </w:pPr>
            <w:r w:rsidRPr="00292779">
              <w:rPr>
                <w:color w:val="000000"/>
                <w:sz w:val="18"/>
                <w:szCs w:val="18"/>
              </w:rPr>
              <w:t>0.28 (0.81)</w:t>
            </w:r>
          </w:p>
        </w:tc>
        <w:tc>
          <w:tcPr>
            <w:tcW w:w="1430" w:type="dxa"/>
            <w:noWrap/>
            <w:hideMark/>
          </w:tcPr>
          <w:p w14:paraId="70A1F6D4" w14:textId="77777777" w:rsidR="00D66388" w:rsidRPr="00292779" w:rsidRDefault="00D66388" w:rsidP="0024187D">
            <w:pPr>
              <w:jc w:val="center"/>
              <w:rPr>
                <w:sz w:val="20"/>
                <w:szCs w:val="20"/>
              </w:rPr>
            </w:pPr>
            <w:r w:rsidRPr="00292779">
              <w:rPr>
                <w:color w:val="000000"/>
                <w:sz w:val="18"/>
                <w:szCs w:val="18"/>
              </w:rPr>
              <w:t>-0.11 (0.79)</w:t>
            </w:r>
          </w:p>
        </w:tc>
        <w:tc>
          <w:tcPr>
            <w:tcW w:w="620" w:type="dxa"/>
          </w:tcPr>
          <w:p w14:paraId="1087282B" w14:textId="77777777" w:rsidR="00D66388" w:rsidRPr="00292779" w:rsidRDefault="00D66388" w:rsidP="0024187D">
            <w:pPr>
              <w:jc w:val="center"/>
              <w:rPr>
                <w:color w:val="000000"/>
                <w:sz w:val="18"/>
                <w:szCs w:val="18"/>
              </w:rPr>
            </w:pPr>
            <w:r w:rsidRPr="00292779">
              <w:rPr>
                <w:color w:val="000000"/>
                <w:sz w:val="18"/>
                <w:szCs w:val="18"/>
              </w:rPr>
              <w:t>-0.47</w:t>
            </w:r>
          </w:p>
        </w:tc>
        <w:tc>
          <w:tcPr>
            <w:tcW w:w="1430" w:type="dxa"/>
            <w:noWrap/>
            <w:hideMark/>
          </w:tcPr>
          <w:p w14:paraId="2C1CB018" w14:textId="77777777" w:rsidR="00D66388" w:rsidRPr="00292779" w:rsidRDefault="00D66388" w:rsidP="0024187D">
            <w:pPr>
              <w:jc w:val="center"/>
              <w:rPr>
                <w:sz w:val="20"/>
                <w:szCs w:val="20"/>
              </w:rPr>
            </w:pPr>
            <w:r w:rsidRPr="00292779">
              <w:rPr>
                <w:color w:val="000000"/>
                <w:sz w:val="18"/>
                <w:szCs w:val="18"/>
              </w:rPr>
              <w:t>-0.25 (0.89)</w:t>
            </w:r>
          </w:p>
        </w:tc>
        <w:tc>
          <w:tcPr>
            <w:tcW w:w="681" w:type="dxa"/>
          </w:tcPr>
          <w:p w14:paraId="639C6494" w14:textId="77777777" w:rsidR="00D66388" w:rsidRPr="00292779" w:rsidRDefault="00D66388" w:rsidP="0024187D">
            <w:pPr>
              <w:jc w:val="center"/>
              <w:rPr>
                <w:color w:val="000000"/>
                <w:sz w:val="18"/>
                <w:szCs w:val="18"/>
              </w:rPr>
            </w:pPr>
            <w:r w:rsidRPr="00292779">
              <w:rPr>
                <w:color w:val="000000"/>
                <w:sz w:val="18"/>
                <w:szCs w:val="18"/>
              </w:rPr>
              <w:t>-0.65</w:t>
            </w:r>
          </w:p>
        </w:tc>
      </w:tr>
      <w:tr w:rsidR="00D66388" w:rsidRPr="00292779" w14:paraId="5ADC9C38" w14:textId="77777777" w:rsidTr="0024187D">
        <w:trPr>
          <w:trHeight w:val="207"/>
        </w:trPr>
        <w:tc>
          <w:tcPr>
            <w:tcW w:w="2324" w:type="dxa"/>
            <w:hideMark/>
          </w:tcPr>
          <w:p w14:paraId="757FAD32" w14:textId="77777777" w:rsidR="00D66388" w:rsidRPr="00292779" w:rsidRDefault="00D66388" w:rsidP="0024187D">
            <w:pPr>
              <w:rPr>
                <w:color w:val="000000"/>
                <w:sz w:val="18"/>
                <w:szCs w:val="18"/>
              </w:rPr>
            </w:pPr>
            <w:r w:rsidRPr="00292779">
              <w:rPr>
                <w:i/>
                <w:iCs/>
                <w:color w:val="000000"/>
                <w:sz w:val="18"/>
                <w:szCs w:val="18"/>
              </w:rPr>
              <w:t>Cognitive health</w:t>
            </w:r>
          </w:p>
        </w:tc>
        <w:tc>
          <w:tcPr>
            <w:tcW w:w="1434" w:type="dxa"/>
            <w:noWrap/>
            <w:hideMark/>
          </w:tcPr>
          <w:p w14:paraId="3E2455DF" w14:textId="77777777" w:rsidR="00D66388" w:rsidRPr="00292779" w:rsidRDefault="00D66388" w:rsidP="0024187D">
            <w:pPr>
              <w:jc w:val="center"/>
              <w:rPr>
                <w:color w:val="000000"/>
                <w:sz w:val="18"/>
                <w:szCs w:val="18"/>
              </w:rPr>
            </w:pPr>
          </w:p>
        </w:tc>
        <w:tc>
          <w:tcPr>
            <w:tcW w:w="1367" w:type="dxa"/>
            <w:noWrap/>
            <w:hideMark/>
          </w:tcPr>
          <w:p w14:paraId="12FF1C6A" w14:textId="77777777" w:rsidR="00D66388" w:rsidRPr="00292779" w:rsidRDefault="00D66388" w:rsidP="0024187D">
            <w:pPr>
              <w:jc w:val="center"/>
              <w:rPr>
                <w:sz w:val="20"/>
                <w:szCs w:val="20"/>
              </w:rPr>
            </w:pPr>
          </w:p>
        </w:tc>
        <w:tc>
          <w:tcPr>
            <w:tcW w:w="816" w:type="dxa"/>
            <w:gridSpan w:val="2"/>
          </w:tcPr>
          <w:p w14:paraId="5FF1BE29" w14:textId="77777777" w:rsidR="00D66388" w:rsidRPr="00292779" w:rsidRDefault="00D66388" w:rsidP="0024187D">
            <w:pPr>
              <w:jc w:val="center"/>
              <w:rPr>
                <w:sz w:val="20"/>
                <w:szCs w:val="20"/>
              </w:rPr>
            </w:pPr>
          </w:p>
        </w:tc>
        <w:tc>
          <w:tcPr>
            <w:tcW w:w="1370" w:type="dxa"/>
            <w:noWrap/>
            <w:hideMark/>
          </w:tcPr>
          <w:p w14:paraId="581918D0" w14:textId="77777777" w:rsidR="00D66388" w:rsidRPr="00292779" w:rsidRDefault="00D66388" w:rsidP="0024187D">
            <w:pPr>
              <w:jc w:val="center"/>
              <w:rPr>
                <w:sz w:val="20"/>
                <w:szCs w:val="20"/>
              </w:rPr>
            </w:pPr>
          </w:p>
        </w:tc>
        <w:tc>
          <w:tcPr>
            <w:tcW w:w="681" w:type="dxa"/>
          </w:tcPr>
          <w:p w14:paraId="55D9CF4F" w14:textId="77777777" w:rsidR="00D66388" w:rsidRPr="00292779" w:rsidRDefault="00D66388" w:rsidP="0024187D">
            <w:pPr>
              <w:jc w:val="center"/>
              <w:rPr>
                <w:sz w:val="20"/>
                <w:szCs w:val="20"/>
              </w:rPr>
            </w:pPr>
          </w:p>
        </w:tc>
        <w:tc>
          <w:tcPr>
            <w:tcW w:w="1370" w:type="dxa"/>
            <w:noWrap/>
            <w:hideMark/>
          </w:tcPr>
          <w:p w14:paraId="1FF2EB2F" w14:textId="77777777" w:rsidR="00D66388" w:rsidRPr="00292779" w:rsidRDefault="00D66388" w:rsidP="0024187D">
            <w:pPr>
              <w:jc w:val="center"/>
              <w:rPr>
                <w:sz w:val="20"/>
                <w:szCs w:val="20"/>
              </w:rPr>
            </w:pPr>
          </w:p>
        </w:tc>
        <w:tc>
          <w:tcPr>
            <w:tcW w:w="1430" w:type="dxa"/>
            <w:noWrap/>
            <w:hideMark/>
          </w:tcPr>
          <w:p w14:paraId="4535299D" w14:textId="77777777" w:rsidR="00D66388" w:rsidRPr="00292779" w:rsidRDefault="00D66388" w:rsidP="0024187D">
            <w:pPr>
              <w:jc w:val="center"/>
              <w:rPr>
                <w:sz w:val="20"/>
                <w:szCs w:val="20"/>
              </w:rPr>
            </w:pPr>
          </w:p>
        </w:tc>
        <w:tc>
          <w:tcPr>
            <w:tcW w:w="620" w:type="dxa"/>
          </w:tcPr>
          <w:p w14:paraId="238A4713" w14:textId="77777777" w:rsidR="00D66388" w:rsidRPr="00292779" w:rsidRDefault="00D66388" w:rsidP="0024187D">
            <w:pPr>
              <w:jc w:val="center"/>
              <w:rPr>
                <w:sz w:val="20"/>
                <w:szCs w:val="20"/>
              </w:rPr>
            </w:pPr>
          </w:p>
        </w:tc>
        <w:tc>
          <w:tcPr>
            <w:tcW w:w="1430" w:type="dxa"/>
            <w:noWrap/>
            <w:hideMark/>
          </w:tcPr>
          <w:p w14:paraId="0AD571FB" w14:textId="77777777" w:rsidR="00D66388" w:rsidRPr="00292779" w:rsidRDefault="00D66388" w:rsidP="0024187D">
            <w:pPr>
              <w:jc w:val="center"/>
              <w:rPr>
                <w:sz w:val="20"/>
                <w:szCs w:val="20"/>
              </w:rPr>
            </w:pPr>
          </w:p>
        </w:tc>
        <w:tc>
          <w:tcPr>
            <w:tcW w:w="681" w:type="dxa"/>
          </w:tcPr>
          <w:p w14:paraId="39826800" w14:textId="77777777" w:rsidR="00D66388" w:rsidRPr="00292779" w:rsidRDefault="00D66388" w:rsidP="0024187D">
            <w:pPr>
              <w:jc w:val="center"/>
              <w:rPr>
                <w:sz w:val="20"/>
                <w:szCs w:val="20"/>
              </w:rPr>
            </w:pPr>
          </w:p>
        </w:tc>
      </w:tr>
      <w:tr w:rsidR="00D66388" w:rsidRPr="00292779" w14:paraId="01D6A7F4" w14:textId="77777777" w:rsidTr="0024187D">
        <w:trPr>
          <w:trHeight w:val="207"/>
        </w:trPr>
        <w:tc>
          <w:tcPr>
            <w:tcW w:w="2324" w:type="dxa"/>
            <w:hideMark/>
          </w:tcPr>
          <w:p w14:paraId="5C61F07A" w14:textId="77777777" w:rsidR="00D66388" w:rsidRPr="00292779" w:rsidRDefault="00D66388" w:rsidP="0024187D">
            <w:pPr>
              <w:rPr>
                <w:color w:val="000000"/>
                <w:sz w:val="18"/>
                <w:szCs w:val="18"/>
              </w:rPr>
            </w:pPr>
            <w:r w:rsidRPr="00292779">
              <w:rPr>
                <w:color w:val="000000"/>
                <w:sz w:val="18"/>
                <w:szCs w:val="18"/>
              </w:rPr>
              <w:t xml:space="preserve">  ACS</w:t>
            </w:r>
          </w:p>
        </w:tc>
        <w:tc>
          <w:tcPr>
            <w:tcW w:w="1434" w:type="dxa"/>
            <w:noWrap/>
            <w:hideMark/>
          </w:tcPr>
          <w:p w14:paraId="345353E2" w14:textId="77777777" w:rsidR="00D66388" w:rsidRPr="00292779" w:rsidRDefault="00D66388" w:rsidP="0024187D">
            <w:pPr>
              <w:jc w:val="center"/>
              <w:rPr>
                <w:color w:val="000000"/>
                <w:sz w:val="18"/>
                <w:szCs w:val="18"/>
              </w:rPr>
            </w:pPr>
            <w:r w:rsidRPr="00292779">
              <w:rPr>
                <w:color w:val="000000"/>
                <w:sz w:val="18"/>
                <w:szCs w:val="18"/>
              </w:rPr>
              <w:t>50.56 (8.23)</w:t>
            </w:r>
          </w:p>
        </w:tc>
        <w:tc>
          <w:tcPr>
            <w:tcW w:w="1367" w:type="dxa"/>
            <w:noWrap/>
            <w:hideMark/>
          </w:tcPr>
          <w:p w14:paraId="7BC5DD97" w14:textId="77777777" w:rsidR="00D66388" w:rsidRPr="00292779" w:rsidRDefault="00D66388" w:rsidP="0024187D">
            <w:pPr>
              <w:jc w:val="center"/>
              <w:rPr>
                <w:color w:val="000000"/>
                <w:sz w:val="18"/>
                <w:szCs w:val="18"/>
              </w:rPr>
            </w:pPr>
            <w:r w:rsidRPr="00292779">
              <w:rPr>
                <w:color w:val="000000"/>
                <w:sz w:val="18"/>
                <w:szCs w:val="18"/>
              </w:rPr>
              <w:t>52.18 (8.09)</w:t>
            </w:r>
          </w:p>
        </w:tc>
        <w:tc>
          <w:tcPr>
            <w:tcW w:w="816" w:type="dxa"/>
            <w:gridSpan w:val="2"/>
          </w:tcPr>
          <w:p w14:paraId="70D2D78C" w14:textId="77777777" w:rsidR="00D66388" w:rsidRPr="00292779" w:rsidRDefault="00D66388" w:rsidP="0024187D">
            <w:pPr>
              <w:jc w:val="center"/>
              <w:rPr>
                <w:color w:val="000000"/>
                <w:sz w:val="18"/>
                <w:szCs w:val="18"/>
              </w:rPr>
            </w:pPr>
            <w:r w:rsidRPr="00292779">
              <w:rPr>
                <w:color w:val="000000"/>
                <w:sz w:val="18"/>
                <w:szCs w:val="18"/>
              </w:rPr>
              <w:t>0.20</w:t>
            </w:r>
          </w:p>
        </w:tc>
        <w:tc>
          <w:tcPr>
            <w:tcW w:w="1370" w:type="dxa"/>
            <w:noWrap/>
            <w:hideMark/>
          </w:tcPr>
          <w:p w14:paraId="63A41310" w14:textId="77777777" w:rsidR="00D66388" w:rsidRPr="00292779" w:rsidRDefault="00D66388" w:rsidP="0024187D">
            <w:pPr>
              <w:jc w:val="center"/>
              <w:rPr>
                <w:color w:val="000000"/>
                <w:sz w:val="18"/>
                <w:szCs w:val="18"/>
              </w:rPr>
            </w:pPr>
            <w:r w:rsidRPr="00292779">
              <w:rPr>
                <w:color w:val="000000"/>
                <w:sz w:val="18"/>
                <w:szCs w:val="18"/>
              </w:rPr>
              <w:t>51.25 (8.67)</w:t>
            </w:r>
          </w:p>
        </w:tc>
        <w:tc>
          <w:tcPr>
            <w:tcW w:w="681" w:type="dxa"/>
          </w:tcPr>
          <w:p w14:paraId="287C3ABC" w14:textId="77777777" w:rsidR="00D66388" w:rsidRPr="00292779" w:rsidRDefault="00D66388" w:rsidP="0024187D">
            <w:pPr>
              <w:jc w:val="center"/>
              <w:rPr>
                <w:color w:val="000000"/>
                <w:sz w:val="18"/>
                <w:szCs w:val="18"/>
              </w:rPr>
            </w:pPr>
            <w:r w:rsidRPr="00292779">
              <w:rPr>
                <w:color w:val="000000"/>
                <w:sz w:val="18"/>
                <w:szCs w:val="18"/>
              </w:rPr>
              <w:t>0.08</w:t>
            </w:r>
          </w:p>
        </w:tc>
        <w:tc>
          <w:tcPr>
            <w:tcW w:w="1370" w:type="dxa"/>
            <w:noWrap/>
            <w:hideMark/>
          </w:tcPr>
          <w:p w14:paraId="40E603AE" w14:textId="77777777" w:rsidR="00D66388" w:rsidRPr="00292779" w:rsidRDefault="00D66388" w:rsidP="0024187D">
            <w:pPr>
              <w:jc w:val="center"/>
              <w:rPr>
                <w:color w:val="000000"/>
                <w:sz w:val="18"/>
                <w:szCs w:val="18"/>
              </w:rPr>
            </w:pPr>
            <w:r w:rsidRPr="00292779">
              <w:rPr>
                <w:color w:val="000000"/>
                <w:sz w:val="18"/>
                <w:szCs w:val="18"/>
              </w:rPr>
              <w:t>51.24 (7.22)</w:t>
            </w:r>
          </w:p>
        </w:tc>
        <w:tc>
          <w:tcPr>
            <w:tcW w:w="1430" w:type="dxa"/>
            <w:noWrap/>
            <w:hideMark/>
          </w:tcPr>
          <w:p w14:paraId="53280BB1" w14:textId="77777777" w:rsidR="00D66388" w:rsidRPr="00292779" w:rsidRDefault="00D66388" w:rsidP="0024187D">
            <w:pPr>
              <w:jc w:val="center"/>
              <w:rPr>
                <w:color w:val="000000"/>
                <w:sz w:val="18"/>
                <w:szCs w:val="18"/>
              </w:rPr>
            </w:pPr>
            <w:r w:rsidRPr="00292779">
              <w:rPr>
                <w:color w:val="000000"/>
                <w:sz w:val="18"/>
                <w:szCs w:val="18"/>
              </w:rPr>
              <w:t>51.29 (7.77)</w:t>
            </w:r>
          </w:p>
        </w:tc>
        <w:tc>
          <w:tcPr>
            <w:tcW w:w="620" w:type="dxa"/>
          </w:tcPr>
          <w:p w14:paraId="42556B34" w14:textId="77777777" w:rsidR="00D66388" w:rsidRPr="00292779" w:rsidRDefault="00D66388" w:rsidP="0024187D">
            <w:pPr>
              <w:jc w:val="center"/>
              <w:rPr>
                <w:color w:val="000000"/>
                <w:sz w:val="18"/>
                <w:szCs w:val="18"/>
              </w:rPr>
            </w:pPr>
            <w:r w:rsidRPr="00292779">
              <w:rPr>
                <w:color w:val="000000"/>
                <w:sz w:val="18"/>
                <w:szCs w:val="18"/>
              </w:rPr>
              <w:t>0.01</w:t>
            </w:r>
          </w:p>
        </w:tc>
        <w:tc>
          <w:tcPr>
            <w:tcW w:w="1430" w:type="dxa"/>
            <w:noWrap/>
            <w:hideMark/>
          </w:tcPr>
          <w:p w14:paraId="61FE84ED" w14:textId="77777777" w:rsidR="00D66388" w:rsidRPr="00292779" w:rsidRDefault="00D66388" w:rsidP="0024187D">
            <w:pPr>
              <w:jc w:val="center"/>
              <w:rPr>
                <w:color w:val="000000"/>
                <w:sz w:val="18"/>
                <w:szCs w:val="18"/>
              </w:rPr>
            </w:pPr>
            <w:r w:rsidRPr="00292779">
              <w:rPr>
                <w:color w:val="000000"/>
                <w:sz w:val="18"/>
                <w:szCs w:val="18"/>
              </w:rPr>
              <w:t>52.70 (10.10)</w:t>
            </w:r>
          </w:p>
        </w:tc>
        <w:tc>
          <w:tcPr>
            <w:tcW w:w="681" w:type="dxa"/>
          </w:tcPr>
          <w:p w14:paraId="7C3E6C88" w14:textId="77777777" w:rsidR="00D66388" w:rsidRPr="00292779" w:rsidRDefault="00D66388" w:rsidP="0024187D">
            <w:pPr>
              <w:jc w:val="center"/>
              <w:rPr>
                <w:color w:val="000000"/>
                <w:sz w:val="18"/>
                <w:szCs w:val="18"/>
              </w:rPr>
            </w:pPr>
            <w:r w:rsidRPr="00292779">
              <w:rPr>
                <w:color w:val="000000"/>
                <w:sz w:val="18"/>
                <w:szCs w:val="18"/>
              </w:rPr>
              <w:t>0.20</w:t>
            </w:r>
          </w:p>
        </w:tc>
      </w:tr>
      <w:tr w:rsidR="00D66388" w:rsidRPr="00292779" w14:paraId="0DCDCC57" w14:textId="77777777" w:rsidTr="0024187D">
        <w:trPr>
          <w:trHeight w:val="207"/>
        </w:trPr>
        <w:tc>
          <w:tcPr>
            <w:tcW w:w="2324" w:type="dxa"/>
            <w:hideMark/>
          </w:tcPr>
          <w:p w14:paraId="22F5E993" w14:textId="77777777" w:rsidR="00D66388" w:rsidRPr="00292779" w:rsidRDefault="00D66388" w:rsidP="0024187D">
            <w:pPr>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xml:space="preserve"> (school/cognitive)</w:t>
            </w:r>
          </w:p>
        </w:tc>
        <w:tc>
          <w:tcPr>
            <w:tcW w:w="1434" w:type="dxa"/>
            <w:noWrap/>
            <w:hideMark/>
          </w:tcPr>
          <w:p w14:paraId="4F0E6D24" w14:textId="77777777" w:rsidR="00D66388" w:rsidRPr="00292779" w:rsidRDefault="00D66388" w:rsidP="0024187D">
            <w:pPr>
              <w:jc w:val="center"/>
              <w:rPr>
                <w:color w:val="000000"/>
                <w:sz w:val="18"/>
                <w:szCs w:val="18"/>
              </w:rPr>
            </w:pPr>
            <w:r w:rsidRPr="00292779">
              <w:rPr>
                <w:color w:val="000000"/>
                <w:sz w:val="18"/>
                <w:szCs w:val="18"/>
              </w:rPr>
              <w:t>11.68 (2.95)</w:t>
            </w:r>
          </w:p>
        </w:tc>
        <w:tc>
          <w:tcPr>
            <w:tcW w:w="1367" w:type="dxa"/>
            <w:noWrap/>
            <w:hideMark/>
          </w:tcPr>
          <w:p w14:paraId="777DEC85" w14:textId="77777777" w:rsidR="00D66388" w:rsidRPr="00292779" w:rsidRDefault="00D66388" w:rsidP="0024187D">
            <w:pPr>
              <w:jc w:val="center"/>
              <w:rPr>
                <w:color w:val="000000"/>
                <w:sz w:val="18"/>
                <w:szCs w:val="18"/>
              </w:rPr>
            </w:pPr>
            <w:r w:rsidRPr="00292779">
              <w:rPr>
                <w:color w:val="000000"/>
                <w:sz w:val="18"/>
                <w:szCs w:val="18"/>
              </w:rPr>
              <w:t>11.69 (3.14)</w:t>
            </w:r>
          </w:p>
        </w:tc>
        <w:tc>
          <w:tcPr>
            <w:tcW w:w="816" w:type="dxa"/>
            <w:gridSpan w:val="2"/>
          </w:tcPr>
          <w:p w14:paraId="34E7A07B" w14:textId="77777777" w:rsidR="00D66388" w:rsidRPr="00292779" w:rsidRDefault="00D66388" w:rsidP="0024187D">
            <w:pPr>
              <w:jc w:val="center"/>
              <w:rPr>
                <w:color w:val="000000"/>
                <w:sz w:val="18"/>
                <w:szCs w:val="18"/>
              </w:rPr>
            </w:pPr>
            <w:r w:rsidRPr="00292779">
              <w:rPr>
                <w:color w:val="000000"/>
                <w:sz w:val="18"/>
                <w:szCs w:val="18"/>
              </w:rPr>
              <w:t>0.00</w:t>
            </w:r>
          </w:p>
        </w:tc>
        <w:tc>
          <w:tcPr>
            <w:tcW w:w="1370" w:type="dxa"/>
            <w:noWrap/>
            <w:hideMark/>
          </w:tcPr>
          <w:p w14:paraId="35045365" w14:textId="77777777" w:rsidR="00D66388" w:rsidRPr="00292779" w:rsidRDefault="00D66388" w:rsidP="0024187D">
            <w:pPr>
              <w:jc w:val="center"/>
              <w:rPr>
                <w:color w:val="000000"/>
                <w:sz w:val="18"/>
                <w:szCs w:val="18"/>
              </w:rPr>
            </w:pPr>
            <w:r w:rsidRPr="00292779">
              <w:rPr>
                <w:color w:val="000000"/>
                <w:sz w:val="18"/>
                <w:szCs w:val="18"/>
              </w:rPr>
              <w:t>10.21 (3.65)</w:t>
            </w:r>
          </w:p>
        </w:tc>
        <w:tc>
          <w:tcPr>
            <w:tcW w:w="681" w:type="dxa"/>
          </w:tcPr>
          <w:p w14:paraId="020012D3" w14:textId="77777777" w:rsidR="00D66388" w:rsidRPr="00292779" w:rsidRDefault="00D66388" w:rsidP="0024187D">
            <w:pPr>
              <w:jc w:val="center"/>
              <w:rPr>
                <w:color w:val="000000"/>
                <w:sz w:val="18"/>
                <w:szCs w:val="18"/>
              </w:rPr>
            </w:pPr>
            <w:r w:rsidRPr="00292779">
              <w:rPr>
                <w:color w:val="000000"/>
                <w:sz w:val="18"/>
                <w:szCs w:val="18"/>
              </w:rPr>
              <w:t>-0.50</w:t>
            </w:r>
          </w:p>
        </w:tc>
        <w:tc>
          <w:tcPr>
            <w:tcW w:w="1370" w:type="dxa"/>
            <w:noWrap/>
            <w:hideMark/>
          </w:tcPr>
          <w:p w14:paraId="57DEE6EB" w14:textId="77777777" w:rsidR="00D66388" w:rsidRPr="00292779" w:rsidRDefault="00D66388" w:rsidP="0024187D">
            <w:pPr>
              <w:jc w:val="center"/>
              <w:rPr>
                <w:color w:val="000000"/>
                <w:sz w:val="18"/>
                <w:szCs w:val="18"/>
              </w:rPr>
            </w:pPr>
            <w:r w:rsidRPr="00292779">
              <w:rPr>
                <w:color w:val="000000"/>
                <w:sz w:val="18"/>
                <w:szCs w:val="18"/>
              </w:rPr>
              <w:t>11.90 (2.83)</w:t>
            </w:r>
          </w:p>
        </w:tc>
        <w:tc>
          <w:tcPr>
            <w:tcW w:w="1430" w:type="dxa"/>
            <w:noWrap/>
            <w:hideMark/>
          </w:tcPr>
          <w:p w14:paraId="1D4D9D0B" w14:textId="77777777" w:rsidR="00D66388" w:rsidRPr="00292779" w:rsidRDefault="00D66388" w:rsidP="0024187D">
            <w:pPr>
              <w:jc w:val="center"/>
              <w:rPr>
                <w:color w:val="000000"/>
                <w:sz w:val="18"/>
                <w:szCs w:val="18"/>
              </w:rPr>
            </w:pPr>
            <w:r w:rsidRPr="00292779">
              <w:rPr>
                <w:color w:val="000000"/>
                <w:sz w:val="18"/>
                <w:szCs w:val="18"/>
              </w:rPr>
              <w:t>12.49 (2.94)</w:t>
            </w:r>
          </w:p>
        </w:tc>
        <w:tc>
          <w:tcPr>
            <w:tcW w:w="620" w:type="dxa"/>
          </w:tcPr>
          <w:p w14:paraId="458E670B" w14:textId="77777777" w:rsidR="00D66388" w:rsidRPr="00292779" w:rsidRDefault="00D66388" w:rsidP="0024187D">
            <w:pPr>
              <w:jc w:val="center"/>
              <w:rPr>
                <w:color w:val="000000"/>
                <w:sz w:val="18"/>
                <w:szCs w:val="18"/>
              </w:rPr>
            </w:pPr>
            <w:r w:rsidRPr="00292779">
              <w:rPr>
                <w:color w:val="000000"/>
                <w:sz w:val="18"/>
                <w:szCs w:val="18"/>
              </w:rPr>
              <w:t>0.21</w:t>
            </w:r>
          </w:p>
        </w:tc>
        <w:tc>
          <w:tcPr>
            <w:tcW w:w="1430" w:type="dxa"/>
            <w:noWrap/>
            <w:hideMark/>
          </w:tcPr>
          <w:p w14:paraId="0313E5BE" w14:textId="77777777" w:rsidR="00D66388" w:rsidRPr="00292779" w:rsidRDefault="00D66388" w:rsidP="0024187D">
            <w:pPr>
              <w:jc w:val="center"/>
              <w:rPr>
                <w:color w:val="000000"/>
                <w:sz w:val="18"/>
                <w:szCs w:val="18"/>
              </w:rPr>
            </w:pPr>
            <w:r w:rsidRPr="00292779">
              <w:rPr>
                <w:color w:val="000000"/>
                <w:sz w:val="18"/>
                <w:szCs w:val="18"/>
              </w:rPr>
              <w:t>10.68 (3.72)</w:t>
            </w:r>
          </w:p>
        </w:tc>
        <w:tc>
          <w:tcPr>
            <w:tcW w:w="681" w:type="dxa"/>
          </w:tcPr>
          <w:p w14:paraId="2D616E36" w14:textId="77777777" w:rsidR="00D66388" w:rsidRPr="00292779" w:rsidRDefault="00D66388" w:rsidP="0024187D">
            <w:pPr>
              <w:jc w:val="center"/>
              <w:rPr>
                <w:color w:val="000000"/>
                <w:sz w:val="18"/>
                <w:szCs w:val="18"/>
              </w:rPr>
            </w:pPr>
            <w:r w:rsidRPr="00292779">
              <w:rPr>
                <w:color w:val="000000"/>
                <w:sz w:val="18"/>
                <w:szCs w:val="18"/>
              </w:rPr>
              <w:t>-0.43</w:t>
            </w:r>
          </w:p>
        </w:tc>
      </w:tr>
      <w:tr w:rsidR="00D66388" w:rsidRPr="00292779" w14:paraId="7E96C818" w14:textId="77777777" w:rsidTr="0024187D">
        <w:trPr>
          <w:trHeight w:val="207"/>
        </w:trPr>
        <w:tc>
          <w:tcPr>
            <w:tcW w:w="2324" w:type="dxa"/>
            <w:hideMark/>
          </w:tcPr>
          <w:p w14:paraId="2B24CAFF"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noWrap/>
            <w:hideMark/>
          </w:tcPr>
          <w:p w14:paraId="3D8C649D" w14:textId="77777777" w:rsidR="00D66388" w:rsidRPr="00292779" w:rsidRDefault="00D66388" w:rsidP="0024187D">
            <w:pPr>
              <w:jc w:val="center"/>
              <w:rPr>
                <w:color w:val="000000"/>
                <w:sz w:val="18"/>
                <w:szCs w:val="18"/>
              </w:rPr>
            </w:pPr>
            <w:r w:rsidRPr="00292779">
              <w:rPr>
                <w:color w:val="000000"/>
                <w:sz w:val="18"/>
                <w:szCs w:val="18"/>
              </w:rPr>
              <w:t>0.10 (0.79)</w:t>
            </w:r>
          </w:p>
        </w:tc>
        <w:tc>
          <w:tcPr>
            <w:tcW w:w="1367" w:type="dxa"/>
            <w:noWrap/>
            <w:hideMark/>
          </w:tcPr>
          <w:p w14:paraId="4DFCBBEB" w14:textId="77777777" w:rsidR="00D66388" w:rsidRPr="00292779" w:rsidRDefault="00D66388" w:rsidP="0024187D">
            <w:pPr>
              <w:jc w:val="center"/>
              <w:rPr>
                <w:sz w:val="20"/>
                <w:szCs w:val="20"/>
              </w:rPr>
            </w:pPr>
            <w:r w:rsidRPr="00292779">
              <w:rPr>
                <w:color w:val="000000"/>
                <w:sz w:val="18"/>
                <w:szCs w:val="18"/>
              </w:rPr>
              <w:t>-0.001 (0.82)</w:t>
            </w:r>
          </w:p>
        </w:tc>
        <w:tc>
          <w:tcPr>
            <w:tcW w:w="816" w:type="dxa"/>
            <w:gridSpan w:val="2"/>
          </w:tcPr>
          <w:p w14:paraId="73C1FAE3" w14:textId="77777777" w:rsidR="00D66388" w:rsidRPr="00292779" w:rsidRDefault="00D66388" w:rsidP="0024187D">
            <w:pPr>
              <w:jc w:val="center"/>
              <w:rPr>
                <w:color w:val="000000"/>
                <w:sz w:val="18"/>
                <w:szCs w:val="18"/>
              </w:rPr>
            </w:pPr>
            <w:r w:rsidRPr="00292779">
              <w:rPr>
                <w:color w:val="000000"/>
                <w:sz w:val="18"/>
                <w:szCs w:val="18"/>
              </w:rPr>
              <w:t>-0.13</w:t>
            </w:r>
          </w:p>
        </w:tc>
        <w:tc>
          <w:tcPr>
            <w:tcW w:w="1370" w:type="dxa"/>
            <w:noWrap/>
            <w:hideMark/>
          </w:tcPr>
          <w:p w14:paraId="73C2D278" w14:textId="77777777" w:rsidR="00D66388" w:rsidRPr="00292779" w:rsidRDefault="00D66388" w:rsidP="0024187D">
            <w:pPr>
              <w:jc w:val="center"/>
              <w:rPr>
                <w:sz w:val="20"/>
                <w:szCs w:val="20"/>
              </w:rPr>
            </w:pPr>
            <w:r w:rsidRPr="00292779">
              <w:rPr>
                <w:color w:val="000000"/>
                <w:sz w:val="18"/>
                <w:szCs w:val="18"/>
              </w:rPr>
              <w:t>-0.18 (0.75)</w:t>
            </w:r>
          </w:p>
        </w:tc>
        <w:tc>
          <w:tcPr>
            <w:tcW w:w="681" w:type="dxa"/>
          </w:tcPr>
          <w:p w14:paraId="1411371D" w14:textId="77777777" w:rsidR="00D66388" w:rsidRPr="00292779" w:rsidRDefault="00D66388" w:rsidP="0024187D">
            <w:pPr>
              <w:jc w:val="center"/>
              <w:rPr>
                <w:color w:val="000000"/>
                <w:sz w:val="18"/>
                <w:szCs w:val="18"/>
              </w:rPr>
            </w:pPr>
            <w:r w:rsidRPr="00292779">
              <w:rPr>
                <w:color w:val="000000"/>
                <w:sz w:val="18"/>
                <w:szCs w:val="18"/>
              </w:rPr>
              <w:t>-0.36</w:t>
            </w:r>
          </w:p>
        </w:tc>
        <w:tc>
          <w:tcPr>
            <w:tcW w:w="1370" w:type="dxa"/>
            <w:noWrap/>
            <w:hideMark/>
          </w:tcPr>
          <w:p w14:paraId="737C0E34" w14:textId="77777777" w:rsidR="00D66388" w:rsidRPr="00292779" w:rsidRDefault="00D66388" w:rsidP="0024187D">
            <w:pPr>
              <w:jc w:val="center"/>
              <w:rPr>
                <w:sz w:val="20"/>
                <w:szCs w:val="20"/>
              </w:rPr>
            </w:pPr>
            <w:r w:rsidRPr="00292779">
              <w:rPr>
                <w:color w:val="000000"/>
                <w:sz w:val="18"/>
                <w:szCs w:val="18"/>
              </w:rPr>
              <w:t>0.07 (0.65)</w:t>
            </w:r>
          </w:p>
        </w:tc>
        <w:tc>
          <w:tcPr>
            <w:tcW w:w="1430" w:type="dxa"/>
            <w:noWrap/>
            <w:hideMark/>
          </w:tcPr>
          <w:p w14:paraId="7939C358" w14:textId="77777777" w:rsidR="00D66388" w:rsidRPr="00292779" w:rsidRDefault="00D66388" w:rsidP="0024187D">
            <w:pPr>
              <w:jc w:val="center"/>
              <w:rPr>
                <w:sz w:val="20"/>
                <w:szCs w:val="20"/>
              </w:rPr>
            </w:pPr>
            <w:r w:rsidRPr="00292779">
              <w:rPr>
                <w:color w:val="000000"/>
                <w:sz w:val="18"/>
                <w:szCs w:val="18"/>
              </w:rPr>
              <w:t>0.17 (0.80)</w:t>
            </w:r>
          </w:p>
        </w:tc>
        <w:tc>
          <w:tcPr>
            <w:tcW w:w="620" w:type="dxa"/>
          </w:tcPr>
          <w:p w14:paraId="3807FAE2" w14:textId="77777777" w:rsidR="00D66388" w:rsidRPr="00292779" w:rsidRDefault="00D66388" w:rsidP="0024187D">
            <w:pPr>
              <w:jc w:val="center"/>
              <w:rPr>
                <w:color w:val="000000"/>
                <w:sz w:val="18"/>
                <w:szCs w:val="18"/>
              </w:rPr>
            </w:pPr>
            <w:r w:rsidRPr="00292779">
              <w:rPr>
                <w:color w:val="000000"/>
                <w:sz w:val="18"/>
                <w:szCs w:val="18"/>
              </w:rPr>
              <w:t>0.14</w:t>
            </w:r>
          </w:p>
        </w:tc>
        <w:tc>
          <w:tcPr>
            <w:tcW w:w="1430" w:type="dxa"/>
            <w:noWrap/>
            <w:hideMark/>
          </w:tcPr>
          <w:p w14:paraId="253089F1" w14:textId="77777777" w:rsidR="00D66388" w:rsidRPr="00292779" w:rsidRDefault="00D66388" w:rsidP="0024187D">
            <w:pPr>
              <w:jc w:val="center"/>
              <w:rPr>
                <w:sz w:val="20"/>
                <w:szCs w:val="20"/>
              </w:rPr>
            </w:pPr>
            <w:r w:rsidRPr="00292779">
              <w:rPr>
                <w:color w:val="000000"/>
                <w:sz w:val="18"/>
                <w:szCs w:val="18"/>
              </w:rPr>
              <w:t>-0.19 (1.00)</w:t>
            </w:r>
          </w:p>
        </w:tc>
        <w:tc>
          <w:tcPr>
            <w:tcW w:w="681" w:type="dxa"/>
          </w:tcPr>
          <w:p w14:paraId="5228B439" w14:textId="77777777" w:rsidR="00D66388" w:rsidRPr="00292779" w:rsidRDefault="00D66388" w:rsidP="0024187D">
            <w:pPr>
              <w:jc w:val="center"/>
              <w:rPr>
                <w:color w:val="000000"/>
                <w:sz w:val="18"/>
                <w:szCs w:val="18"/>
              </w:rPr>
            </w:pPr>
            <w:r w:rsidRPr="00292779">
              <w:rPr>
                <w:color w:val="000000"/>
                <w:sz w:val="18"/>
                <w:szCs w:val="18"/>
              </w:rPr>
              <w:t>-0.40</w:t>
            </w:r>
          </w:p>
        </w:tc>
      </w:tr>
      <w:tr w:rsidR="00D66388" w:rsidRPr="00292779" w14:paraId="36AB89EA" w14:textId="77777777" w:rsidTr="0024187D">
        <w:trPr>
          <w:trHeight w:val="207"/>
        </w:trPr>
        <w:tc>
          <w:tcPr>
            <w:tcW w:w="2324" w:type="dxa"/>
            <w:hideMark/>
          </w:tcPr>
          <w:p w14:paraId="7987354E" w14:textId="77777777" w:rsidR="00D66388" w:rsidRPr="00292779" w:rsidRDefault="00D66388" w:rsidP="0024187D">
            <w:pPr>
              <w:rPr>
                <w:i/>
                <w:iCs/>
                <w:color w:val="000000"/>
                <w:sz w:val="18"/>
                <w:szCs w:val="18"/>
              </w:rPr>
            </w:pPr>
            <w:r w:rsidRPr="00292779">
              <w:rPr>
                <w:i/>
                <w:iCs/>
                <w:color w:val="000000"/>
                <w:sz w:val="18"/>
                <w:szCs w:val="18"/>
              </w:rPr>
              <w:t>Behavioral health</w:t>
            </w:r>
          </w:p>
        </w:tc>
        <w:tc>
          <w:tcPr>
            <w:tcW w:w="1434" w:type="dxa"/>
            <w:noWrap/>
            <w:hideMark/>
          </w:tcPr>
          <w:p w14:paraId="5314E373" w14:textId="77777777" w:rsidR="00D66388" w:rsidRPr="00292779" w:rsidRDefault="00D66388" w:rsidP="0024187D">
            <w:pPr>
              <w:jc w:val="center"/>
              <w:rPr>
                <w:i/>
                <w:iCs/>
                <w:color w:val="000000"/>
                <w:sz w:val="18"/>
                <w:szCs w:val="18"/>
              </w:rPr>
            </w:pPr>
          </w:p>
        </w:tc>
        <w:tc>
          <w:tcPr>
            <w:tcW w:w="1367" w:type="dxa"/>
            <w:noWrap/>
            <w:hideMark/>
          </w:tcPr>
          <w:p w14:paraId="6366A531" w14:textId="77777777" w:rsidR="00D66388" w:rsidRPr="00292779" w:rsidRDefault="00D66388" w:rsidP="0024187D">
            <w:pPr>
              <w:jc w:val="center"/>
              <w:rPr>
                <w:sz w:val="20"/>
                <w:szCs w:val="20"/>
              </w:rPr>
            </w:pPr>
          </w:p>
        </w:tc>
        <w:tc>
          <w:tcPr>
            <w:tcW w:w="816" w:type="dxa"/>
            <w:gridSpan w:val="2"/>
          </w:tcPr>
          <w:p w14:paraId="73DC30A6" w14:textId="77777777" w:rsidR="00D66388" w:rsidRPr="00292779" w:rsidRDefault="00D66388" w:rsidP="0024187D">
            <w:pPr>
              <w:jc w:val="center"/>
              <w:rPr>
                <w:sz w:val="20"/>
                <w:szCs w:val="20"/>
              </w:rPr>
            </w:pPr>
          </w:p>
        </w:tc>
        <w:tc>
          <w:tcPr>
            <w:tcW w:w="1370" w:type="dxa"/>
            <w:noWrap/>
            <w:hideMark/>
          </w:tcPr>
          <w:p w14:paraId="61434710" w14:textId="77777777" w:rsidR="00D66388" w:rsidRPr="00292779" w:rsidRDefault="00D66388" w:rsidP="0024187D">
            <w:pPr>
              <w:jc w:val="center"/>
              <w:rPr>
                <w:sz w:val="20"/>
                <w:szCs w:val="20"/>
              </w:rPr>
            </w:pPr>
          </w:p>
        </w:tc>
        <w:tc>
          <w:tcPr>
            <w:tcW w:w="681" w:type="dxa"/>
          </w:tcPr>
          <w:p w14:paraId="6D0A2D44" w14:textId="77777777" w:rsidR="00D66388" w:rsidRPr="00292779" w:rsidRDefault="00D66388" w:rsidP="0024187D">
            <w:pPr>
              <w:jc w:val="center"/>
              <w:rPr>
                <w:sz w:val="20"/>
                <w:szCs w:val="20"/>
              </w:rPr>
            </w:pPr>
          </w:p>
        </w:tc>
        <w:tc>
          <w:tcPr>
            <w:tcW w:w="1370" w:type="dxa"/>
            <w:noWrap/>
            <w:hideMark/>
          </w:tcPr>
          <w:p w14:paraId="3A777E98" w14:textId="77777777" w:rsidR="00D66388" w:rsidRPr="00292779" w:rsidRDefault="00D66388" w:rsidP="0024187D">
            <w:pPr>
              <w:jc w:val="center"/>
              <w:rPr>
                <w:sz w:val="20"/>
                <w:szCs w:val="20"/>
              </w:rPr>
            </w:pPr>
          </w:p>
        </w:tc>
        <w:tc>
          <w:tcPr>
            <w:tcW w:w="1430" w:type="dxa"/>
            <w:noWrap/>
            <w:hideMark/>
          </w:tcPr>
          <w:p w14:paraId="15404E7C" w14:textId="77777777" w:rsidR="00D66388" w:rsidRPr="00292779" w:rsidRDefault="00D66388" w:rsidP="0024187D">
            <w:pPr>
              <w:jc w:val="center"/>
              <w:rPr>
                <w:sz w:val="20"/>
                <w:szCs w:val="20"/>
              </w:rPr>
            </w:pPr>
          </w:p>
        </w:tc>
        <w:tc>
          <w:tcPr>
            <w:tcW w:w="620" w:type="dxa"/>
          </w:tcPr>
          <w:p w14:paraId="5F0FA68A" w14:textId="77777777" w:rsidR="00D66388" w:rsidRPr="00292779" w:rsidRDefault="00D66388" w:rsidP="0024187D">
            <w:pPr>
              <w:jc w:val="center"/>
              <w:rPr>
                <w:sz w:val="20"/>
                <w:szCs w:val="20"/>
              </w:rPr>
            </w:pPr>
          </w:p>
        </w:tc>
        <w:tc>
          <w:tcPr>
            <w:tcW w:w="1430" w:type="dxa"/>
            <w:noWrap/>
            <w:hideMark/>
          </w:tcPr>
          <w:p w14:paraId="7674DE83" w14:textId="77777777" w:rsidR="00D66388" w:rsidRPr="00292779" w:rsidRDefault="00D66388" w:rsidP="0024187D">
            <w:pPr>
              <w:jc w:val="center"/>
              <w:rPr>
                <w:sz w:val="20"/>
                <w:szCs w:val="20"/>
              </w:rPr>
            </w:pPr>
          </w:p>
        </w:tc>
        <w:tc>
          <w:tcPr>
            <w:tcW w:w="681" w:type="dxa"/>
          </w:tcPr>
          <w:p w14:paraId="7C893462" w14:textId="77777777" w:rsidR="00D66388" w:rsidRPr="00292779" w:rsidRDefault="00D66388" w:rsidP="0024187D">
            <w:pPr>
              <w:jc w:val="center"/>
              <w:rPr>
                <w:sz w:val="20"/>
                <w:szCs w:val="20"/>
              </w:rPr>
            </w:pPr>
          </w:p>
        </w:tc>
      </w:tr>
      <w:tr w:rsidR="00D66388" w:rsidRPr="00292779" w14:paraId="5185DFA4" w14:textId="77777777" w:rsidTr="0024187D">
        <w:trPr>
          <w:trHeight w:val="207"/>
        </w:trPr>
        <w:tc>
          <w:tcPr>
            <w:tcW w:w="2324" w:type="dxa"/>
            <w:hideMark/>
          </w:tcPr>
          <w:p w14:paraId="6DD6A8A7" w14:textId="77777777" w:rsidR="00D66388" w:rsidRPr="00292779" w:rsidRDefault="00D66388" w:rsidP="0024187D">
            <w:pPr>
              <w:rPr>
                <w:color w:val="000000"/>
                <w:sz w:val="18"/>
                <w:szCs w:val="18"/>
              </w:rPr>
            </w:pPr>
            <w:r w:rsidRPr="00292779">
              <w:rPr>
                <w:color w:val="000000"/>
                <w:sz w:val="18"/>
                <w:szCs w:val="18"/>
              </w:rPr>
              <w:t xml:space="preserve">  Sensation Seeking Scale</w:t>
            </w:r>
          </w:p>
        </w:tc>
        <w:tc>
          <w:tcPr>
            <w:tcW w:w="1434" w:type="dxa"/>
            <w:noWrap/>
            <w:hideMark/>
          </w:tcPr>
          <w:p w14:paraId="5F10F5EB" w14:textId="77777777" w:rsidR="00D66388" w:rsidRPr="00292779" w:rsidRDefault="00D66388" w:rsidP="0024187D">
            <w:pPr>
              <w:jc w:val="center"/>
              <w:rPr>
                <w:color w:val="000000"/>
                <w:sz w:val="18"/>
                <w:szCs w:val="18"/>
              </w:rPr>
            </w:pPr>
            <w:r w:rsidRPr="00292779">
              <w:rPr>
                <w:color w:val="000000"/>
                <w:sz w:val="18"/>
                <w:szCs w:val="18"/>
              </w:rPr>
              <w:t>27.28 (5.97)</w:t>
            </w:r>
          </w:p>
        </w:tc>
        <w:tc>
          <w:tcPr>
            <w:tcW w:w="1367" w:type="dxa"/>
            <w:noWrap/>
            <w:hideMark/>
          </w:tcPr>
          <w:p w14:paraId="28B71DE7" w14:textId="77777777" w:rsidR="00D66388" w:rsidRPr="00292779" w:rsidRDefault="00D66388" w:rsidP="0024187D">
            <w:pPr>
              <w:jc w:val="center"/>
              <w:rPr>
                <w:color w:val="000000"/>
                <w:sz w:val="18"/>
                <w:szCs w:val="18"/>
              </w:rPr>
            </w:pPr>
            <w:r w:rsidRPr="00292779">
              <w:rPr>
                <w:color w:val="000000"/>
                <w:sz w:val="18"/>
                <w:szCs w:val="18"/>
              </w:rPr>
              <w:t>27.35 (6.61)</w:t>
            </w:r>
          </w:p>
        </w:tc>
        <w:tc>
          <w:tcPr>
            <w:tcW w:w="816" w:type="dxa"/>
            <w:gridSpan w:val="2"/>
          </w:tcPr>
          <w:p w14:paraId="1402DF1E" w14:textId="77777777" w:rsidR="00D66388" w:rsidRPr="00292779" w:rsidRDefault="00D66388" w:rsidP="0024187D">
            <w:pPr>
              <w:jc w:val="center"/>
              <w:rPr>
                <w:color w:val="000000"/>
                <w:sz w:val="18"/>
                <w:szCs w:val="18"/>
              </w:rPr>
            </w:pPr>
            <w:r w:rsidRPr="00292779">
              <w:rPr>
                <w:color w:val="000000"/>
                <w:sz w:val="18"/>
                <w:szCs w:val="18"/>
              </w:rPr>
              <w:t>0.01</w:t>
            </w:r>
          </w:p>
        </w:tc>
        <w:tc>
          <w:tcPr>
            <w:tcW w:w="1370" w:type="dxa"/>
            <w:noWrap/>
            <w:hideMark/>
          </w:tcPr>
          <w:p w14:paraId="4D363E37" w14:textId="77777777" w:rsidR="00D66388" w:rsidRPr="00292779" w:rsidRDefault="00D66388" w:rsidP="0024187D">
            <w:pPr>
              <w:jc w:val="center"/>
              <w:rPr>
                <w:color w:val="000000"/>
                <w:sz w:val="18"/>
                <w:szCs w:val="18"/>
              </w:rPr>
            </w:pPr>
            <w:r w:rsidRPr="00292779">
              <w:rPr>
                <w:color w:val="000000"/>
                <w:sz w:val="18"/>
                <w:szCs w:val="18"/>
              </w:rPr>
              <w:t>26.50 (6.45)</w:t>
            </w:r>
          </w:p>
        </w:tc>
        <w:tc>
          <w:tcPr>
            <w:tcW w:w="681" w:type="dxa"/>
          </w:tcPr>
          <w:p w14:paraId="34FDA64A" w14:textId="77777777" w:rsidR="00D66388" w:rsidRPr="00292779" w:rsidRDefault="00D66388" w:rsidP="0024187D">
            <w:pPr>
              <w:jc w:val="center"/>
              <w:rPr>
                <w:color w:val="000000"/>
                <w:sz w:val="18"/>
                <w:szCs w:val="18"/>
              </w:rPr>
            </w:pPr>
            <w:r w:rsidRPr="00292779">
              <w:rPr>
                <w:color w:val="000000"/>
                <w:sz w:val="18"/>
                <w:szCs w:val="18"/>
              </w:rPr>
              <w:t>-0.13</w:t>
            </w:r>
          </w:p>
        </w:tc>
        <w:tc>
          <w:tcPr>
            <w:tcW w:w="1370" w:type="dxa"/>
            <w:noWrap/>
            <w:hideMark/>
          </w:tcPr>
          <w:p w14:paraId="01E1245A" w14:textId="77777777" w:rsidR="00D66388" w:rsidRPr="00292779" w:rsidRDefault="00D66388" w:rsidP="0024187D">
            <w:pPr>
              <w:jc w:val="center"/>
              <w:rPr>
                <w:color w:val="000000"/>
                <w:sz w:val="18"/>
                <w:szCs w:val="18"/>
              </w:rPr>
            </w:pPr>
            <w:r w:rsidRPr="00292779">
              <w:rPr>
                <w:color w:val="000000"/>
                <w:sz w:val="18"/>
                <w:szCs w:val="18"/>
              </w:rPr>
              <w:t>26.36 (6.22)</w:t>
            </w:r>
          </w:p>
        </w:tc>
        <w:tc>
          <w:tcPr>
            <w:tcW w:w="1430" w:type="dxa"/>
            <w:noWrap/>
            <w:hideMark/>
          </w:tcPr>
          <w:p w14:paraId="353C3E67" w14:textId="77777777" w:rsidR="00D66388" w:rsidRPr="00292779" w:rsidRDefault="00D66388" w:rsidP="0024187D">
            <w:pPr>
              <w:jc w:val="center"/>
              <w:rPr>
                <w:color w:val="000000"/>
                <w:sz w:val="18"/>
                <w:szCs w:val="18"/>
              </w:rPr>
            </w:pPr>
            <w:r w:rsidRPr="00292779">
              <w:rPr>
                <w:color w:val="000000"/>
                <w:sz w:val="18"/>
                <w:szCs w:val="18"/>
              </w:rPr>
              <w:t>27.51 (7.04)</w:t>
            </w:r>
          </w:p>
        </w:tc>
        <w:tc>
          <w:tcPr>
            <w:tcW w:w="620" w:type="dxa"/>
          </w:tcPr>
          <w:p w14:paraId="6332C79D" w14:textId="77777777" w:rsidR="00D66388" w:rsidRPr="00292779" w:rsidRDefault="00D66388" w:rsidP="0024187D">
            <w:pPr>
              <w:jc w:val="center"/>
              <w:rPr>
                <w:color w:val="000000"/>
                <w:sz w:val="18"/>
                <w:szCs w:val="18"/>
              </w:rPr>
            </w:pPr>
            <w:r w:rsidRPr="00292779">
              <w:rPr>
                <w:color w:val="000000"/>
                <w:sz w:val="18"/>
                <w:szCs w:val="18"/>
              </w:rPr>
              <w:t>0.18</w:t>
            </w:r>
          </w:p>
        </w:tc>
        <w:tc>
          <w:tcPr>
            <w:tcW w:w="1430" w:type="dxa"/>
            <w:noWrap/>
            <w:hideMark/>
          </w:tcPr>
          <w:p w14:paraId="2E20CCD8" w14:textId="77777777" w:rsidR="00D66388" w:rsidRPr="00292779" w:rsidRDefault="00D66388" w:rsidP="0024187D">
            <w:pPr>
              <w:jc w:val="center"/>
              <w:rPr>
                <w:color w:val="000000"/>
                <w:sz w:val="18"/>
                <w:szCs w:val="18"/>
              </w:rPr>
            </w:pPr>
            <w:r w:rsidRPr="00292779">
              <w:rPr>
                <w:color w:val="000000"/>
                <w:sz w:val="18"/>
                <w:szCs w:val="18"/>
              </w:rPr>
              <w:t>25.96 (6.65)</w:t>
            </w:r>
          </w:p>
        </w:tc>
        <w:tc>
          <w:tcPr>
            <w:tcW w:w="681" w:type="dxa"/>
          </w:tcPr>
          <w:p w14:paraId="3B5F4925" w14:textId="77777777" w:rsidR="00D66388" w:rsidRPr="00292779" w:rsidRDefault="00D66388" w:rsidP="0024187D">
            <w:pPr>
              <w:jc w:val="center"/>
              <w:rPr>
                <w:color w:val="000000"/>
                <w:sz w:val="18"/>
                <w:szCs w:val="18"/>
              </w:rPr>
            </w:pPr>
            <w:r w:rsidRPr="00292779">
              <w:rPr>
                <w:color w:val="000000"/>
                <w:sz w:val="18"/>
                <w:szCs w:val="18"/>
              </w:rPr>
              <w:t>-0.06</w:t>
            </w:r>
          </w:p>
        </w:tc>
      </w:tr>
      <w:tr w:rsidR="00D66388" w:rsidRPr="00292779" w14:paraId="4D317FBC" w14:textId="77777777" w:rsidTr="0024187D">
        <w:trPr>
          <w:trHeight w:val="207"/>
        </w:trPr>
        <w:tc>
          <w:tcPr>
            <w:tcW w:w="2324" w:type="dxa"/>
            <w:hideMark/>
          </w:tcPr>
          <w:p w14:paraId="17E17032" w14:textId="77777777" w:rsidR="00D66388" w:rsidRPr="00292779" w:rsidRDefault="00D66388" w:rsidP="0024187D">
            <w:pPr>
              <w:rPr>
                <w:color w:val="000000"/>
                <w:sz w:val="18"/>
                <w:szCs w:val="18"/>
              </w:rPr>
            </w:pPr>
            <w:r w:rsidRPr="00292779">
              <w:rPr>
                <w:color w:val="000000"/>
                <w:sz w:val="18"/>
                <w:szCs w:val="18"/>
              </w:rPr>
              <w:t xml:space="preserve">  Alcohol and Substance Use</w:t>
            </w:r>
          </w:p>
        </w:tc>
        <w:tc>
          <w:tcPr>
            <w:tcW w:w="1434" w:type="dxa"/>
            <w:noWrap/>
            <w:hideMark/>
          </w:tcPr>
          <w:p w14:paraId="3E99EAEE" w14:textId="77777777" w:rsidR="00D66388" w:rsidRPr="00292779" w:rsidRDefault="00D66388" w:rsidP="0024187D">
            <w:pPr>
              <w:jc w:val="center"/>
              <w:rPr>
                <w:color w:val="000000"/>
                <w:sz w:val="18"/>
                <w:szCs w:val="18"/>
              </w:rPr>
            </w:pPr>
            <w:r w:rsidRPr="00292779">
              <w:rPr>
                <w:color w:val="000000"/>
                <w:sz w:val="18"/>
                <w:szCs w:val="18"/>
              </w:rPr>
              <w:t>5.76 (8.24)</w:t>
            </w:r>
          </w:p>
        </w:tc>
        <w:tc>
          <w:tcPr>
            <w:tcW w:w="1367" w:type="dxa"/>
            <w:noWrap/>
            <w:hideMark/>
          </w:tcPr>
          <w:p w14:paraId="31D69237" w14:textId="77777777" w:rsidR="00D66388" w:rsidRPr="00292779" w:rsidRDefault="00D66388" w:rsidP="0024187D">
            <w:pPr>
              <w:jc w:val="center"/>
              <w:rPr>
                <w:color w:val="000000"/>
                <w:sz w:val="18"/>
                <w:szCs w:val="18"/>
              </w:rPr>
            </w:pPr>
            <w:r w:rsidRPr="00292779">
              <w:rPr>
                <w:color w:val="000000"/>
                <w:sz w:val="18"/>
                <w:szCs w:val="18"/>
              </w:rPr>
              <w:t>5.51 (8.10)</w:t>
            </w:r>
          </w:p>
        </w:tc>
        <w:tc>
          <w:tcPr>
            <w:tcW w:w="816" w:type="dxa"/>
            <w:gridSpan w:val="2"/>
          </w:tcPr>
          <w:p w14:paraId="0FB41516" w14:textId="77777777" w:rsidR="00D66388" w:rsidRPr="00292779" w:rsidRDefault="00D66388" w:rsidP="0024187D">
            <w:pPr>
              <w:jc w:val="center"/>
              <w:rPr>
                <w:color w:val="000000"/>
                <w:sz w:val="18"/>
                <w:szCs w:val="18"/>
              </w:rPr>
            </w:pPr>
            <w:r w:rsidRPr="00292779">
              <w:rPr>
                <w:color w:val="000000"/>
                <w:sz w:val="18"/>
                <w:szCs w:val="18"/>
              </w:rPr>
              <w:t>-0.03</w:t>
            </w:r>
          </w:p>
        </w:tc>
        <w:tc>
          <w:tcPr>
            <w:tcW w:w="1370" w:type="dxa"/>
            <w:noWrap/>
            <w:hideMark/>
          </w:tcPr>
          <w:p w14:paraId="0A999CF3" w14:textId="77777777" w:rsidR="00D66388" w:rsidRPr="00292779" w:rsidRDefault="00D66388" w:rsidP="0024187D">
            <w:pPr>
              <w:jc w:val="center"/>
              <w:rPr>
                <w:color w:val="000000"/>
                <w:sz w:val="18"/>
                <w:szCs w:val="18"/>
              </w:rPr>
            </w:pPr>
            <w:r w:rsidRPr="00292779">
              <w:rPr>
                <w:color w:val="000000"/>
                <w:sz w:val="18"/>
                <w:szCs w:val="18"/>
              </w:rPr>
              <w:t>5.60 (7.93)</w:t>
            </w:r>
          </w:p>
        </w:tc>
        <w:tc>
          <w:tcPr>
            <w:tcW w:w="681" w:type="dxa"/>
          </w:tcPr>
          <w:p w14:paraId="4226D358" w14:textId="77777777" w:rsidR="00D66388" w:rsidRPr="00292779" w:rsidRDefault="00D66388" w:rsidP="0024187D">
            <w:pPr>
              <w:jc w:val="center"/>
              <w:rPr>
                <w:color w:val="000000"/>
                <w:sz w:val="18"/>
                <w:szCs w:val="18"/>
              </w:rPr>
            </w:pPr>
            <w:r w:rsidRPr="00292779">
              <w:rPr>
                <w:color w:val="000000"/>
                <w:sz w:val="18"/>
                <w:szCs w:val="18"/>
              </w:rPr>
              <w:t>-0.02</w:t>
            </w:r>
          </w:p>
        </w:tc>
        <w:tc>
          <w:tcPr>
            <w:tcW w:w="1370" w:type="dxa"/>
            <w:noWrap/>
            <w:hideMark/>
          </w:tcPr>
          <w:p w14:paraId="6686B23B" w14:textId="77777777" w:rsidR="00D66388" w:rsidRPr="00292779" w:rsidRDefault="00D66388" w:rsidP="0024187D">
            <w:pPr>
              <w:jc w:val="center"/>
              <w:rPr>
                <w:color w:val="000000"/>
                <w:sz w:val="18"/>
                <w:szCs w:val="18"/>
              </w:rPr>
            </w:pPr>
            <w:r w:rsidRPr="00292779">
              <w:rPr>
                <w:color w:val="000000"/>
                <w:sz w:val="18"/>
                <w:szCs w:val="18"/>
              </w:rPr>
              <w:t>5.67 (6.62)</w:t>
            </w:r>
          </w:p>
        </w:tc>
        <w:tc>
          <w:tcPr>
            <w:tcW w:w="1430" w:type="dxa"/>
            <w:noWrap/>
            <w:hideMark/>
          </w:tcPr>
          <w:p w14:paraId="5870646A" w14:textId="77777777" w:rsidR="00D66388" w:rsidRPr="00292779" w:rsidRDefault="00D66388" w:rsidP="0024187D">
            <w:pPr>
              <w:jc w:val="center"/>
              <w:rPr>
                <w:color w:val="000000"/>
                <w:sz w:val="18"/>
                <w:szCs w:val="18"/>
              </w:rPr>
            </w:pPr>
            <w:r w:rsidRPr="00292779">
              <w:rPr>
                <w:color w:val="000000"/>
                <w:sz w:val="18"/>
                <w:szCs w:val="18"/>
              </w:rPr>
              <w:t>6.26 (8.37)</w:t>
            </w:r>
          </w:p>
        </w:tc>
        <w:tc>
          <w:tcPr>
            <w:tcW w:w="620" w:type="dxa"/>
          </w:tcPr>
          <w:p w14:paraId="6AC90E52" w14:textId="77777777" w:rsidR="00D66388" w:rsidRPr="00292779" w:rsidRDefault="00D66388" w:rsidP="0024187D">
            <w:pPr>
              <w:jc w:val="center"/>
              <w:rPr>
                <w:color w:val="000000"/>
                <w:sz w:val="18"/>
                <w:szCs w:val="18"/>
              </w:rPr>
            </w:pPr>
            <w:r w:rsidRPr="00292779">
              <w:rPr>
                <w:color w:val="000000"/>
                <w:sz w:val="18"/>
                <w:szCs w:val="18"/>
              </w:rPr>
              <w:t>0.09</w:t>
            </w:r>
          </w:p>
        </w:tc>
        <w:tc>
          <w:tcPr>
            <w:tcW w:w="1430" w:type="dxa"/>
            <w:noWrap/>
            <w:hideMark/>
          </w:tcPr>
          <w:p w14:paraId="3E375B7F" w14:textId="77777777" w:rsidR="00D66388" w:rsidRPr="00292779" w:rsidRDefault="00D66388" w:rsidP="0024187D">
            <w:pPr>
              <w:jc w:val="center"/>
              <w:rPr>
                <w:color w:val="000000"/>
                <w:sz w:val="18"/>
                <w:szCs w:val="18"/>
              </w:rPr>
            </w:pPr>
            <w:r w:rsidRPr="00292779">
              <w:rPr>
                <w:color w:val="000000"/>
                <w:sz w:val="18"/>
                <w:szCs w:val="18"/>
              </w:rPr>
              <w:t>5.46 (7.68)</w:t>
            </w:r>
          </w:p>
        </w:tc>
        <w:tc>
          <w:tcPr>
            <w:tcW w:w="681" w:type="dxa"/>
          </w:tcPr>
          <w:p w14:paraId="6CBDECC7" w14:textId="77777777" w:rsidR="00D66388" w:rsidRPr="00292779" w:rsidRDefault="00D66388" w:rsidP="0024187D">
            <w:pPr>
              <w:jc w:val="center"/>
              <w:rPr>
                <w:color w:val="000000"/>
                <w:sz w:val="18"/>
                <w:szCs w:val="18"/>
              </w:rPr>
            </w:pPr>
            <w:r w:rsidRPr="00292779">
              <w:rPr>
                <w:color w:val="000000"/>
                <w:sz w:val="18"/>
                <w:szCs w:val="18"/>
              </w:rPr>
              <w:t>-0.03</w:t>
            </w:r>
          </w:p>
        </w:tc>
      </w:tr>
      <w:tr w:rsidR="00D66388" w:rsidRPr="00292779" w14:paraId="2CE739C7" w14:textId="77777777" w:rsidTr="0024187D">
        <w:trPr>
          <w:trHeight w:val="207"/>
        </w:trPr>
        <w:tc>
          <w:tcPr>
            <w:tcW w:w="2324" w:type="dxa"/>
            <w:hideMark/>
          </w:tcPr>
          <w:p w14:paraId="7EFE296F"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noWrap/>
            <w:hideMark/>
          </w:tcPr>
          <w:p w14:paraId="778874DE" w14:textId="77777777" w:rsidR="00D66388" w:rsidRPr="00292779" w:rsidRDefault="00D66388" w:rsidP="0024187D">
            <w:pPr>
              <w:jc w:val="center"/>
              <w:rPr>
                <w:color w:val="000000"/>
                <w:sz w:val="18"/>
                <w:szCs w:val="18"/>
              </w:rPr>
            </w:pPr>
            <w:r w:rsidRPr="00292779">
              <w:rPr>
                <w:color w:val="000000"/>
                <w:sz w:val="18"/>
                <w:szCs w:val="18"/>
              </w:rPr>
              <w:t>0.03 (0.80)</w:t>
            </w:r>
          </w:p>
        </w:tc>
        <w:tc>
          <w:tcPr>
            <w:tcW w:w="1367" w:type="dxa"/>
            <w:noWrap/>
            <w:hideMark/>
          </w:tcPr>
          <w:p w14:paraId="48F85811" w14:textId="77777777" w:rsidR="00D66388" w:rsidRPr="00292779" w:rsidRDefault="00D66388" w:rsidP="0024187D">
            <w:pPr>
              <w:jc w:val="center"/>
              <w:rPr>
                <w:sz w:val="20"/>
                <w:szCs w:val="20"/>
              </w:rPr>
            </w:pPr>
            <w:r w:rsidRPr="00292779">
              <w:rPr>
                <w:color w:val="000000"/>
                <w:sz w:val="18"/>
                <w:szCs w:val="18"/>
              </w:rPr>
              <w:t>0.02 (0.83)</w:t>
            </w:r>
          </w:p>
        </w:tc>
        <w:tc>
          <w:tcPr>
            <w:tcW w:w="816" w:type="dxa"/>
            <w:gridSpan w:val="2"/>
          </w:tcPr>
          <w:p w14:paraId="7A5761E8" w14:textId="77777777" w:rsidR="00D66388" w:rsidRPr="00292779" w:rsidRDefault="00D66388" w:rsidP="0024187D">
            <w:pPr>
              <w:jc w:val="center"/>
              <w:rPr>
                <w:color w:val="000000"/>
                <w:sz w:val="18"/>
                <w:szCs w:val="18"/>
              </w:rPr>
            </w:pPr>
            <w:r w:rsidRPr="00292779">
              <w:rPr>
                <w:color w:val="000000"/>
                <w:sz w:val="18"/>
                <w:szCs w:val="18"/>
              </w:rPr>
              <w:t>-0.02</w:t>
            </w:r>
          </w:p>
        </w:tc>
        <w:tc>
          <w:tcPr>
            <w:tcW w:w="1370" w:type="dxa"/>
            <w:noWrap/>
            <w:hideMark/>
          </w:tcPr>
          <w:p w14:paraId="05540A67" w14:textId="77777777" w:rsidR="00D66388" w:rsidRPr="00292779" w:rsidRDefault="00D66388" w:rsidP="0024187D">
            <w:pPr>
              <w:jc w:val="center"/>
              <w:rPr>
                <w:sz w:val="20"/>
                <w:szCs w:val="20"/>
              </w:rPr>
            </w:pPr>
            <w:r w:rsidRPr="00292779">
              <w:rPr>
                <w:color w:val="000000"/>
                <w:sz w:val="18"/>
                <w:szCs w:val="18"/>
              </w:rPr>
              <w:t>-0.03 (0.79)</w:t>
            </w:r>
          </w:p>
        </w:tc>
        <w:tc>
          <w:tcPr>
            <w:tcW w:w="681" w:type="dxa"/>
          </w:tcPr>
          <w:p w14:paraId="041FD47C" w14:textId="77777777" w:rsidR="00D66388" w:rsidRPr="00292779" w:rsidRDefault="00D66388" w:rsidP="0024187D">
            <w:pPr>
              <w:jc w:val="center"/>
              <w:rPr>
                <w:color w:val="000000"/>
                <w:sz w:val="18"/>
                <w:szCs w:val="18"/>
              </w:rPr>
            </w:pPr>
            <w:r w:rsidRPr="00292779">
              <w:rPr>
                <w:color w:val="000000"/>
                <w:sz w:val="18"/>
                <w:szCs w:val="18"/>
              </w:rPr>
              <w:t>-0.08</w:t>
            </w:r>
          </w:p>
        </w:tc>
        <w:tc>
          <w:tcPr>
            <w:tcW w:w="1370" w:type="dxa"/>
            <w:noWrap/>
            <w:hideMark/>
          </w:tcPr>
          <w:p w14:paraId="54273BF6" w14:textId="77777777" w:rsidR="00D66388" w:rsidRPr="00292779" w:rsidRDefault="00D66388" w:rsidP="0024187D">
            <w:pPr>
              <w:jc w:val="center"/>
              <w:rPr>
                <w:sz w:val="20"/>
                <w:szCs w:val="20"/>
              </w:rPr>
            </w:pPr>
            <w:r w:rsidRPr="00292779">
              <w:rPr>
                <w:color w:val="000000"/>
                <w:sz w:val="18"/>
                <w:szCs w:val="18"/>
              </w:rPr>
              <w:t>-0.04 (0.77)</w:t>
            </w:r>
          </w:p>
        </w:tc>
        <w:tc>
          <w:tcPr>
            <w:tcW w:w="1430" w:type="dxa"/>
            <w:noWrap/>
            <w:hideMark/>
          </w:tcPr>
          <w:p w14:paraId="00343EF0" w14:textId="77777777" w:rsidR="00D66388" w:rsidRPr="00292779" w:rsidRDefault="00D66388" w:rsidP="0024187D">
            <w:pPr>
              <w:jc w:val="center"/>
              <w:rPr>
                <w:sz w:val="20"/>
                <w:szCs w:val="20"/>
              </w:rPr>
            </w:pPr>
            <w:r w:rsidRPr="00292779">
              <w:rPr>
                <w:color w:val="000000"/>
                <w:sz w:val="18"/>
                <w:szCs w:val="18"/>
              </w:rPr>
              <w:t>0.09 (0.92)</w:t>
            </w:r>
          </w:p>
        </w:tc>
        <w:tc>
          <w:tcPr>
            <w:tcW w:w="620" w:type="dxa"/>
          </w:tcPr>
          <w:p w14:paraId="6F5F263F" w14:textId="77777777" w:rsidR="00D66388" w:rsidRPr="00292779" w:rsidRDefault="00D66388" w:rsidP="0024187D">
            <w:pPr>
              <w:jc w:val="center"/>
              <w:rPr>
                <w:color w:val="000000"/>
                <w:sz w:val="18"/>
                <w:szCs w:val="18"/>
              </w:rPr>
            </w:pPr>
            <w:r w:rsidRPr="00292779">
              <w:rPr>
                <w:color w:val="000000"/>
                <w:sz w:val="18"/>
                <w:szCs w:val="18"/>
              </w:rPr>
              <w:t>0.16</w:t>
            </w:r>
          </w:p>
        </w:tc>
        <w:tc>
          <w:tcPr>
            <w:tcW w:w="1430" w:type="dxa"/>
            <w:noWrap/>
            <w:hideMark/>
          </w:tcPr>
          <w:p w14:paraId="304B2D69" w14:textId="77777777" w:rsidR="00D66388" w:rsidRPr="00292779" w:rsidRDefault="00D66388" w:rsidP="0024187D">
            <w:pPr>
              <w:jc w:val="center"/>
              <w:rPr>
                <w:sz w:val="20"/>
                <w:szCs w:val="20"/>
              </w:rPr>
            </w:pPr>
            <w:r w:rsidRPr="00292779">
              <w:rPr>
                <w:color w:val="000000"/>
                <w:sz w:val="18"/>
                <w:szCs w:val="18"/>
              </w:rPr>
              <w:t>-0.08 (0.85)</w:t>
            </w:r>
          </w:p>
        </w:tc>
        <w:tc>
          <w:tcPr>
            <w:tcW w:w="681" w:type="dxa"/>
          </w:tcPr>
          <w:p w14:paraId="4F19D402" w14:textId="77777777" w:rsidR="00D66388" w:rsidRPr="00292779" w:rsidRDefault="00D66388" w:rsidP="0024187D">
            <w:pPr>
              <w:jc w:val="center"/>
              <w:rPr>
                <w:color w:val="000000"/>
                <w:sz w:val="18"/>
                <w:szCs w:val="18"/>
              </w:rPr>
            </w:pPr>
            <w:r w:rsidRPr="00292779">
              <w:rPr>
                <w:color w:val="000000"/>
                <w:sz w:val="18"/>
                <w:szCs w:val="18"/>
              </w:rPr>
              <w:t>-0.06</w:t>
            </w:r>
          </w:p>
        </w:tc>
      </w:tr>
      <w:tr w:rsidR="00D66388" w:rsidRPr="00292779" w14:paraId="3FD77E0F" w14:textId="77777777" w:rsidTr="0024187D">
        <w:trPr>
          <w:trHeight w:val="207"/>
        </w:trPr>
        <w:tc>
          <w:tcPr>
            <w:tcW w:w="2324" w:type="dxa"/>
            <w:hideMark/>
          </w:tcPr>
          <w:p w14:paraId="3DA05418" w14:textId="77777777" w:rsidR="00D66388" w:rsidRPr="00292779" w:rsidRDefault="00D66388" w:rsidP="0024187D">
            <w:pPr>
              <w:rPr>
                <w:i/>
                <w:iCs/>
                <w:color w:val="000000"/>
                <w:sz w:val="18"/>
                <w:szCs w:val="18"/>
              </w:rPr>
            </w:pPr>
            <w:r w:rsidRPr="00292779">
              <w:rPr>
                <w:i/>
                <w:iCs/>
                <w:color w:val="000000"/>
                <w:sz w:val="18"/>
                <w:szCs w:val="18"/>
              </w:rPr>
              <w:t>Social health</w:t>
            </w:r>
          </w:p>
        </w:tc>
        <w:tc>
          <w:tcPr>
            <w:tcW w:w="1434" w:type="dxa"/>
            <w:noWrap/>
            <w:hideMark/>
          </w:tcPr>
          <w:p w14:paraId="4AC6FD87" w14:textId="77777777" w:rsidR="00D66388" w:rsidRPr="00292779" w:rsidRDefault="00D66388" w:rsidP="0024187D">
            <w:pPr>
              <w:jc w:val="center"/>
              <w:rPr>
                <w:i/>
                <w:iCs/>
                <w:color w:val="000000"/>
                <w:sz w:val="18"/>
                <w:szCs w:val="18"/>
              </w:rPr>
            </w:pPr>
          </w:p>
        </w:tc>
        <w:tc>
          <w:tcPr>
            <w:tcW w:w="1367" w:type="dxa"/>
            <w:noWrap/>
            <w:hideMark/>
          </w:tcPr>
          <w:p w14:paraId="4EF8F198" w14:textId="77777777" w:rsidR="00D66388" w:rsidRPr="00292779" w:rsidRDefault="00D66388" w:rsidP="0024187D">
            <w:pPr>
              <w:jc w:val="center"/>
              <w:rPr>
                <w:sz w:val="20"/>
                <w:szCs w:val="20"/>
              </w:rPr>
            </w:pPr>
          </w:p>
        </w:tc>
        <w:tc>
          <w:tcPr>
            <w:tcW w:w="816" w:type="dxa"/>
            <w:gridSpan w:val="2"/>
          </w:tcPr>
          <w:p w14:paraId="3F592DFC" w14:textId="77777777" w:rsidR="00D66388" w:rsidRPr="00292779" w:rsidRDefault="00D66388" w:rsidP="0024187D">
            <w:pPr>
              <w:jc w:val="center"/>
              <w:rPr>
                <w:sz w:val="20"/>
                <w:szCs w:val="20"/>
              </w:rPr>
            </w:pPr>
          </w:p>
        </w:tc>
        <w:tc>
          <w:tcPr>
            <w:tcW w:w="1370" w:type="dxa"/>
            <w:noWrap/>
            <w:hideMark/>
          </w:tcPr>
          <w:p w14:paraId="5B45E740" w14:textId="77777777" w:rsidR="00D66388" w:rsidRPr="00292779" w:rsidRDefault="00D66388" w:rsidP="0024187D">
            <w:pPr>
              <w:jc w:val="center"/>
              <w:rPr>
                <w:sz w:val="20"/>
                <w:szCs w:val="20"/>
              </w:rPr>
            </w:pPr>
          </w:p>
        </w:tc>
        <w:tc>
          <w:tcPr>
            <w:tcW w:w="681" w:type="dxa"/>
          </w:tcPr>
          <w:p w14:paraId="23C55FC3" w14:textId="77777777" w:rsidR="00D66388" w:rsidRPr="00292779" w:rsidRDefault="00D66388" w:rsidP="0024187D">
            <w:pPr>
              <w:jc w:val="center"/>
              <w:rPr>
                <w:sz w:val="20"/>
                <w:szCs w:val="20"/>
              </w:rPr>
            </w:pPr>
          </w:p>
        </w:tc>
        <w:tc>
          <w:tcPr>
            <w:tcW w:w="1370" w:type="dxa"/>
            <w:noWrap/>
            <w:hideMark/>
          </w:tcPr>
          <w:p w14:paraId="65F789B0" w14:textId="77777777" w:rsidR="00D66388" w:rsidRPr="00292779" w:rsidRDefault="00D66388" w:rsidP="0024187D">
            <w:pPr>
              <w:jc w:val="center"/>
              <w:rPr>
                <w:sz w:val="20"/>
                <w:szCs w:val="20"/>
              </w:rPr>
            </w:pPr>
          </w:p>
        </w:tc>
        <w:tc>
          <w:tcPr>
            <w:tcW w:w="1430" w:type="dxa"/>
            <w:noWrap/>
            <w:hideMark/>
          </w:tcPr>
          <w:p w14:paraId="646A1A93" w14:textId="77777777" w:rsidR="00D66388" w:rsidRPr="00292779" w:rsidRDefault="00D66388" w:rsidP="0024187D">
            <w:pPr>
              <w:jc w:val="center"/>
              <w:rPr>
                <w:sz w:val="20"/>
                <w:szCs w:val="20"/>
              </w:rPr>
            </w:pPr>
          </w:p>
        </w:tc>
        <w:tc>
          <w:tcPr>
            <w:tcW w:w="620" w:type="dxa"/>
          </w:tcPr>
          <w:p w14:paraId="558A59FC" w14:textId="77777777" w:rsidR="00D66388" w:rsidRPr="00292779" w:rsidRDefault="00D66388" w:rsidP="0024187D">
            <w:pPr>
              <w:jc w:val="center"/>
              <w:rPr>
                <w:sz w:val="20"/>
                <w:szCs w:val="20"/>
              </w:rPr>
            </w:pPr>
          </w:p>
        </w:tc>
        <w:tc>
          <w:tcPr>
            <w:tcW w:w="1430" w:type="dxa"/>
            <w:noWrap/>
            <w:hideMark/>
          </w:tcPr>
          <w:p w14:paraId="37AAF78F" w14:textId="77777777" w:rsidR="00D66388" w:rsidRPr="00292779" w:rsidRDefault="00D66388" w:rsidP="0024187D">
            <w:pPr>
              <w:jc w:val="center"/>
              <w:rPr>
                <w:sz w:val="20"/>
                <w:szCs w:val="20"/>
              </w:rPr>
            </w:pPr>
          </w:p>
        </w:tc>
        <w:tc>
          <w:tcPr>
            <w:tcW w:w="681" w:type="dxa"/>
          </w:tcPr>
          <w:p w14:paraId="34E7E8B7" w14:textId="77777777" w:rsidR="00D66388" w:rsidRPr="00292779" w:rsidRDefault="00D66388" w:rsidP="0024187D">
            <w:pPr>
              <w:jc w:val="center"/>
              <w:rPr>
                <w:sz w:val="20"/>
                <w:szCs w:val="20"/>
              </w:rPr>
            </w:pPr>
          </w:p>
        </w:tc>
      </w:tr>
      <w:tr w:rsidR="00D66388" w:rsidRPr="00292779" w14:paraId="25D1BA22" w14:textId="77777777" w:rsidTr="0024187D">
        <w:trPr>
          <w:trHeight w:val="207"/>
        </w:trPr>
        <w:tc>
          <w:tcPr>
            <w:tcW w:w="2324" w:type="dxa"/>
            <w:hideMark/>
          </w:tcPr>
          <w:p w14:paraId="490BED86" w14:textId="77777777" w:rsidR="00D66388" w:rsidRPr="00292779" w:rsidRDefault="00D66388" w:rsidP="0024187D">
            <w:pPr>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Friends</w:t>
            </w:r>
          </w:p>
        </w:tc>
        <w:tc>
          <w:tcPr>
            <w:tcW w:w="1434" w:type="dxa"/>
            <w:noWrap/>
            <w:hideMark/>
          </w:tcPr>
          <w:p w14:paraId="69A412FB" w14:textId="77777777" w:rsidR="00D66388" w:rsidRPr="00292779" w:rsidRDefault="00D66388" w:rsidP="0024187D">
            <w:pPr>
              <w:jc w:val="center"/>
              <w:rPr>
                <w:color w:val="000000"/>
                <w:sz w:val="18"/>
                <w:szCs w:val="18"/>
              </w:rPr>
            </w:pPr>
            <w:r w:rsidRPr="00292779">
              <w:rPr>
                <w:color w:val="000000"/>
                <w:sz w:val="18"/>
                <w:szCs w:val="18"/>
              </w:rPr>
              <w:t>18.53 (4.58)</w:t>
            </w:r>
          </w:p>
        </w:tc>
        <w:tc>
          <w:tcPr>
            <w:tcW w:w="1367" w:type="dxa"/>
            <w:noWrap/>
            <w:hideMark/>
          </w:tcPr>
          <w:p w14:paraId="56791733" w14:textId="77777777" w:rsidR="00D66388" w:rsidRPr="00292779" w:rsidRDefault="00D66388" w:rsidP="0024187D">
            <w:pPr>
              <w:jc w:val="center"/>
              <w:rPr>
                <w:color w:val="000000"/>
                <w:sz w:val="18"/>
                <w:szCs w:val="18"/>
              </w:rPr>
            </w:pPr>
            <w:r w:rsidRPr="00292779">
              <w:rPr>
                <w:color w:val="000000"/>
                <w:sz w:val="18"/>
                <w:szCs w:val="18"/>
              </w:rPr>
              <w:t>17.73 (3.69)</w:t>
            </w:r>
          </w:p>
        </w:tc>
        <w:tc>
          <w:tcPr>
            <w:tcW w:w="816" w:type="dxa"/>
            <w:gridSpan w:val="2"/>
          </w:tcPr>
          <w:p w14:paraId="7E7BEE91" w14:textId="77777777" w:rsidR="00D66388" w:rsidRPr="00292779" w:rsidRDefault="00D66388" w:rsidP="0024187D">
            <w:pPr>
              <w:jc w:val="center"/>
              <w:rPr>
                <w:color w:val="000000"/>
                <w:sz w:val="18"/>
                <w:szCs w:val="18"/>
              </w:rPr>
            </w:pPr>
            <w:r w:rsidRPr="00292779">
              <w:rPr>
                <w:color w:val="000000"/>
                <w:sz w:val="18"/>
                <w:szCs w:val="18"/>
              </w:rPr>
              <w:t>-0.18</w:t>
            </w:r>
          </w:p>
        </w:tc>
        <w:tc>
          <w:tcPr>
            <w:tcW w:w="1370" w:type="dxa"/>
            <w:noWrap/>
            <w:hideMark/>
          </w:tcPr>
          <w:p w14:paraId="737C3838" w14:textId="77777777" w:rsidR="00D66388" w:rsidRPr="00292779" w:rsidRDefault="00D66388" w:rsidP="0024187D">
            <w:pPr>
              <w:jc w:val="center"/>
              <w:rPr>
                <w:color w:val="000000"/>
                <w:sz w:val="18"/>
                <w:szCs w:val="18"/>
              </w:rPr>
            </w:pPr>
            <w:r w:rsidRPr="00292779">
              <w:rPr>
                <w:color w:val="000000"/>
                <w:sz w:val="18"/>
                <w:szCs w:val="18"/>
              </w:rPr>
              <w:t>17.22 (4.21)</w:t>
            </w:r>
          </w:p>
        </w:tc>
        <w:tc>
          <w:tcPr>
            <w:tcW w:w="681" w:type="dxa"/>
          </w:tcPr>
          <w:p w14:paraId="7F85ACCF" w14:textId="77777777" w:rsidR="00D66388" w:rsidRPr="00292779" w:rsidRDefault="00D66388" w:rsidP="0024187D">
            <w:pPr>
              <w:jc w:val="center"/>
              <w:rPr>
                <w:color w:val="000000"/>
                <w:sz w:val="18"/>
                <w:szCs w:val="18"/>
              </w:rPr>
            </w:pPr>
            <w:r w:rsidRPr="00292779">
              <w:rPr>
                <w:color w:val="000000"/>
                <w:sz w:val="18"/>
                <w:szCs w:val="18"/>
              </w:rPr>
              <w:t>-0.29</w:t>
            </w:r>
          </w:p>
        </w:tc>
        <w:tc>
          <w:tcPr>
            <w:tcW w:w="1370" w:type="dxa"/>
            <w:noWrap/>
            <w:hideMark/>
          </w:tcPr>
          <w:p w14:paraId="464373C4" w14:textId="77777777" w:rsidR="00D66388" w:rsidRPr="00292779" w:rsidRDefault="00D66388" w:rsidP="0024187D">
            <w:pPr>
              <w:jc w:val="center"/>
              <w:rPr>
                <w:color w:val="000000"/>
                <w:sz w:val="18"/>
                <w:szCs w:val="18"/>
              </w:rPr>
            </w:pPr>
            <w:r w:rsidRPr="00292779">
              <w:rPr>
                <w:color w:val="000000"/>
                <w:sz w:val="18"/>
                <w:szCs w:val="18"/>
              </w:rPr>
              <w:t>18.81 (4.98)</w:t>
            </w:r>
          </w:p>
        </w:tc>
        <w:tc>
          <w:tcPr>
            <w:tcW w:w="1430" w:type="dxa"/>
            <w:noWrap/>
            <w:hideMark/>
          </w:tcPr>
          <w:p w14:paraId="24BCF5B4" w14:textId="77777777" w:rsidR="00D66388" w:rsidRPr="00292779" w:rsidRDefault="00D66388" w:rsidP="0024187D">
            <w:pPr>
              <w:jc w:val="center"/>
              <w:rPr>
                <w:color w:val="000000"/>
                <w:sz w:val="18"/>
                <w:szCs w:val="18"/>
              </w:rPr>
            </w:pPr>
            <w:r w:rsidRPr="00292779">
              <w:rPr>
                <w:color w:val="000000"/>
                <w:sz w:val="18"/>
                <w:szCs w:val="18"/>
              </w:rPr>
              <w:t>18.68 (4.82)</w:t>
            </w:r>
          </w:p>
        </w:tc>
        <w:tc>
          <w:tcPr>
            <w:tcW w:w="620" w:type="dxa"/>
          </w:tcPr>
          <w:p w14:paraId="002AC985" w14:textId="77777777" w:rsidR="00D66388" w:rsidRPr="00292779" w:rsidRDefault="00D66388" w:rsidP="0024187D">
            <w:pPr>
              <w:jc w:val="center"/>
              <w:rPr>
                <w:color w:val="000000"/>
                <w:sz w:val="18"/>
                <w:szCs w:val="18"/>
              </w:rPr>
            </w:pPr>
            <w:r w:rsidRPr="00292779">
              <w:rPr>
                <w:color w:val="000000"/>
                <w:sz w:val="18"/>
                <w:szCs w:val="18"/>
              </w:rPr>
              <w:t>-0.03</w:t>
            </w:r>
          </w:p>
        </w:tc>
        <w:tc>
          <w:tcPr>
            <w:tcW w:w="1430" w:type="dxa"/>
            <w:noWrap/>
            <w:hideMark/>
          </w:tcPr>
          <w:p w14:paraId="04819F9A" w14:textId="77777777" w:rsidR="00D66388" w:rsidRPr="00292779" w:rsidRDefault="00D66388" w:rsidP="0024187D">
            <w:pPr>
              <w:jc w:val="center"/>
              <w:rPr>
                <w:color w:val="000000"/>
                <w:sz w:val="18"/>
                <w:szCs w:val="18"/>
              </w:rPr>
            </w:pPr>
            <w:r w:rsidRPr="00292779">
              <w:rPr>
                <w:color w:val="000000"/>
                <w:sz w:val="18"/>
                <w:szCs w:val="18"/>
              </w:rPr>
              <w:t>17.12 (4.94)</w:t>
            </w:r>
          </w:p>
        </w:tc>
        <w:tc>
          <w:tcPr>
            <w:tcW w:w="681" w:type="dxa"/>
          </w:tcPr>
          <w:p w14:paraId="7BD497D5" w14:textId="77777777" w:rsidR="00D66388" w:rsidRPr="00292779" w:rsidRDefault="00D66388" w:rsidP="0024187D">
            <w:pPr>
              <w:jc w:val="center"/>
              <w:rPr>
                <w:color w:val="000000"/>
                <w:sz w:val="18"/>
                <w:szCs w:val="18"/>
              </w:rPr>
            </w:pPr>
            <w:r w:rsidRPr="00292779">
              <w:rPr>
                <w:color w:val="000000"/>
                <w:sz w:val="18"/>
                <w:szCs w:val="18"/>
              </w:rPr>
              <w:t>-0.34</w:t>
            </w:r>
          </w:p>
        </w:tc>
      </w:tr>
      <w:tr w:rsidR="00D66388" w:rsidRPr="00292779" w14:paraId="5659CF99" w14:textId="77777777" w:rsidTr="0024187D">
        <w:trPr>
          <w:trHeight w:val="207"/>
        </w:trPr>
        <w:tc>
          <w:tcPr>
            <w:tcW w:w="2324" w:type="dxa"/>
            <w:hideMark/>
          </w:tcPr>
          <w:p w14:paraId="79DE5F53" w14:textId="77777777" w:rsidR="00D66388" w:rsidRPr="00292779" w:rsidRDefault="00D66388" w:rsidP="0024187D">
            <w:pPr>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Family</w:t>
            </w:r>
          </w:p>
        </w:tc>
        <w:tc>
          <w:tcPr>
            <w:tcW w:w="1434" w:type="dxa"/>
            <w:noWrap/>
            <w:hideMark/>
          </w:tcPr>
          <w:p w14:paraId="62FBDD19" w14:textId="77777777" w:rsidR="00D66388" w:rsidRPr="00292779" w:rsidRDefault="00D66388" w:rsidP="0024187D">
            <w:pPr>
              <w:jc w:val="center"/>
              <w:rPr>
                <w:color w:val="000000"/>
                <w:sz w:val="18"/>
                <w:szCs w:val="18"/>
              </w:rPr>
            </w:pPr>
            <w:r w:rsidRPr="00292779">
              <w:rPr>
                <w:color w:val="000000"/>
                <w:sz w:val="18"/>
                <w:szCs w:val="18"/>
              </w:rPr>
              <w:t>11.92 (3.50)</w:t>
            </w:r>
          </w:p>
        </w:tc>
        <w:tc>
          <w:tcPr>
            <w:tcW w:w="1367" w:type="dxa"/>
            <w:noWrap/>
            <w:hideMark/>
          </w:tcPr>
          <w:p w14:paraId="735E024A" w14:textId="77777777" w:rsidR="00D66388" w:rsidRPr="00292779" w:rsidRDefault="00D66388" w:rsidP="0024187D">
            <w:pPr>
              <w:jc w:val="center"/>
              <w:rPr>
                <w:color w:val="000000"/>
                <w:sz w:val="18"/>
                <w:szCs w:val="18"/>
              </w:rPr>
            </w:pPr>
            <w:r w:rsidRPr="00292779">
              <w:rPr>
                <w:color w:val="000000"/>
                <w:sz w:val="18"/>
                <w:szCs w:val="18"/>
              </w:rPr>
              <w:t>11.33 (3.56)</w:t>
            </w:r>
          </w:p>
        </w:tc>
        <w:tc>
          <w:tcPr>
            <w:tcW w:w="816" w:type="dxa"/>
            <w:gridSpan w:val="2"/>
          </w:tcPr>
          <w:p w14:paraId="788AB489" w14:textId="77777777" w:rsidR="00D66388" w:rsidRPr="00292779" w:rsidRDefault="00D66388" w:rsidP="0024187D">
            <w:pPr>
              <w:jc w:val="center"/>
              <w:rPr>
                <w:color w:val="000000"/>
                <w:sz w:val="18"/>
                <w:szCs w:val="18"/>
              </w:rPr>
            </w:pPr>
            <w:r w:rsidRPr="00292779">
              <w:rPr>
                <w:color w:val="000000"/>
                <w:sz w:val="18"/>
                <w:szCs w:val="18"/>
              </w:rPr>
              <w:t>-0.17</w:t>
            </w:r>
          </w:p>
        </w:tc>
        <w:tc>
          <w:tcPr>
            <w:tcW w:w="1370" w:type="dxa"/>
            <w:noWrap/>
            <w:hideMark/>
          </w:tcPr>
          <w:p w14:paraId="7C3CDC15" w14:textId="77777777" w:rsidR="00D66388" w:rsidRPr="00292779" w:rsidRDefault="00D66388" w:rsidP="0024187D">
            <w:pPr>
              <w:jc w:val="center"/>
              <w:rPr>
                <w:color w:val="000000"/>
                <w:sz w:val="18"/>
                <w:szCs w:val="18"/>
              </w:rPr>
            </w:pPr>
            <w:r w:rsidRPr="00292779">
              <w:rPr>
                <w:color w:val="000000"/>
                <w:sz w:val="18"/>
                <w:szCs w:val="18"/>
              </w:rPr>
              <w:t>10.97 (3.29)</w:t>
            </w:r>
          </w:p>
        </w:tc>
        <w:tc>
          <w:tcPr>
            <w:tcW w:w="681" w:type="dxa"/>
          </w:tcPr>
          <w:p w14:paraId="45D41C9F" w14:textId="77777777" w:rsidR="00D66388" w:rsidRPr="00292779" w:rsidRDefault="00D66388" w:rsidP="0024187D">
            <w:pPr>
              <w:jc w:val="center"/>
              <w:rPr>
                <w:color w:val="000000"/>
                <w:sz w:val="18"/>
                <w:szCs w:val="18"/>
              </w:rPr>
            </w:pPr>
            <w:r w:rsidRPr="00292779">
              <w:rPr>
                <w:color w:val="000000"/>
                <w:sz w:val="18"/>
                <w:szCs w:val="18"/>
              </w:rPr>
              <w:t>-0.27</w:t>
            </w:r>
          </w:p>
        </w:tc>
        <w:tc>
          <w:tcPr>
            <w:tcW w:w="1370" w:type="dxa"/>
            <w:noWrap/>
            <w:hideMark/>
          </w:tcPr>
          <w:p w14:paraId="755AD780" w14:textId="77777777" w:rsidR="00D66388" w:rsidRPr="00292779" w:rsidRDefault="00D66388" w:rsidP="0024187D">
            <w:pPr>
              <w:jc w:val="center"/>
              <w:rPr>
                <w:color w:val="000000"/>
                <w:sz w:val="18"/>
                <w:szCs w:val="18"/>
              </w:rPr>
            </w:pPr>
            <w:r w:rsidRPr="00292779">
              <w:rPr>
                <w:color w:val="000000"/>
                <w:sz w:val="18"/>
                <w:szCs w:val="18"/>
              </w:rPr>
              <w:t>12.34 (3.67)</w:t>
            </w:r>
          </w:p>
        </w:tc>
        <w:tc>
          <w:tcPr>
            <w:tcW w:w="1430" w:type="dxa"/>
            <w:noWrap/>
            <w:hideMark/>
          </w:tcPr>
          <w:p w14:paraId="390A3E3D" w14:textId="77777777" w:rsidR="00D66388" w:rsidRPr="00292779" w:rsidRDefault="00D66388" w:rsidP="0024187D">
            <w:pPr>
              <w:jc w:val="center"/>
              <w:rPr>
                <w:color w:val="000000"/>
                <w:sz w:val="18"/>
                <w:szCs w:val="18"/>
              </w:rPr>
            </w:pPr>
            <w:r w:rsidRPr="00292779">
              <w:rPr>
                <w:color w:val="000000"/>
                <w:sz w:val="18"/>
                <w:szCs w:val="18"/>
              </w:rPr>
              <w:t>11.68 (4.17)</w:t>
            </w:r>
          </w:p>
        </w:tc>
        <w:tc>
          <w:tcPr>
            <w:tcW w:w="620" w:type="dxa"/>
          </w:tcPr>
          <w:p w14:paraId="590283FF" w14:textId="77777777" w:rsidR="00D66388" w:rsidRPr="00292779" w:rsidRDefault="00D66388" w:rsidP="0024187D">
            <w:pPr>
              <w:jc w:val="center"/>
              <w:rPr>
                <w:color w:val="000000"/>
                <w:sz w:val="18"/>
                <w:szCs w:val="18"/>
              </w:rPr>
            </w:pPr>
            <w:r w:rsidRPr="00292779">
              <w:rPr>
                <w:color w:val="000000"/>
                <w:sz w:val="18"/>
                <w:szCs w:val="18"/>
              </w:rPr>
              <w:t>-0.18</w:t>
            </w:r>
          </w:p>
        </w:tc>
        <w:tc>
          <w:tcPr>
            <w:tcW w:w="1430" w:type="dxa"/>
            <w:noWrap/>
            <w:hideMark/>
          </w:tcPr>
          <w:p w14:paraId="508EC5AC" w14:textId="77777777" w:rsidR="00D66388" w:rsidRPr="00292779" w:rsidRDefault="00D66388" w:rsidP="0024187D">
            <w:pPr>
              <w:jc w:val="center"/>
              <w:rPr>
                <w:color w:val="000000"/>
                <w:sz w:val="18"/>
                <w:szCs w:val="18"/>
              </w:rPr>
            </w:pPr>
            <w:r w:rsidRPr="00292779">
              <w:rPr>
                <w:color w:val="000000"/>
                <w:sz w:val="18"/>
                <w:szCs w:val="18"/>
              </w:rPr>
              <w:t>10.74 (3.70)</w:t>
            </w:r>
          </w:p>
        </w:tc>
        <w:tc>
          <w:tcPr>
            <w:tcW w:w="681" w:type="dxa"/>
          </w:tcPr>
          <w:p w14:paraId="104230E1" w14:textId="77777777" w:rsidR="00D66388" w:rsidRPr="00292779" w:rsidRDefault="00D66388" w:rsidP="0024187D">
            <w:pPr>
              <w:jc w:val="center"/>
              <w:rPr>
                <w:color w:val="000000"/>
                <w:sz w:val="18"/>
                <w:szCs w:val="18"/>
              </w:rPr>
            </w:pPr>
            <w:r w:rsidRPr="00292779">
              <w:rPr>
                <w:color w:val="000000"/>
                <w:sz w:val="18"/>
                <w:szCs w:val="18"/>
              </w:rPr>
              <w:t>-0.44</w:t>
            </w:r>
          </w:p>
        </w:tc>
      </w:tr>
      <w:tr w:rsidR="00D66388" w:rsidRPr="00292779" w14:paraId="449E4248" w14:textId="77777777" w:rsidTr="0024187D">
        <w:trPr>
          <w:trHeight w:val="207"/>
        </w:trPr>
        <w:tc>
          <w:tcPr>
            <w:tcW w:w="2324" w:type="dxa"/>
            <w:hideMark/>
          </w:tcPr>
          <w:p w14:paraId="4E7E12B2" w14:textId="77777777" w:rsidR="00D66388" w:rsidRPr="00292779" w:rsidRDefault="00D66388" w:rsidP="0024187D">
            <w:pPr>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Romantic</w:t>
            </w:r>
          </w:p>
        </w:tc>
        <w:tc>
          <w:tcPr>
            <w:tcW w:w="1434" w:type="dxa"/>
            <w:noWrap/>
            <w:hideMark/>
          </w:tcPr>
          <w:p w14:paraId="55A02901" w14:textId="77777777" w:rsidR="00D66388" w:rsidRPr="00292779" w:rsidRDefault="00D66388" w:rsidP="0024187D">
            <w:pPr>
              <w:jc w:val="center"/>
              <w:rPr>
                <w:color w:val="000000"/>
                <w:sz w:val="18"/>
                <w:szCs w:val="18"/>
              </w:rPr>
            </w:pPr>
            <w:r w:rsidRPr="00292779">
              <w:rPr>
                <w:color w:val="000000"/>
                <w:sz w:val="18"/>
                <w:szCs w:val="18"/>
              </w:rPr>
              <w:t>7.34 (2.03)</w:t>
            </w:r>
          </w:p>
        </w:tc>
        <w:tc>
          <w:tcPr>
            <w:tcW w:w="1367" w:type="dxa"/>
            <w:noWrap/>
            <w:hideMark/>
          </w:tcPr>
          <w:p w14:paraId="7C51EC3E" w14:textId="77777777" w:rsidR="00D66388" w:rsidRPr="00292779" w:rsidRDefault="00D66388" w:rsidP="0024187D">
            <w:pPr>
              <w:jc w:val="center"/>
              <w:rPr>
                <w:color w:val="000000"/>
                <w:sz w:val="18"/>
                <w:szCs w:val="18"/>
              </w:rPr>
            </w:pPr>
            <w:r w:rsidRPr="00292779">
              <w:rPr>
                <w:color w:val="000000"/>
                <w:sz w:val="18"/>
                <w:szCs w:val="18"/>
              </w:rPr>
              <w:t>7.62 (1.78)</w:t>
            </w:r>
          </w:p>
        </w:tc>
        <w:tc>
          <w:tcPr>
            <w:tcW w:w="816" w:type="dxa"/>
            <w:gridSpan w:val="2"/>
          </w:tcPr>
          <w:p w14:paraId="6DE10167" w14:textId="77777777" w:rsidR="00D66388" w:rsidRPr="00292779" w:rsidRDefault="00D66388" w:rsidP="0024187D">
            <w:pPr>
              <w:jc w:val="center"/>
              <w:rPr>
                <w:color w:val="000000"/>
                <w:sz w:val="18"/>
                <w:szCs w:val="18"/>
              </w:rPr>
            </w:pPr>
            <w:r w:rsidRPr="00292779">
              <w:rPr>
                <w:color w:val="000000"/>
                <w:sz w:val="18"/>
                <w:szCs w:val="18"/>
              </w:rPr>
              <w:t>0.14</w:t>
            </w:r>
          </w:p>
        </w:tc>
        <w:tc>
          <w:tcPr>
            <w:tcW w:w="1370" w:type="dxa"/>
            <w:noWrap/>
            <w:hideMark/>
          </w:tcPr>
          <w:p w14:paraId="6BFFC86C" w14:textId="77777777" w:rsidR="00D66388" w:rsidRPr="00292779" w:rsidRDefault="00D66388" w:rsidP="0024187D">
            <w:pPr>
              <w:jc w:val="center"/>
              <w:rPr>
                <w:color w:val="000000"/>
                <w:sz w:val="18"/>
                <w:szCs w:val="18"/>
              </w:rPr>
            </w:pPr>
            <w:r w:rsidRPr="00292779">
              <w:rPr>
                <w:color w:val="000000"/>
                <w:sz w:val="18"/>
                <w:szCs w:val="18"/>
              </w:rPr>
              <w:t>6.79 (2.41)</w:t>
            </w:r>
          </w:p>
        </w:tc>
        <w:tc>
          <w:tcPr>
            <w:tcW w:w="681" w:type="dxa"/>
          </w:tcPr>
          <w:p w14:paraId="4EB8C8C0" w14:textId="77777777" w:rsidR="00D66388" w:rsidRPr="00292779" w:rsidRDefault="00D66388" w:rsidP="0024187D">
            <w:pPr>
              <w:jc w:val="center"/>
              <w:rPr>
                <w:color w:val="000000"/>
                <w:sz w:val="18"/>
                <w:szCs w:val="18"/>
              </w:rPr>
            </w:pPr>
            <w:r w:rsidRPr="00292779">
              <w:rPr>
                <w:color w:val="000000"/>
                <w:sz w:val="18"/>
                <w:szCs w:val="18"/>
              </w:rPr>
              <w:t>-0.27</w:t>
            </w:r>
          </w:p>
        </w:tc>
        <w:tc>
          <w:tcPr>
            <w:tcW w:w="1370" w:type="dxa"/>
            <w:noWrap/>
            <w:hideMark/>
          </w:tcPr>
          <w:p w14:paraId="21FA4EC9" w14:textId="77777777" w:rsidR="00D66388" w:rsidRPr="00292779" w:rsidRDefault="00D66388" w:rsidP="0024187D">
            <w:pPr>
              <w:jc w:val="center"/>
              <w:rPr>
                <w:color w:val="000000"/>
                <w:sz w:val="18"/>
                <w:szCs w:val="18"/>
              </w:rPr>
            </w:pPr>
            <w:r w:rsidRPr="00292779">
              <w:rPr>
                <w:color w:val="000000"/>
                <w:sz w:val="18"/>
                <w:szCs w:val="18"/>
              </w:rPr>
              <w:t>7.59 (1.69)</w:t>
            </w:r>
          </w:p>
        </w:tc>
        <w:tc>
          <w:tcPr>
            <w:tcW w:w="1430" w:type="dxa"/>
            <w:noWrap/>
            <w:hideMark/>
          </w:tcPr>
          <w:p w14:paraId="1AAD311D" w14:textId="77777777" w:rsidR="00D66388" w:rsidRPr="00292779" w:rsidRDefault="00D66388" w:rsidP="0024187D">
            <w:pPr>
              <w:jc w:val="center"/>
              <w:rPr>
                <w:color w:val="000000"/>
                <w:sz w:val="18"/>
                <w:szCs w:val="18"/>
              </w:rPr>
            </w:pPr>
            <w:r w:rsidRPr="00292779">
              <w:rPr>
                <w:color w:val="000000"/>
                <w:sz w:val="18"/>
                <w:szCs w:val="18"/>
              </w:rPr>
              <w:t>7.62 (1.85)</w:t>
            </w:r>
          </w:p>
        </w:tc>
        <w:tc>
          <w:tcPr>
            <w:tcW w:w="620" w:type="dxa"/>
          </w:tcPr>
          <w:p w14:paraId="0141F2F1" w14:textId="77777777" w:rsidR="00D66388" w:rsidRPr="00292779" w:rsidRDefault="00D66388" w:rsidP="0024187D">
            <w:pPr>
              <w:jc w:val="center"/>
              <w:rPr>
                <w:color w:val="000000"/>
                <w:sz w:val="18"/>
                <w:szCs w:val="18"/>
              </w:rPr>
            </w:pPr>
            <w:r w:rsidRPr="00292779">
              <w:rPr>
                <w:color w:val="000000"/>
                <w:sz w:val="18"/>
                <w:szCs w:val="18"/>
              </w:rPr>
              <w:t>0.02</w:t>
            </w:r>
          </w:p>
        </w:tc>
        <w:tc>
          <w:tcPr>
            <w:tcW w:w="1430" w:type="dxa"/>
            <w:noWrap/>
            <w:hideMark/>
          </w:tcPr>
          <w:p w14:paraId="5A11AD03" w14:textId="77777777" w:rsidR="00D66388" w:rsidRPr="00292779" w:rsidRDefault="00D66388" w:rsidP="0024187D">
            <w:pPr>
              <w:jc w:val="center"/>
              <w:rPr>
                <w:color w:val="000000"/>
                <w:sz w:val="18"/>
                <w:szCs w:val="18"/>
              </w:rPr>
            </w:pPr>
            <w:r w:rsidRPr="00292779">
              <w:rPr>
                <w:color w:val="000000"/>
                <w:sz w:val="18"/>
                <w:szCs w:val="18"/>
              </w:rPr>
              <w:t>6.80 (2.36)</w:t>
            </w:r>
          </w:p>
        </w:tc>
        <w:tc>
          <w:tcPr>
            <w:tcW w:w="681" w:type="dxa"/>
          </w:tcPr>
          <w:p w14:paraId="73274566" w14:textId="77777777" w:rsidR="00D66388" w:rsidRPr="00292779" w:rsidRDefault="00D66388" w:rsidP="0024187D">
            <w:pPr>
              <w:jc w:val="center"/>
              <w:rPr>
                <w:color w:val="000000"/>
                <w:sz w:val="18"/>
                <w:szCs w:val="18"/>
              </w:rPr>
            </w:pPr>
            <w:r w:rsidRPr="00292779">
              <w:rPr>
                <w:color w:val="000000"/>
                <w:sz w:val="18"/>
                <w:szCs w:val="18"/>
              </w:rPr>
              <w:t>-0.47</w:t>
            </w:r>
          </w:p>
        </w:tc>
      </w:tr>
      <w:tr w:rsidR="00D66388" w:rsidRPr="00292779" w14:paraId="2781DB02" w14:textId="77777777" w:rsidTr="0024187D">
        <w:trPr>
          <w:trHeight w:val="207"/>
        </w:trPr>
        <w:tc>
          <w:tcPr>
            <w:tcW w:w="2324" w:type="dxa"/>
            <w:hideMark/>
          </w:tcPr>
          <w:p w14:paraId="0661911D"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noWrap/>
            <w:hideMark/>
          </w:tcPr>
          <w:p w14:paraId="6808A78D" w14:textId="77777777" w:rsidR="00D66388" w:rsidRPr="00292779" w:rsidRDefault="00D66388" w:rsidP="0024187D">
            <w:pPr>
              <w:jc w:val="center"/>
              <w:rPr>
                <w:color w:val="000000"/>
                <w:sz w:val="18"/>
                <w:szCs w:val="18"/>
              </w:rPr>
            </w:pPr>
            <w:r w:rsidRPr="00292779">
              <w:rPr>
                <w:color w:val="000000"/>
                <w:sz w:val="18"/>
                <w:szCs w:val="18"/>
              </w:rPr>
              <w:t>0.06 (0.59)</w:t>
            </w:r>
          </w:p>
        </w:tc>
        <w:tc>
          <w:tcPr>
            <w:tcW w:w="1367" w:type="dxa"/>
            <w:noWrap/>
            <w:hideMark/>
          </w:tcPr>
          <w:p w14:paraId="2F10B7E5" w14:textId="77777777" w:rsidR="00D66388" w:rsidRPr="00292779" w:rsidRDefault="00D66388" w:rsidP="0024187D">
            <w:pPr>
              <w:jc w:val="center"/>
              <w:rPr>
                <w:sz w:val="20"/>
                <w:szCs w:val="20"/>
              </w:rPr>
            </w:pPr>
            <w:r w:rsidRPr="00292779">
              <w:rPr>
                <w:color w:val="000000"/>
                <w:sz w:val="18"/>
                <w:szCs w:val="18"/>
              </w:rPr>
              <w:t>-0.0001 (0.60)</w:t>
            </w:r>
          </w:p>
        </w:tc>
        <w:tc>
          <w:tcPr>
            <w:tcW w:w="816" w:type="dxa"/>
            <w:gridSpan w:val="2"/>
          </w:tcPr>
          <w:p w14:paraId="2F6BA6B5" w14:textId="77777777" w:rsidR="00D66388" w:rsidRPr="00292779" w:rsidRDefault="00D66388" w:rsidP="0024187D">
            <w:pPr>
              <w:jc w:val="center"/>
              <w:rPr>
                <w:color w:val="000000"/>
                <w:sz w:val="18"/>
                <w:szCs w:val="18"/>
              </w:rPr>
            </w:pPr>
            <w:r w:rsidRPr="00292779">
              <w:rPr>
                <w:color w:val="000000"/>
                <w:sz w:val="18"/>
                <w:szCs w:val="18"/>
              </w:rPr>
              <w:t>-0.10</w:t>
            </w:r>
          </w:p>
        </w:tc>
        <w:tc>
          <w:tcPr>
            <w:tcW w:w="1370" w:type="dxa"/>
            <w:noWrap/>
            <w:hideMark/>
          </w:tcPr>
          <w:p w14:paraId="4FE7316A" w14:textId="77777777" w:rsidR="00D66388" w:rsidRPr="00292779" w:rsidRDefault="00D66388" w:rsidP="0024187D">
            <w:pPr>
              <w:jc w:val="center"/>
              <w:rPr>
                <w:sz w:val="20"/>
                <w:szCs w:val="20"/>
              </w:rPr>
            </w:pPr>
            <w:r w:rsidRPr="00292779">
              <w:rPr>
                <w:color w:val="000000"/>
                <w:sz w:val="18"/>
                <w:szCs w:val="18"/>
              </w:rPr>
              <w:t>-0.20 (0.62)</w:t>
            </w:r>
          </w:p>
        </w:tc>
        <w:tc>
          <w:tcPr>
            <w:tcW w:w="681" w:type="dxa"/>
          </w:tcPr>
          <w:p w14:paraId="735F8A2B" w14:textId="77777777" w:rsidR="00D66388" w:rsidRPr="00292779" w:rsidRDefault="00D66388" w:rsidP="0024187D">
            <w:pPr>
              <w:jc w:val="center"/>
              <w:rPr>
                <w:color w:val="000000"/>
                <w:sz w:val="18"/>
                <w:szCs w:val="18"/>
              </w:rPr>
            </w:pPr>
            <w:r w:rsidRPr="00292779">
              <w:rPr>
                <w:color w:val="000000"/>
                <w:sz w:val="18"/>
                <w:szCs w:val="18"/>
              </w:rPr>
              <w:t>-0.43</w:t>
            </w:r>
          </w:p>
        </w:tc>
        <w:tc>
          <w:tcPr>
            <w:tcW w:w="1370" w:type="dxa"/>
            <w:noWrap/>
            <w:hideMark/>
          </w:tcPr>
          <w:p w14:paraId="33448B95" w14:textId="77777777" w:rsidR="00D66388" w:rsidRPr="00292779" w:rsidRDefault="00D66388" w:rsidP="0024187D">
            <w:pPr>
              <w:jc w:val="center"/>
              <w:rPr>
                <w:sz w:val="20"/>
                <w:szCs w:val="20"/>
              </w:rPr>
            </w:pPr>
            <w:r w:rsidRPr="00292779">
              <w:rPr>
                <w:color w:val="000000"/>
                <w:sz w:val="18"/>
                <w:szCs w:val="18"/>
              </w:rPr>
              <w:t>0.18 (0.70)</w:t>
            </w:r>
          </w:p>
        </w:tc>
        <w:tc>
          <w:tcPr>
            <w:tcW w:w="1430" w:type="dxa"/>
            <w:noWrap/>
            <w:hideMark/>
          </w:tcPr>
          <w:p w14:paraId="67ABA59F" w14:textId="77777777" w:rsidR="00D66388" w:rsidRPr="00292779" w:rsidRDefault="00D66388" w:rsidP="0024187D">
            <w:pPr>
              <w:jc w:val="center"/>
              <w:rPr>
                <w:sz w:val="20"/>
                <w:szCs w:val="20"/>
              </w:rPr>
            </w:pPr>
            <w:r w:rsidRPr="00292779">
              <w:rPr>
                <w:color w:val="000000"/>
                <w:sz w:val="18"/>
                <w:szCs w:val="18"/>
              </w:rPr>
              <w:t>0.11 (0.68)</w:t>
            </w:r>
          </w:p>
        </w:tc>
        <w:tc>
          <w:tcPr>
            <w:tcW w:w="620" w:type="dxa"/>
          </w:tcPr>
          <w:p w14:paraId="3EFDC471" w14:textId="77777777" w:rsidR="00D66388" w:rsidRPr="00292779" w:rsidRDefault="00D66388" w:rsidP="0024187D">
            <w:pPr>
              <w:jc w:val="center"/>
              <w:rPr>
                <w:color w:val="000000"/>
                <w:sz w:val="18"/>
                <w:szCs w:val="18"/>
              </w:rPr>
            </w:pPr>
            <w:r w:rsidRPr="00292779">
              <w:rPr>
                <w:color w:val="000000"/>
                <w:sz w:val="18"/>
                <w:szCs w:val="18"/>
              </w:rPr>
              <w:t>-0.10</w:t>
            </w:r>
          </w:p>
        </w:tc>
        <w:tc>
          <w:tcPr>
            <w:tcW w:w="1430" w:type="dxa"/>
            <w:noWrap/>
            <w:hideMark/>
          </w:tcPr>
          <w:p w14:paraId="2865EA4F" w14:textId="77777777" w:rsidR="00D66388" w:rsidRPr="00292779" w:rsidRDefault="00D66388" w:rsidP="0024187D">
            <w:pPr>
              <w:jc w:val="center"/>
              <w:rPr>
                <w:sz w:val="20"/>
                <w:szCs w:val="20"/>
              </w:rPr>
            </w:pPr>
            <w:r w:rsidRPr="00292779">
              <w:rPr>
                <w:color w:val="000000"/>
                <w:sz w:val="18"/>
                <w:szCs w:val="18"/>
              </w:rPr>
              <w:t>-0.22 (0.72)</w:t>
            </w:r>
          </w:p>
        </w:tc>
        <w:tc>
          <w:tcPr>
            <w:tcW w:w="681" w:type="dxa"/>
          </w:tcPr>
          <w:p w14:paraId="68DAA892" w14:textId="77777777" w:rsidR="00D66388" w:rsidRPr="00292779" w:rsidRDefault="00D66388" w:rsidP="0024187D">
            <w:pPr>
              <w:jc w:val="center"/>
              <w:rPr>
                <w:color w:val="000000"/>
                <w:sz w:val="18"/>
                <w:szCs w:val="18"/>
              </w:rPr>
            </w:pPr>
            <w:r w:rsidRPr="00292779">
              <w:rPr>
                <w:color w:val="000000"/>
                <w:sz w:val="18"/>
                <w:szCs w:val="18"/>
              </w:rPr>
              <w:t>-0.58</w:t>
            </w:r>
          </w:p>
        </w:tc>
      </w:tr>
      <w:tr w:rsidR="00D66388" w:rsidRPr="00292779" w14:paraId="44752B9A" w14:textId="77777777" w:rsidTr="0024187D">
        <w:trPr>
          <w:trHeight w:val="207"/>
        </w:trPr>
        <w:tc>
          <w:tcPr>
            <w:tcW w:w="2324" w:type="dxa"/>
            <w:hideMark/>
          </w:tcPr>
          <w:p w14:paraId="3BBB99C5" w14:textId="77777777" w:rsidR="00D66388" w:rsidRPr="00292779" w:rsidRDefault="00D66388" w:rsidP="0024187D">
            <w:pPr>
              <w:rPr>
                <w:color w:val="000000"/>
                <w:sz w:val="18"/>
                <w:szCs w:val="18"/>
              </w:rPr>
            </w:pPr>
            <w:r w:rsidRPr="00292779">
              <w:rPr>
                <w:i/>
                <w:iCs/>
                <w:color w:val="000000"/>
                <w:sz w:val="18"/>
                <w:szCs w:val="18"/>
              </w:rPr>
              <w:t>Physical health</w:t>
            </w:r>
          </w:p>
        </w:tc>
        <w:tc>
          <w:tcPr>
            <w:tcW w:w="1434" w:type="dxa"/>
            <w:noWrap/>
            <w:hideMark/>
          </w:tcPr>
          <w:p w14:paraId="2706DD54" w14:textId="77777777" w:rsidR="00D66388" w:rsidRPr="00292779" w:rsidRDefault="00D66388" w:rsidP="0024187D">
            <w:pPr>
              <w:jc w:val="center"/>
              <w:rPr>
                <w:color w:val="000000"/>
                <w:sz w:val="18"/>
                <w:szCs w:val="18"/>
              </w:rPr>
            </w:pPr>
          </w:p>
        </w:tc>
        <w:tc>
          <w:tcPr>
            <w:tcW w:w="1367" w:type="dxa"/>
            <w:noWrap/>
            <w:hideMark/>
          </w:tcPr>
          <w:p w14:paraId="4D65B349" w14:textId="77777777" w:rsidR="00D66388" w:rsidRPr="00292779" w:rsidRDefault="00D66388" w:rsidP="0024187D">
            <w:pPr>
              <w:jc w:val="center"/>
              <w:rPr>
                <w:sz w:val="20"/>
                <w:szCs w:val="20"/>
              </w:rPr>
            </w:pPr>
          </w:p>
        </w:tc>
        <w:tc>
          <w:tcPr>
            <w:tcW w:w="816" w:type="dxa"/>
            <w:gridSpan w:val="2"/>
          </w:tcPr>
          <w:p w14:paraId="519BD435" w14:textId="77777777" w:rsidR="00D66388" w:rsidRPr="00292779" w:rsidRDefault="00D66388" w:rsidP="0024187D">
            <w:pPr>
              <w:jc w:val="center"/>
              <w:rPr>
                <w:sz w:val="20"/>
                <w:szCs w:val="20"/>
              </w:rPr>
            </w:pPr>
          </w:p>
        </w:tc>
        <w:tc>
          <w:tcPr>
            <w:tcW w:w="1370" w:type="dxa"/>
            <w:noWrap/>
            <w:hideMark/>
          </w:tcPr>
          <w:p w14:paraId="6228C32D" w14:textId="77777777" w:rsidR="00D66388" w:rsidRPr="00292779" w:rsidRDefault="00D66388" w:rsidP="0024187D">
            <w:pPr>
              <w:jc w:val="center"/>
              <w:rPr>
                <w:sz w:val="20"/>
                <w:szCs w:val="20"/>
              </w:rPr>
            </w:pPr>
          </w:p>
        </w:tc>
        <w:tc>
          <w:tcPr>
            <w:tcW w:w="681" w:type="dxa"/>
          </w:tcPr>
          <w:p w14:paraId="50D491F4" w14:textId="77777777" w:rsidR="00D66388" w:rsidRPr="00292779" w:rsidRDefault="00D66388" w:rsidP="0024187D">
            <w:pPr>
              <w:jc w:val="center"/>
              <w:rPr>
                <w:sz w:val="20"/>
                <w:szCs w:val="20"/>
              </w:rPr>
            </w:pPr>
          </w:p>
        </w:tc>
        <w:tc>
          <w:tcPr>
            <w:tcW w:w="1370" w:type="dxa"/>
            <w:noWrap/>
            <w:hideMark/>
          </w:tcPr>
          <w:p w14:paraId="05F01A1B" w14:textId="77777777" w:rsidR="00D66388" w:rsidRPr="00292779" w:rsidRDefault="00D66388" w:rsidP="0024187D">
            <w:pPr>
              <w:jc w:val="center"/>
              <w:rPr>
                <w:sz w:val="20"/>
                <w:szCs w:val="20"/>
              </w:rPr>
            </w:pPr>
          </w:p>
        </w:tc>
        <w:tc>
          <w:tcPr>
            <w:tcW w:w="1430" w:type="dxa"/>
            <w:noWrap/>
            <w:hideMark/>
          </w:tcPr>
          <w:p w14:paraId="672636D4" w14:textId="77777777" w:rsidR="00D66388" w:rsidRPr="00292779" w:rsidRDefault="00D66388" w:rsidP="0024187D">
            <w:pPr>
              <w:jc w:val="center"/>
              <w:rPr>
                <w:sz w:val="20"/>
                <w:szCs w:val="20"/>
              </w:rPr>
            </w:pPr>
          </w:p>
        </w:tc>
        <w:tc>
          <w:tcPr>
            <w:tcW w:w="620" w:type="dxa"/>
          </w:tcPr>
          <w:p w14:paraId="4012459F" w14:textId="77777777" w:rsidR="00D66388" w:rsidRPr="00292779" w:rsidRDefault="00D66388" w:rsidP="0024187D">
            <w:pPr>
              <w:jc w:val="center"/>
              <w:rPr>
                <w:sz w:val="20"/>
                <w:szCs w:val="20"/>
              </w:rPr>
            </w:pPr>
          </w:p>
        </w:tc>
        <w:tc>
          <w:tcPr>
            <w:tcW w:w="1430" w:type="dxa"/>
            <w:noWrap/>
            <w:hideMark/>
          </w:tcPr>
          <w:p w14:paraId="1805C01A" w14:textId="77777777" w:rsidR="00D66388" w:rsidRPr="00292779" w:rsidRDefault="00D66388" w:rsidP="0024187D">
            <w:pPr>
              <w:jc w:val="center"/>
              <w:rPr>
                <w:sz w:val="20"/>
                <w:szCs w:val="20"/>
              </w:rPr>
            </w:pPr>
          </w:p>
        </w:tc>
        <w:tc>
          <w:tcPr>
            <w:tcW w:w="681" w:type="dxa"/>
          </w:tcPr>
          <w:p w14:paraId="2FA76908" w14:textId="77777777" w:rsidR="00D66388" w:rsidRPr="00292779" w:rsidRDefault="00D66388" w:rsidP="0024187D">
            <w:pPr>
              <w:jc w:val="center"/>
              <w:rPr>
                <w:sz w:val="20"/>
                <w:szCs w:val="20"/>
              </w:rPr>
            </w:pPr>
          </w:p>
        </w:tc>
      </w:tr>
      <w:tr w:rsidR="00D66388" w:rsidRPr="00292779" w14:paraId="1937FBC0" w14:textId="77777777" w:rsidTr="0024187D">
        <w:trPr>
          <w:trHeight w:val="207"/>
        </w:trPr>
        <w:tc>
          <w:tcPr>
            <w:tcW w:w="2324" w:type="dxa"/>
            <w:hideMark/>
          </w:tcPr>
          <w:p w14:paraId="5E1688A9" w14:textId="77777777" w:rsidR="00D66388" w:rsidRPr="00292779" w:rsidRDefault="00D66388" w:rsidP="0024187D">
            <w:pPr>
              <w:rPr>
                <w:color w:val="000000"/>
                <w:sz w:val="18"/>
                <w:szCs w:val="18"/>
              </w:rPr>
            </w:pPr>
            <w:r w:rsidRPr="00292779">
              <w:rPr>
                <w:color w:val="000000"/>
                <w:sz w:val="18"/>
                <w:szCs w:val="18"/>
              </w:rPr>
              <w:t xml:space="preserve">   </w:t>
            </w:r>
            <w:proofErr w:type="spellStart"/>
            <w:r w:rsidRPr="00292779">
              <w:rPr>
                <w:color w:val="000000"/>
                <w:sz w:val="18"/>
                <w:szCs w:val="18"/>
              </w:rPr>
              <w:t>MAQ</w:t>
            </w:r>
            <w:proofErr w:type="spellEnd"/>
          </w:p>
        </w:tc>
        <w:tc>
          <w:tcPr>
            <w:tcW w:w="1434" w:type="dxa"/>
            <w:noWrap/>
            <w:hideMark/>
          </w:tcPr>
          <w:p w14:paraId="2185B3CE" w14:textId="77777777" w:rsidR="00D66388" w:rsidRPr="00292779" w:rsidRDefault="00D66388" w:rsidP="0024187D">
            <w:pPr>
              <w:jc w:val="center"/>
              <w:rPr>
                <w:color w:val="000000"/>
                <w:sz w:val="18"/>
                <w:szCs w:val="18"/>
              </w:rPr>
            </w:pPr>
            <w:r w:rsidRPr="00292779">
              <w:rPr>
                <w:color w:val="000000"/>
                <w:sz w:val="18"/>
                <w:szCs w:val="18"/>
              </w:rPr>
              <w:t>3.36 (5.35)</w:t>
            </w:r>
          </w:p>
        </w:tc>
        <w:tc>
          <w:tcPr>
            <w:tcW w:w="1367" w:type="dxa"/>
            <w:noWrap/>
            <w:hideMark/>
          </w:tcPr>
          <w:p w14:paraId="214FBBB5" w14:textId="77777777" w:rsidR="00D66388" w:rsidRPr="00292779" w:rsidRDefault="00D66388" w:rsidP="0024187D">
            <w:pPr>
              <w:jc w:val="center"/>
              <w:rPr>
                <w:color w:val="000000"/>
                <w:sz w:val="18"/>
                <w:szCs w:val="18"/>
              </w:rPr>
            </w:pPr>
            <w:r w:rsidRPr="00292779">
              <w:rPr>
                <w:color w:val="000000"/>
                <w:sz w:val="18"/>
                <w:szCs w:val="18"/>
              </w:rPr>
              <w:t>4.20 (8.22)</w:t>
            </w:r>
          </w:p>
        </w:tc>
        <w:tc>
          <w:tcPr>
            <w:tcW w:w="816" w:type="dxa"/>
            <w:gridSpan w:val="2"/>
          </w:tcPr>
          <w:p w14:paraId="0AE0C861" w14:textId="77777777" w:rsidR="00D66388" w:rsidRPr="00292779" w:rsidRDefault="00D66388" w:rsidP="0024187D">
            <w:pPr>
              <w:jc w:val="center"/>
              <w:rPr>
                <w:color w:val="000000"/>
                <w:sz w:val="18"/>
                <w:szCs w:val="18"/>
              </w:rPr>
            </w:pPr>
            <w:r w:rsidRPr="00292779">
              <w:rPr>
                <w:color w:val="000000"/>
                <w:sz w:val="18"/>
                <w:szCs w:val="18"/>
              </w:rPr>
              <w:t>0.16</w:t>
            </w:r>
          </w:p>
        </w:tc>
        <w:tc>
          <w:tcPr>
            <w:tcW w:w="1370" w:type="dxa"/>
            <w:noWrap/>
            <w:hideMark/>
          </w:tcPr>
          <w:p w14:paraId="6C73D880" w14:textId="77777777" w:rsidR="00D66388" w:rsidRPr="00292779" w:rsidRDefault="00D66388" w:rsidP="0024187D">
            <w:pPr>
              <w:jc w:val="center"/>
              <w:rPr>
                <w:color w:val="000000"/>
                <w:sz w:val="18"/>
                <w:szCs w:val="18"/>
              </w:rPr>
            </w:pPr>
            <w:r w:rsidRPr="00292779">
              <w:rPr>
                <w:color w:val="000000"/>
                <w:sz w:val="18"/>
                <w:szCs w:val="18"/>
              </w:rPr>
              <w:t>5.31 (8.78)</w:t>
            </w:r>
          </w:p>
        </w:tc>
        <w:tc>
          <w:tcPr>
            <w:tcW w:w="681" w:type="dxa"/>
          </w:tcPr>
          <w:p w14:paraId="3345873C" w14:textId="77777777" w:rsidR="00D66388" w:rsidRPr="00292779" w:rsidRDefault="00D66388" w:rsidP="0024187D">
            <w:pPr>
              <w:jc w:val="center"/>
              <w:rPr>
                <w:color w:val="000000"/>
                <w:sz w:val="18"/>
                <w:szCs w:val="18"/>
              </w:rPr>
            </w:pPr>
            <w:r w:rsidRPr="00292779">
              <w:rPr>
                <w:color w:val="000000"/>
                <w:sz w:val="18"/>
                <w:szCs w:val="18"/>
              </w:rPr>
              <w:t>0.37</w:t>
            </w:r>
          </w:p>
        </w:tc>
        <w:tc>
          <w:tcPr>
            <w:tcW w:w="1370" w:type="dxa"/>
            <w:noWrap/>
            <w:hideMark/>
          </w:tcPr>
          <w:p w14:paraId="0D61CF75" w14:textId="77777777" w:rsidR="00D66388" w:rsidRPr="00292779" w:rsidRDefault="00D66388" w:rsidP="0024187D">
            <w:pPr>
              <w:jc w:val="center"/>
              <w:rPr>
                <w:color w:val="000000"/>
                <w:sz w:val="18"/>
                <w:szCs w:val="18"/>
              </w:rPr>
            </w:pPr>
            <w:r w:rsidRPr="00292779">
              <w:rPr>
                <w:color w:val="000000"/>
                <w:sz w:val="18"/>
                <w:szCs w:val="18"/>
              </w:rPr>
              <w:t>2.83 (4.31)</w:t>
            </w:r>
          </w:p>
        </w:tc>
        <w:tc>
          <w:tcPr>
            <w:tcW w:w="1430" w:type="dxa"/>
            <w:noWrap/>
            <w:hideMark/>
          </w:tcPr>
          <w:p w14:paraId="7C6079FE" w14:textId="77777777" w:rsidR="00D66388" w:rsidRPr="00292779" w:rsidRDefault="00D66388" w:rsidP="0024187D">
            <w:pPr>
              <w:jc w:val="center"/>
              <w:rPr>
                <w:color w:val="000000"/>
                <w:sz w:val="18"/>
                <w:szCs w:val="18"/>
              </w:rPr>
            </w:pPr>
            <w:r w:rsidRPr="00292779">
              <w:rPr>
                <w:color w:val="000000"/>
                <w:sz w:val="18"/>
                <w:szCs w:val="18"/>
              </w:rPr>
              <w:t>3.40 (5.11)</w:t>
            </w:r>
          </w:p>
        </w:tc>
        <w:tc>
          <w:tcPr>
            <w:tcW w:w="620" w:type="dxa"/>
          </w:tcPr>
          <w:p w14:paraId="1C34F1D9" w14:textId="77777777" w:rsidR="00D66388" w:rsidRPr="00292779" w:rsidRDefault="00D66388" w:rsidP="0024187D">
            <w:pPr>
              <w:jc w:val="center"/>
              <w:rPr>
                <w:color w:val="000000"/>
                <w:sz w:val="18"/>
                <w:szCs w:val="18"/>
              </w:rPr>
            </w:pPr>
            <w:r w:rsidRPr="00292779">
              <w:rPr>
                <w:color w:val="000000"/>
                <w:sz w:val="18"/>
                <w:szCs w:val="18"/>
              </w:rPr>
              <w:t>0.13</w:t>
            </w:r>
          </w:p>
        </w:tc>
        <w:tc>
          <w:tcPr>
            <w:tcW w:w="1430" w:type="dxa"/>
            <w:noWrap/>
            <w:hideMark/>
          </w:tcPr>
          <w:p w14:paraId="362ECCF4" w14:textId="77777777" w:rsidR="00D66388" w:rsidRPr="00292779" w:rsidRDefault="00D66388" w:rsidP="0024187D">
            <w:pPr>
              <w:jc w:val="center"/>
              <w:rPr>
                <w:color w:val="000000"/>
                <w:sz w:val="18"/>
                <w:szCs w:val="18"/>
              </w:rPr>
            </w:pPr>
            <w:r w:rsidRPr="00292779">
              <w:rPr>
                <w:color w:val="000000"/>
                <w:sz w:val="18"/>
                <w:szCs w:val="18"/>
              </w:rPr>
              <w:t>3.58 (3.97)</w:t>
            </w:r>
          </w:p>
        </w:tc>
        <w:tc>
          <w:tcPr>
            <w:tcW w:w="681" w:type="dxa"/>
          </w:tcPr>
          <w:p w14:paraId="3C796C2E" w14:textId="77777777" w:rsidR="00D66388" w:rsidRPr="00292779" w:rsidRDefault="00D66388" w:rsidP="0024187D">
            <w:pPr>
              <w:jc w:val="center"/>
              <w:rPr>
                <w:color w:val="000000"/>
                <w:sz w:val="18"/>
                <w:szCs w:val="18"/>
              </w:rPr>
            </w:pPr>
            <w:r w:rsidRPr="00292779">
              <w:rPr>
                <w:color w:val="000000"/>
                <w:sz w:val="18"/>
                <w:szCs w:val="18"/>
              </w:rPr>
              <w:t>0.17</w:t>
            </w:r>
          </w:p>
        </w:tc>
      </w:tr>
      <w:tr w:rsidR="00D66388" w:rsidRPr="00292779" w14:paraId="3995240B" w14:textId="77777777" w:rsidTr="005F18CB">
        <w:trPr>
          <w:trHeight w:val="207"/>
        </w:trPr>
        <w:tc>
          <w:tcPr>
            <w:tcW w:w="2324" w:type="dxa"/>
            <w:tcBorders>
              <w:bottom w:val="nil"/>
            </w:tcBorders>
            <w:hideMark/>
          </w:tcPr>
          <w:p w14:paraId="13C1C2D4" w14:textId="77777777" w:rsidR="00D66388" w:rsidRPr="00292779" w:rsidRDefault="00D66388" w:rsidP="0024187D">
            <w:pPr>
              <w:rPr>
                <w:color w:val="000000"/>
                <w:sz w:val="18"/>
                <w:szCs w:val="18"/>
              </w:rPr>
            </w:pPr>
            <w:r w:rsidRPr="00292779">
              <w:rPr>
                <w:color w:val="000000"/>
                <w:sz w:val="18"/>
                <w:szCs w:val="18"/>
              </w:rPr>
              <w:t xml:space="preserve">   </w:t>
            </w:r>
            <w:proofErr w:type="spellStart"/>
            <w:r w:rsidRPr="00292779">
              <w:rPr>
                <w:color w:val="000000"/>
                <w:sz w:val="18"/>
                <w:szCs w:val="18"/>
              </w:rPr>
              <w:t>PHQ</w:t>
            </w:r>
            <w:proofErr w:type="spellEnd"/>
          </w:p>
        </w:tc>
        <w:tc>
          <w:tcPr>
            <w:tcW w:w="1434" w:type="dxa"/>
            <w:tcBorders>
              <w:bottom w:val="nil"/>
            </w:tcBorders>
            <w:noWrap/>
            <w:hideMark/>
          </w:tcPr>
          <w:p w14:paraId="0B5BFCD6" w14:textId="77777777" w:rsidR="00D66388" w:rsidRPr="00292779" w:rsidRDefault="00D66388" w:rsidP="0024187D">
            <w:pPr>
              <w:jc w:val="center"/>
              <w:rPr>
                <w:color w:val="000000"/>
                <w:sz w:val="18"/>
                <w:szCs w:val="18"/>
              </w:rPr>
            </w:pPr>
            <w:r w:rsidRPr="00292779">
              <w:rPr>
                <w:color w:val="000000"/>
                <w:sz w:val="18"/>
                <w:szCs w:val="18"/>
              </w:rPr>
              <w:t>9.30 (5.37)</w:t>
            </w:r>
          </w:p>
        </w:tc>
        <w:tc>
          <w:tcPr>
            <w:tcW w:w="1367" w:type="dxa"/>
            <w:tcBorders>
              <w:bottom w:val="nil"/>
            </w:tcBorders>
            <w:noWrap/>
            <w:hideMark/>
          </w:tcPr>
          <w:p w14:paraId="62FF4B99" w14:textId="77777777" w:rsidR="00D66388" w:rsidRPr="00292779" w:rsidRDefault="00D66388" w:rsidP="0024187D">
            <w:pPr>
              <w:jc w:val="center"/>
              <w:rPr>
                <w:color w:val="000000"/>
                <w:sz w:val="18"/>
                <w:szCs w:val="18"/>
              </w:rPr>
            </w:pPr>
            <w:r w:rsidRPr="00292779">
              <w:rPr>
                <w:color w:val="000000"/>
                <w:sz w:val="18"/>
                <w:szCs w:val="18"/>
              </w:rPr>
              <w:t>7.97 (5.01)</w:t>
            </w:r>
          </w:p>
        </w:tc>
        <w:tc>
          <w:tcPr>
            <w:tcW w:w="816" w:type="dxa"/>
            <w:gridSpan w:val="2"/>
            <w:tcBorders>
              <w:bottom w:val="nil"/>
            </w:tcBorders>
          </w:tcPr>
          <w:p w14:paraId="77040CB6" w14:textId="77777777" w:rsidR="00D66388" w:rsidRPr="00292779" w:rsidRDefault="00D66388" w:rsidP="0024187D">
            <w:pPr>
              <w:jc w:val="center"/>
              <w:rPr>
                <w:color w:val="000000"/>
                <w:sz w:val="18"/>
                <w:szCs w:val="18"/>
              </w:rPr>
            </w:pPr>
            <w:r w:rsidRPr="00292779">
              <w:rPr>
                <w:color w:val="000000"/>
                <w:sz w:val="18"/>
                <w:szCs w:val="18"/>
              </w:rPr>
              <w:t>-0.25</w:t>
            </w:r>
          </w:p>
        </w:tc>
        <w:tc>
          <w:tcPr>
            <w:tcW w:w="1370" w:type="dxa"/>
            <w:tcBorders>
              <w:bottom w:val="nil"/>
            </w:tcBorders>
            <w:noWrap/>
            <w:hideMark/>
          </w:tcPr>
          <w:p w14:paraId="7168A40A" w14:textId="77777777" w:rsidR="00D66388" w:rsidRPr="00292779" w:rsidRDefault="00D66388" w:rsidP="0024187D">
            <w:pPr>
              <w:jc w:val="center"/>
              <w:rPr>
                <w:color w:val="000000"/>
                <w:sz w:val="18"/>
                <w:szCs w:val="18"/>
              </w:rPr>
            </w:pPr>
            <w:r w:rsidRPr="00292779">
              <w:rPr>
                <w:color w:val="000000"/>
                <w:sz w:val="18"/>
                <w:szCs w:val="18"/>
              </w:rPr>
              <w:t>6.42 (4.88)</w:t>
            </w:r>
          </w:p>
        </w:tc>
        <w:tc>
          <w:tcPr>
            <w:tcW w:w="681" w:type="dxa"/>
            <w:tcBorders>
              <w:bottom w:val="nil"/>
            </w:tcBorders>
          </w:tcPr>
          <w:p w14:paraId="566A12A3" w14:textId="77777777" w:rsidR="00D66388" w:rsidRPr="00292779" w:rsidRDefault="00D66388" w:rsidP="0024187D">
            <w:pPr>
              <w:jc w:val="center"/>
              <w:rPr>
                <w:color w:val="000000"/>
                <w:sz w:val="18"/>
                <w:szCs w:val="18"/>
              </w:rPr>
            </w:pPr>
            <w:r w:rsidRPr="00292779">
              <w:rPr>
                <w:color w:val="000000"/>
                <w:sz w:val="18"/>
                <w:szCs w:val="18"/>
              </w:rPr>
              <w:t>-0.54</w:t>
            </w:r>
          </w:p>
        </w:tc>
        <w:tc>
          <w:tcPr>
            <w:tcW w:w="1370" w:type="dxa"/>
            <w:tcBorders>
              <w:bottom w:val="nil"/>
            </w:tcBorders>
            <w:noWrap/>
            <w:hideMark/>
          </w:tcPr>
          <w:p w14:paraId="3E59CC8F" w14:textId="77777777" w:rsidR="00D66388" w:rsidRPr="00292779" w:rsidRDefault="00D66388" w:rsidP="0024187D">
            <w:pPr>
              <w:jc w:val="center"/>
              <w:rPr>
                <w:color w:val="000000"/>
                <w:sz w:val="18"/>
                <w:szCs w:val="18"/>
              </w:rPr>
            </w:pPr>
            <w:r w:rsidRPr="00292779">
              <w:rPr>
                <w:color w:val="000000"/>
                <w:sz w:val="18"/>
                <w:szCs w:val="18"/>
              </w:rPr>
              <w:t>8.58 (4.40)</w:t>
            </w:r>
          </w:p>
        </w:tc>
        <w:tc>
          <w:tcPr>
            <w:tcW w:w="1430" w:type="dxa"/>
            <w:tcBorders>
              <w:bottom w:val="nil"/>
            </w:tcBorders>
            <w:noWrap/>
            <w:hideMark/>
          </w:tcPr>
          <w:p w14:paraId="16095F85" w14:textId="77777777" w:rsidR="00D66388" w:rsidRPr="00292779" w:rsidRDefault="00D66388" w:rsidP="0024187D">
            <w:pPr>
              <w:jc w:val="center"/>
              <w:rPr>
                <w:color w:val="000000"/>
                <w:sz w:val="18"/>
                <w:szCs w:val="18"/>
              </w:rPr>
            </w:pPr>
            <w:r w:rsidRPr="00292779">
              <w:rPr>
                <w:color w:val="000000"/>
                <w:sz w:val="18"/>
                <w:szCs w:val="18"/>
              </w:rPr>
              <w:t>7.01 (4.33)</w:t>
            </w:r>
          </w:p>
        </w:tc>
        <w:tc>
          <w:tcPr>
            <w:tcW w:w="620" w:type="dxa"/>
            <w:tcBorders>
              <w:bottom w:val="nil"/>
            </w:tcBorders>
          </w:tcPr>
          <w:p w14:paraId="00A2356E" w14:textId="77777777" w:rsidR="00D66388" w:rsidRPr="00292779" w:rsidRDefault="00D66388" w:rsidP="0024187D">
            <w:pPr>
              <w:jc w:val="center"/>
              <w:rPr>
                <w:color w:val="000000"/>
                <w:sz w:val="18"/>
                <w:szCs w:val="18"/>
              </w:rPr>
            </w:pPr>
            <w:r w:rsidRPr="00292779">
              <w:rPr>
                <w:color w:val="000000"/>
                <w:sz w:val="18"/>
                <w:szCs w:val="18"/>
              </w:rPr>
              <w:t>-0.36</w:t>
            </w:r>
          </w:p>
        </w:tc>
        <w:tc>
          <w:tcPr>
            <w:tcW w:w="1430" w:type="dxa"/>
            <w:tcBorders>
              <w:bottom w:val="nil"/>
            </w:tcBorders>
            <w:noWrap/>
            <w:hideMark/>
          </w:tcPr>
          <w:p w14:paraId="69E874B5" w14:textId="77777777" w:rsidR="00D66388" w:rsidRPr="00292779" w:rsidRDefault="00D66388" w:rsidP="0024187D">
            <w:pPr>
              <w:jc w:val="center"/>
              <w:rPr>
                <w:color w:val="000000"/>
                <w:sz w:val="18"/>
                <w:szCs w:val="18"/>
              </w:rPr>
            </w:pPr>
            <w:r w:rsidRPr="00292779">
              <w:rPr>
                <w:color w:val="000000"/>
                <w:sz w:val="18"/>
                <w:szCs w:val="18"/>
              </w:rPr>
              <w:t>6.00 (5.09)</w:t>
            </w:r>
          </w:p>
        </w:tc>
        <w:tc>
          <w:tcPr>
            <w:tcW w:w="681" w:type="dxa"/>
            <w:tcBorders>
              <w:bottom w:val="nil"/>
            </w:tcBorders>
          </w:tcPr>
          <w:p w14:paraId="15D222FE" w14:textId="77777777" w:rsidR="00D66388" w:rsidRPr="00292779" w:rsidRDefault="00D66388" w:rsidP="0024187D">
            <w:pPr>
              <w:jc w:val="center"/>
              <w:rPr>
                <w:color w:val="000000"/>
                <w:sz w:val="18"/>
                <w:szCs w:val="18"/>
              </w:rPr>
            </w:pPr>
            <w:r w:rsidRPr="00292779">
              <w:rPr>
                <w:color w:val="000000"/>
                <w:sz w:val="18"/>
                <w:szCs w:val="18"/>
              </w:rPr>
              <w:t>-0.59</w:t>
            </w:r>
          </w:p>
        </w:tc>
      </w:tr>
      <w:tr w:rsidR="00D66388" w:rsidRPr="00292779" w14:paraId="2666A173" w14:textId="77777777" w:rsidTr="005F18CB">
        <w:trPr>
          <w:trHeight w:val="207"/>
        </w:trPr>
        <w:tc>
          <w:tcPr>
            <w:tcW w:w="2324" w:type="dxa"/>
            <w:tcBorders>
              <w:top w:val="nil"/>
              <w:bottom w:val="nil"/>
            </w:tcBorders>
            <w:hideMark/>
          </w:tcPr>
          <w:p w14:paraId="2994958F"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tcBorders>
              <w:top w:val="nil"/>
              <w:bottom w:val="nil"/>
            </w:tcBorders>
            <w:noWrap/>
            <w:hideMark/>
          </w:tcPr>
          <w:p w14:paraId="443A6771" w14:textId="77777777" w:rsidR="00D66388" w:rsidRPr="00292779" w:rsidRDefault="00D66388" w:rsidP="0024187D">
            <w:pPr>
              <w:jc w:val="center"/>
              <w:rPr>
                <w:color w:val="000000"/>
                <w:sz w:val="18"/>
                <w:szCs w:val="18"/>
              </w:rPr>
            </w:pPr>
            <w:r w:rsidRPr="00292779">
              <w:rPr>
                <w:color w:val="000000"/>
                <w:sz w:val="18"/>
                <w:szCs w:val="18"/>
              </w:rPr>
              <w:t>0.20 (0.68)</w:t>
            </w:r>
          </w:p>
        </w:tc>
        <w:tc>
          <w:tcPr>
            <w:tcW w:w="1367" w:type="dxa"/>
            <w:tcBorders>
              <w:top w:val="nil"/>
              <w:bottom w:val="nil"/>
            </w:tcBorders>
            <w:noWrap/>
            <w:hideMark/>
          </w:tcPr>
          <w:p w14:paraId="0F9F2163" w14:textId="77777777" w:rsidR="00D66388" w:rsidRPr="00292779" w:rsidRDefault="00D66388" w:rsidP="0024187D">
            <w:pPr>
              <w:jc w:val="center"/>
              <w:rPr>
                <w:sz w:val="20"/>
                <w:szCs w:val="20"/>
              </w:rPr>
            </w:pPr>
            <w:r w:rsidRPr="00292779">
              <w:rPr>
                <w:color w:val="000000"/>
                <w:sz w:val="18"/>
                <w:szCs w:val="18"/>
              </w:rPr>
              <w:t>0.01 (0.87)</w:t>
            </w:r>
          </w:p>
        </w:tc>
        <w:tc>
          <w:tcPr>
            <w:tcW w:w="816" w:type="dxa"/>
            <w:gridSpan w:val="2"/>
            <w:tcBorders>
              <w:top w:val="nil"/>
              <w:bottom w:val="nil"/>
            </w:tcBorders>
          </w:tcPr>
          <w:p w14:paraId="66D08371" w14:textId="77777777" w:rsidR="00D66388" w:rsidRPr="00292779" w:rsidRDefault="00D66388" w:rsidP="0024187D">
            <w:pPr>
              <w:jc w:val="center"/>
              <w:rPr>
                <w:color w:val="000000"/>
                <w:sz w:val="18"/>
                <w:szCs w:val="18"/>
              </w:rPr>
            </w:pPr>
            <w:r w:rsidRPr="00292779">
              <w:rPr>
                <w:color w:val="000000"/>
                <w:sz w:val="18"/>
                <w:szCs w:val="18"/>
              </w:rPr>
              <w:t>-0.27</w:t>
            </w:r>
          </w:p>
        </w:tc>
        <w:tc>
          <w:tcPr>
            <w:tcW w:w="1370" w:type="dxa"/>
            <w:tcBorders>
              <w:top w:val="nil"/>
              <w:bottom w:val="nil"/>
            </w:tcBorders>
            <w:noWrap/>
            <w:hideMark/>
          </w:tcPr>
          <w:p w14:paraId="684F73E5" w14:textId="77777777" w:rsidR="00D66388" w:rsidRPr="00292779" w:rsidRDefault="00D66388" w:rsidP="0024187D">
            <w:pPr>
              <w:jc w:val="center"/>
              <w:rPr>
                <w:sz w:val="20"/>
                <w:szCs w:val="20"/>
              </w:rPr>
            </w:pPr>
            <w:r w:rsidRPr="00292779">
              <w:rPr>
                <w:color w:val="000000"/>
                <w:sz w:val="18"/>
                <w:szCs w:val="18"/>
              </w:rPr>
              <w:t>-0.25 (0.93)</w:t>
            </w:r>
          </w:p>
        </w:tc>
        <w:tc>
          <w:tcPr>
            <w:tcW w:w="681" w:type="dxa"/>
            <w:tcBorders>
              <w:top w:val="nil"/>
              <w:bottom w:val="nil"/>
            </w:tcBorders>
          </w:tcPr>
          <w:p w14:paraId="4B1DFCF8" w14:textId="77777777" w:rsidR="00D66388" w:rsidRPr="00292779" w:rsidRDefault="00D66388" w:rsidP="0024187D">
            <w:pPr>
              <w:jc w:val="center"/>
              <w:rPr>
                <w:color w:val="000000"/>
                <w:sz w:val="18"/>
                <w:szCs w:val="18"/>
              </w:rPr>
            </w:pPr>
            <w:r w:rsidRPr="00292779">
              <w:rPr>
                <w:color w:val="000000"/>
                <w:sz w:val="18"/>
                <w:szCs w:val="18"/>
              </w:rPr>
              <w:t>-0.67</w:t>
            </w:r>
          </w:p>
        </w:tc>
        <w:tc>
          <w:tcPr>
            <w:tcW w:w="1370" w:type="dxa"/>
            <w:tcBorders>
              <w:top w:val="nil"/>
              <w:bottom w:val="nil"/>
            </w:tcBorders>
            <w:noWrap/>
            <w:hideMark/>
          </w:tcPr>
          <w:p w14:paraId="587E9BB2" w14:textId="77777777" w:rsidR="00D66388" w:rsidRPr="00292779" w:rsidRDefault="00D66388" w:rsidP="0024187D">
            <w:pPr>
              <w:jc w:val="center"/>
              <w:rPr>
                <w:sz w:val="20"/>
                <w:szCs w:val="20"/>
              </w:rPr>
            </w:pPr>
            <w:r w:rsidRPr="00292779">
              <w:rPr>
                <w:color w:val="000000"/>
                <w:sz w:val="18"/>
                <w:szCs w:val="18"/>
              </w:rPr>
              <w:t>0.18 (0.58)</w:t>
            </w:r>
          </w:p>
        </w:tc>
        <w:tc>
          <w:tcPr>
            <w:tcW w:w="1430" w:type="dxa"/>
            <w:tcBorders>
              <w:top w:val="nil"/>
              <w:bottom w:val="nil"/>
            </w:tcBorders>
            <w:noWrap/>
            <w:hideMark/>
          </w:tcPr>
          <w:p w14:paraId="0C27E132" w14:textId="77777777" w:rsidR="00D66388" w:rsidRPr="00292779" w:rsidRDefault="00D66388" w:rsidP="0024187D">
            <w:pPr>
              <w:jc w:val="center"/>
              <w:rPr>
                <w:sz w:val="20"/>
                <w:szCs w:val="20"/>
              </w:rPr>
            </w:pPr>
            <w:r w:rsidRPr="00292779">
              <w:rPr>
                <w:color w:val="000000"/>
                <w:sz w:val="18"/>
                <w:szCs w:val="18"/>
              </w:rPr>
              <w:t>-0.02 (0.57)</w:t>
            </w:r>
          </w:p>
        </w:tc>
        <w:tc>
          <w:tcPr>
            <w:tcW w:w="620" w:type="dxa"/>
            <w:tcBorders>
              <w:top w:val="nil"/>
              <w:bottom w:val="nil"/>
            </w:tcBorders>
          </w:tcPr>
          <w:p w14:paraId="70F6F35C" w14:textId="77777777" w:rsidR="00D66388" w:rsidRPr="00292779" w:rsidRDefault="00D66388" w:rsidP="0024187D">
            <w:pPr>
              <w:jc w:val="center"/>
              <w:rPr>
                <w:color w:val="000000"/>
                <w:sz w:val="18"/>
                <w:szCs w:val="18"/>
              </w:rPr>
            </w:pPr>
            <w:r w:rsidRPr="00292779">
              <w:rPr>
                <w:color w:val="000000"/>
                <w:sz w:val="18"/>
                <w:szCs w:val="18"/>
              </w:rPr>
              <w:t>-0.34</w:t>
            </w:r>
          </w:p>
        </w:tc>
        <w:tc>
          <w:tcPr>
            <w:tcW w:w="1430" w:type="dxa"/>
            <w:tcBorders>
              <w:top w:val="nil"/>
              <w:bottom w:val="nil"/>
            </w:tcBorders>
            <w:noWrap/>
            <w:hideMark/>
          </w:tcPr>
          <w:p w14:paraId="4CE2F31A" w14:textId="77777777" w:rsidR="00D66388" w:rsidRPr="00292779" w:rsidRDefault="00D66388" w:rsidP="0024187D">
            <w:pPr>
              <w:jc w:val="center"/>
              <w:rPr>
                <w:sz w:val="20"/>
                <w:szCs w:val="20"/>
              </w:rPr>
            </w:pPr>
            <w:r w:rsidRPr="00292779">
              <w:rPr>
                <w:color w:val="000000"/>
                <w:sz w:val="18"/>
                <w:szCs w:val="18"/>
              </w:rPr>
              <w:t>-0.15 (0.63)</w:t>
            </w:r>
          </w:p>
        </w:tc>
        <w:tc>
          <w:tcPr>
            <w:tcW w:w="681" w:type="dxa"/>
            <w:tcBorders>
              <w:top w:val="nil"/>
              <w:bottom w:val="nil"/>
            </w:tcBorders>
          </w:tcPr>
          <w:p w14:paraId="39950ED4" w14:textId="77777777" w:rsidR="00D66388" w:rsidRPr="00292779" w:rsidRDefault="00D66388" w:rsidP="0024187D">
            <w:pPr>
              <w:jc w:val="center"/>
              <w:rPr>
                <w:color w:val="000000"/>
                <w:sz w:val="18"/>
                <w:szCs w:val="18"/>
              </w:rPr>
            </w:pPr>
            <w:r w:rsidRPr="00292779">
              <w:rPr>
                <w:color w:val="000000"/>
                <w:sz w:val="18"/>
                <w:szCs w:val="18"/>
              </w:rPr>
              <w:t>-0.56</w:t>
            </w:r>
          </w:p>
        </w:tc>
      </w:tr>
      <w:tr w:rsidR="00D66388" w:rsidRPr="00292779" w14:paraId="41B04E67" w14:textId="77777777" w:rsidTr="005F18CB">
        <w:trPr>
          <w:trHeight w:val="207"/>
        </w:trPr>
        <w:tc>
          <w:tcPr>
            <w:tcW w:w="2324" w:type="dxa"/>
            <w:tcBorders>
              <w:top w:val="nil"/>
              <w:bottom w:val="nil"/>
            </w:tcBorders>
          </w:tcPr>
          <w:p w14:paraId="4A4C88BA" w14:textId="77777777" w:rsidR="00D66388" w:rsidRPr="00292779" w:rsidRDefault="00D66388" w:rsidP="0024187D">
            <w:pPr>
              <w:rPr>
                <w:color w:val="000000"/>
                <w:sz w:val="18"/>
                <w:szCs w:val="18"/>
              </w:rPr>
            </w:pPr>
          </w:p>
        </w:tc>
        <w:tc>
          <w:tcPr>
            <w:tcW w:w="1434" w:type="dxa"/>
            <w:tcBorders>
              <w:top w:val="nil"/>
              <w:bottom w:val="nil"/>
            </w:tcBorders>
            <w:noWrap/>
          </w:tcPr>
          <w:p w14:paraId="75261A23" w14:textId="77777777" w:rsidR="00D66388" w:rsidRPr="00292779" w:rsidRDefault="00D66388" w:rsidP="0024187D">
            <w:pPr>
              <w:jc w:val="center"/>
              <w:rPr>
                <w:color w:val="000000"/>
                <w:sz w:val="18"/>
                <w:szCs w:val="18"/>
              </w:rPr>
            </w:pPr>
          </w:p>
        </w:tc>
        <w:tc>
          <w:tcPr>
            <w:tcW w:w="1367" w:type="dxa"/>
            <w:tcBorders>
              <w:top w:val="nil"/>
              <w:bottom w:val="nil"/>
            </w:tcBorders>
            <w:noWrap/>
          </w:tcPr>
          <w:p w14:paraId="51C5B75C" w14:textId="77777777" w:rsidR="00D66388" w:rsidRPr="00292779" w:rsidRDefault="00D66388" w:rsidP="0024187D">
            <w:pPr>
              <w:jc w:val="center"/>
              <w:rPr>
                <w:color w:val="000000"/>
                <w:sz w:val="18"/>
                <w:szCs w:val="18"/>
              </w:rPr>
            </w:pPr>
          </w:p>
        </w:tc>
        <w:tc>
          <w:tcPr>
            <w:tcW w:w="816" w:type="dxa"/>
            <w:gridSpan w:val="2"/>
            <w:tcBorders>
              <w:top w:val="nil"/>
              <w:bottom w:val="nil"/>
            </w:tcBorders>
          </w:tcPr>
          <w:p w14:paraId="29182DFF" w14:textId="77777777" w:rsidR="00D66388" w:rsidRPr="00292779" w:rsidRDefault="00D66388" w:rsidP="0024187D">
            <w:pPr>
              <w:jc w:val="center"/>
              <w:rPr>
                <w:color w:val="000000"/>
                <w:sz w:val="18"/>
                <w:szCs w:val="18"/>
              </w:rPr>
            </w:pPr>
          </w:p>
        </w:tc>
        <w:tc>
          <w:tcPr>
            <w:tcW w:w="1370" w:type="dxa"/>
            <w:tcBorders>
              <w:top w:val="nil"/>
              <w:bottom w:val="nil"/>
            </w:tcBorders>
            <w:noWrap/>
          </w:tcPr>
          <w:p w14:paraId="1FA966DB" w14:textId="77777777" w:rsidR="00D66388" w:rsidRPr="00292779" w:rsidRDefault="00D66388" w:rsidP="0024187D">
            <w:pPr>
              <w:jc w:val="center"/>
              <w:rPr>
                <w:color w:val="000000"/>
                <w:sz w:val="18"/>
                <w:szCs w:val="18"/>
              </w:rPr>
            </w:pPr>
          </w:p>
        </w:tc>
        <w:tc>
          <w:tcPr>
            <w:tcW w:w="681" w:type="dxa"/>
            <w:tcBorders>
              <w:top w:val="nil"/>
              <w:bottom w:val="nil"/>
            </w:tcBorders>
          </w:tcPr>
          <w:p w14:paraId="40DBA385" w14:textId="77777777" w:rsidR="00D66388" w:rsidRPr="00292779" w:rsidRDefault="00D66388" w:rsidP="0024187D">
            <w:pPr>
              <w:jc w:val="center"/>
              <w:rPr>
                <w:color w:val="000000"/>
                <w:sz w:val="18"/>
                <w:szCs w:val="18"/>
              </w:rPr>
            </w:pPr>
          </w:p>
        </w:tc>
        <w:tc>
          <w:tcPr>
            <w:tcW w:w="1370" w:type="dxa"/>
            <w:tcBorders>
              <w:top w:val="nil"/>
              <w:bottom w:val="nil"/>
            </w:tcBorders>
            <w:noWrap/>
          </w:tcPr>
          <w:p w14:paraId="451CF57D" w14:textId="77777777" w:rsidR="00D66388" w:rsidRPr="00292779" w:rsidRDefault="00D66388" w:rsidP="0024187D">
            <w:pPr>
              <w:jc w:val="center"/>
              <w:rPr>
                <w:color w:val="000000"/>
                <w:sz w:val="18"/>
                <w:szCs w:val="18"/>
              </w:rPr>
            </w:pPr>
          </w:p>
        </w:tc>
        <w:tc>
          <w:tcPr>
            <w:tcW w:w="1430" w:type="dxa"/>
            <w:tcBorders>
              <w:top w:val="nil"/>
              <w:bottom w:val="nil"/>
            </w:tcBorders>
            <w:noWrap/>
          </w:tcPr>
          <w:p w14:paraId="0302A3E4" w14:textId="77777777" w:rsidR="00D66388" w:rsidRPr="00292779" w:rsidRDefault="00D66388" w:rsidP="0024187D">
            <w:pPr>
              <w:jc w:val="center"/>
              <w:rPr>
                <w:color w:val="000000"/>
                <w:sz w:val="18"/>
                <w:szCs w:val="18"/>
              </w:rPr>
            </w:pPr>
          </w:p>
        </w:tc>
        <w:tc>
          <w:tcPr>
            <w:tcW w:w="620" w:type="dxa"/>
            <w:tcBorders>
              <w:top w:val="nil"/>
              <w:bottom w:val="nil"/>
            </w:tcBorders>
          </w:tcPr>
          <w:p w14:paraId="17560F63" w14:textId="77777777" w:rsidR="00D66388" w:rsidRPr="00292779" w:rsidRDefault="00D66388" w:rsidP="0024187D">
            <w:pPr>
              <w:jc w:val="center"/>
              <w:rPr>
                <w:color w:val="000000"/>
                <w:sz w:val="18"/>
                <w:szCs w:val="18"/>
              </w:rPr>
            </w:pPr>
          </w:p>
        </w:tc>
        <w:tc>
          <w:tcPr>
            <w:tcW w:w="1430" w:type="dxa"/>
            <w:tcBorders>
              <w:top w:val="nil"/>
              <w:bottom w:val="nil"/>
            </w:tcBorders>
            <w:noWrap/>
          </w:tcPr>
          <w:p w14:paraId="5B990D3A" w14:textId="77777777" w:rsidR="00D66388" w:rsidRPr="00292779" w:rsidRDefault="00D66388" w:rsidP="0024187D">
            <w:pPr>
              <w:jc w:val="center"/>
              <w:rPr>
                <w:color w:val="000000"/>
                <w:sz w:val="18"/>
                <w:szCs w:val="18"/>
              </w:rPr>
            </w:pPr>
          </w:p>
        </w:tc>
        <w:tc>
          <w:tcPr>
            <w:tcW w:w="681" w:type="dxa"/>
            <w:tcBorders>
              <w:top w:val="nil"/>
              <w:bottom w:val="nil"/>
            </w:tcBorders>
          </w:tcPr>
          <w:p w14:paraId="199D46C2" w14:textId="77777777" w:rsidR="00D66388" w:rsidRPr="00292779" w:rsidRDefault="00D66388" w:rsidP="0024187D">
            <w:pPr>
              <w:jc w:val="center"/>
              <w:rPr>
                <w:color w:val="000000"/>
                <w:sz w:val="18"/>
                <w:szCs w:val="18"/>
              </w:rPr>
            </w:pPr>
          </w:p>
        </w:tc>
      </w:tr>
      <w:tr w:rsidR="00D66388" w:rsidRPr="00292779" w14:paraId="15AC7EDC" w14:textId="77777777" w:rsidTr="005F18CB">
        <w:trPr>
          <w:trHeight w:val="207"/>
        </w:trPr>
        <w:tc>
          <w:tcPr>
            <w:tcW w:w="13523" w:type="dxa"/>
            <w:gridSpan w:val="12"/>
            <w:tcBorders>
              <w:top w:val="nil"/>
            </w:tcBorders>
            <w:hideMark/>
          </w:tcPr>
          <w:p w14:paraId="23BC9BAA" w14:textId="77777777" w:rsidR="00D66388" w:rsidRPr="00292779" w:rsidRDefault="00D66388" w:rsidP="0024187D">
            <w:pPr>
              <w:rPr>
                <w:sz w:val="20"/>
                <w:szCs w:val="20"/>
              </w:rPr>
            </w:pPr>
            <w:r w:rsidRPr="00292779">
              <w:rPr>
                <w:color w:val="000000"/>
                <w:sz w:val="18"/>
                <w:szCs w:val="18"/>
                <w:u w:val="single"/>
              </w:rPr>
              <w:t>Parent-Reported Composite Risk Score</w:t>
            </w:r>
          </w:p>
        </w:tc>
      </w:tr>
      <w:tr w:rsidR="00D66388" w:rsidRPr="00292779" w14:paraId="13EE6AA6" w14:textId="77777777" w:rsidTr="0024187D">
        <w:trPr>
          <w:trHeight w:val="207"/>
        </w:trPr>
        <w:tc>
          <w:tcPr>
            <w:tcW w:w="2324" w:type="dxa"/>
          </w:tcPr>
          <w:p w14:paraId="158B76F2" w14:textId="77777777" w:rsidR="00D66388" w:rsidRPr="00292779" w:rsidRDefault="00D66388" w:rsidP="0024187D">
            <w:pPr>
              <w:rPr>
                <w:i/>
                <w:iCs/>
                <w:color w:val="000000"/>
                <w:sz w:val="18"/>
                <w:szCs w:val="18"/>
              </w:rPr>
            </w:pPr>
            <w:r w:rsidRPr="00292779">
              <w:rPr>
                <w:i/>
                <w:iCs/>
                <w:color w:val="000000"/>
                <w:sz w:val="18"/>
                <w:szCs w:val="18"/>
              </w:rPr>
              <w:t>Emotional Health</w:t>
            </w:r>
          </w:p>
        </w:tc>
        <w:tc>
          <w:tcPr>
            <w:tcW w:w="1434" w:type="dxa"/>
          </w:tcPr>
          <w:p w14:paraId="225EDE29" w14:textId="77777777" w:rsidR="00D66388" w:rsidRPr="00292779" w:rsidRDefault="00D66388" w:rsidP="0024187D">
            <w:pPr>
              <w:jc w:val="center"/>
              <w:rPr>
                <w:color w:val="000000"/>
                <w:sz w:val="18"/>
                <w:szCs w:val="18"/>
              </w:rPr>
            </w:pPr>
          </w:p>
        </w:tc>
        <w:tc>
          <w:tcPr>
            <w:tcW w:w="1367" w:type="dxa"/>
          </w:tcPr>
          <w:p w14:paraId="2C7D7FDF" w14:textId="77777777" w:rsidR="00D66388" w:rsidRPr="00292779" w:rsidRDefault="00D66388" w:rsidP="0024187D">
            <w:pPr>
              <w:jc w:val="center"/>
              <w:rPr>
                <w:sz w:val="20"/>
                <w:szCs w:val="20"/>
              </w:rPr>
            </w:pPr>
          </w:p>
        </w:tc>
        <w:tc>
          <w:tcPr>
            <w:tcW w:w="711" w:type="dxa"/>
          </w:tcPr>
          <w:p w14:paraId="659F5198" w14:textId="77777777" w:rsidR="00D66388" w:rsidRPr="00292779" w:rsidRDefault="00D66388" w:rsidP="0024187D">
            <w:pPr>
              <w:jc w:val="center"/>
              <w:rPr>
                <w:sz w:val="20"/>
                <w:szCs w:val="20"/>
              </w:rPr>
            </w:pPr>
          </w:p>
        </w:tc>
        <w:tc>
          <w:tcPr>
            <w:tcW w:w="1475" w:type="dxa"/>
            <w:gridSpan w:val="2"/>
            <w:noWrap/>
          </w:tcPr>
          <w:p w14:paraId="2C0A2E47" w14:textId="77777777" w:rsidR="00D66388" w:rsidRPr="00292779" w:rsidRDefault="00D66388" w:rsidP="0024187D">
            <w:pPr>
              <w:jc w:val="center"/>
              <w:rPr>
                <w:sz w:val="20"/>
                <w:szCs w:val="20"/>
              </w:rPr>
            </w:pPr>
          </w:p>
        </w:tc>
        <w:tc>
          <w:tcPr>
            <w:tcW w:w="681" w:type="dxa"/>
          </w:tcPr>
          <w:p w14:paraId="1D9E2F83" w14:textId="77777777" w:rsidR="00D66388" w:rsidRPr="00292779" w:rsidRDefault="00D66388" w:rsidP="0024187D">
            <w:pPr>
              <w:jc w:val="center"/>
              <w:rPr>
                <w:sz w:val="20"/>
                <w:szCs w:val="20"/>
              </w:rPr>
            </w:pPr>
          </w:p>
        </w:tc>
        <w:tc>
          <w:tcPr>
            <w:tcW w:w="1370" w:type="dxa"/>
          </w:tcPr>
          <w:p w14:paraId="589186A3" w14:textId="77777777" w:rsidR="00D66388" w:rsidRPr="00292779" w:rsidRDefault="00D66388" w:rsidP="0024187D">
            <w:pPr>
              <w:jc w:val="center"/>
              <w:rPr>
                <w:sz w:val="20"/>
                <w:szCs w:val="20"/>
              </w:rPr>
            </w:pPr>
          </w:p>
        </w:tc>
        <w:tc>
          <w:tcPr>
            <w:tcW w:w="1430" w:type="dxa"/>
          </w:tcPr>
          <w:p w14:paraId="61E6F115" w14:textId="77777777" w:rsidR="00D66388" w:rsidRPr="00292779" w:rsidRDefault="00D66388" w:rsidP="0024187D">
            <w:pPr>
              <w:jc w:val="center"/>
              <w:rPr>
                <w:sz w:val="20"/>
                <w:szCs w:val="20"/>
              </w:rPr>
            </w:pPr>
          </w:p>
        </w:tc>
        <w:tc>
          <w:tcPr>
            <w:tcW w:w="620" w:type="dxa"/>
          </w:tcPr>
          <w:p w14:paraId="73BB929C" w14:textId="77777777" w:rsidR="00D66388" w:rsidRPr="00292779" w:rsidRDefault="00D66388" w:rsidP="0024187D">
            <w:pPr>
              <w:jc w:val="center"/>
              <w:rPr>
                <w:sz w:val="20"/>
                <w:szCs w:val="20"/>
              </w:rPr>
            </w:pPr>
          </w:p>
        </w:tc>
        <w:tc>
          <w:tcPr>
            <w:tcW w:w="1430" w:type="dxa"/>
            <w:noWrap/>
          </w:tcPr>
          <w:p w14:paraId="7DF45EA8" w14:textId="77777777" w:rsidR="00D66388" w:rsidRPr="00292779" w:rsidRDefault="00D66388" w:rsidP="0024187D">
            <w:pPr>
              <w:jc w:val="center"/>
              <w:rPr>
                <w:sz w:val="20"/>
                <w:szCs w:val="20"/>
              </w:rPr>
            </w:pPr>
          </w:p>
        </w:tc>
        <w:tc>
          <w:tcPr>
            <w:tcW w:w="681" w:type="dxa"/>
          </w:tcPr>
          <w:p w14:paraId="22E05A21" w14:textId="77777777" w:rsidR="00D66388" w:rsidRPr="00292779" w:rsidRDefault="00D66388" w:rsidP="0024187D">
            <w:pPr>
              <w:jc w:val="center"/>
              <w:rPr>
                <w:sz w:val="20"/>
                <w:szCs w:val="20"/>
              </w:rPr>
            </w:pPr>
          </w:p>
        </w:tc>
      </w:tr>
      <w:tr w:rsidR="00D66388" w:rsidRPr="00292779" w14:paraId="603FC2E5" w14:textId="77777777" w:rsidTr="0024187D">
        <w:trPr>
          <w:trHeight w:val="207"/>
        </w:trPr>
        <w:tc>
          <w:tcPr>
            <w:tcW w:w="2324" w:type="dxa"/>
            <w:hideMark/>
          </w:tcPr>
          <w:p w14:paraId="3C7E20CC" w14:textId="77777777" w:rsidR="00D66388" w:rsidRPr="00292779" w:rsidRDefault="00D66388" w:rsidP="0024187D">
            <w:pPr>
              <w:rPr>
                <w:color w:val="000000"/>
                <w:sz w:val="18"/>
                <w:szCs w:val="18"/>
              </w:rPr>
            </w:pPr>
            <w:r w:rsidRPr="00292779">
              <w:rPr>
                <w:color w:val="000000"/>
                <w:sz w:val="18"/>
                <w:szCs w:val="18"/>
              </w:rPr>
              <w:t xml:space="preserve">  Anxious/Depressed</w:t>
            </w:r>
          </w:p>
        </w:tc>
        <w:tc>
          <w:tcPr>
            <w:tcW w:w="1434" w:type="dxa"/>
            <w:hideMark/>
          </w:tcPr>
          <w:p w14:paraId="4DBCF851" w14:textId="77777777" w:rsidR="00D66388" w:rsidRPr="00292779" w:rsidRDefault="00D66388" w:rsidP="0024187D">
            <w:pPr>
              <w:jc w:val="center"/>
              <w:rPr>
                <w:color w:val="000000"/>
                <w:sz w:val="18"/>
                <w:szCs w:val="18"/>
              </w:rPr>
            </w:pPr>
            <w:r w:rsidRPr="00292779">
              <w:rPr>
                <w:color w:val="000000"/>
                <w:sz w:val="18"/>
                <w:szCs w:val="18"/>
              </w:rPr>
              <w:t>3.13 (3.48)</w:t>
            </w:r>
          </w:p>
        </w:tc>
        <w:tc>
          <w:tcPr>
            <w:tcW w:w="1367" w:type="dxa"/>
            <w:hideMark/>
          </w:tcPr>
          <w:p w14:paraId="658F1CD5" w14:textId="77777777" w:rsidR="00D66388" w:rsidRPr="00292779" w:rsidRDefault="00D66388" w:rsidP="0024187D">
            <w:pPr>
              <w:jc w:val="center"/>
              <w:rPr>
                <w:color w:val="000000"/>
                <w:sz w:val="18"/>
                <w:szCs w:val="18"/>
              </w:rPr>
            </w:pPr>
            <w:r w:rsidRPr="00292779">
              <w:rPr>
                <w:color w:val="000000"/>
                <w:sz w:val="18"/>
                <w:szCs w:val="18"/>
              </w:rPr>
              <w:t>2.61 (2.97)</w:t>
            </w:r>
          </w:p>
        </w:tc>
        <w:tc>
          <w:tcPr>
            <w:tcW w:w="711" w:type="dxa"/>
          </w:tcPr>
          <w:p w14:paraId="3E51F650" w14:textId="77777777" w:rsidR="00D66388" w:rsidRPr="00292779" w:rsidRDefault="00D66388" w:rsidP="0024187D">
            <w:pPr>
              <w:jc w:val="center"/>
              <w:rPr>
                <w:color w:val="000000"/>
                <w:sz w:val="18"/>
                <w:szCs w:val="18"/>
              </w:rPr>
            </w:pPr>
            <w:r w:rsidRPr="00292779">
              <w:rPr>
                <w:color w:val="000000"/>
                <w:sz w:val="18"/>
                <w:szCs w:val="18"/>
              </w:rPr>
              <w:t>-0.15</w:t>
            </w:r>
          </w:p>
        </w:tc>
        <w:tc>
          <w:tcPr>
            <w:tcW w:w="1475" w:type="dxa"/>
            <w:gridSpan w:val="2"/>
            <w:noWrap/>
            <w:hideMark/>
          </w:tcPr>
          <w:p w14:paraId="69633A38" w14:textId="77777777" w:rsidR="00D66388" w:rsidRPr="00292779" w:rsidRDefault="00D66388" w:rsidP="0024187D">
            <w:pPr>
              <w:jc w:val="center"/>
              <w:rPr>
                <w:color w:val="000000"/>
                <w:sz w:val="18"/>
                <w:szCs w:val="18"/>
              </w:rPr>
            </w:pPr>
            <w:r w:rsidRPr="00292779">
              <w:rPr>
                <w:color w:val="000000"/>
                <w:sz w:val="18"/>
                <w:szCs w:val="18"/>
              </w:rPr>
              <w:t>2.79 (3.22)</w:t>
            </w:r>
          </w:p>
        </w:tc>
        <w:tc>
          <w:tcPr>
            <w:tcW w:w="681" w:type="dxa"/>
          </w:tcPr>
          <w:p w14:paraId="1EBD6A69" w14:textId="77777777" w:rsidR="00D66388" w:rsidRPr="00292779" w:rsidRDefault="00D66388" w:rsidP="0024187D">
            <w:pPr>
              <w:jc w:val="center"/>
              <w:rPr>
                <w:color w:val="000000"/>
                <w:sz w:val="18"/>
                <w:szCs w:val="18"/>
              </w:rPr>
            </w:pPr>
            <w:r w:rsidRPr="00292779">
              <w:rPr>
                <w:color w:val="000000"/>
                <w:sz w:val="18"/>
                <w:szCs w:val="18"/>
              </w:rPr>
              <w:t>-0.10</w:t>
            </w:r>
          </w:p>
        </w:tc>
        <w:tc>
          <w:tcPr>
            <w:tcW w:w="1370" w:type="dxa"/>
            <w:hideMark/>
          </w:tcPr>
          <w:p w14:paraId="63A7FF7B" w14:textId="77777777" w:rsidR="00D66388" w:rsidRPr="00292779" w:rsidRDefault="00D66388" w:rsidP="0024187D">
            <w:pPr>
              <w:jc w:val="center"/>
              <w:rPr>
                <w:color w:val="000000"/>
                <w:sz w:val="18"/>
                <w:szCs w:val="18"/>
              </w:rPr>
            </w:pPr>
            <w:r w:rsidRPr="00292779">
              <w:rPr>
                <w:color w:val="000000"/>
                <w:sz w:val="18"/>
                <w:szCs w:val="18"/>
              </w:rPr>
              <w:t>4.11 (3.78)</w:t>
            </w:r>
          </w:p>
        </w:tc>
        <w:tc>
          <w:tcPr>
            <w:tcW w:w="1430" w:type="dxa"/>
            <w:hideMark/>
          </w:tcPr>
          <w:p w14:paraId="3F00FA82" w14:textId="77777777" w:rsidR="00D66388" w:rsidRPr="00292779" w:rsidRDefault="00D66388" w:rsidP="0024187D">
            <w:pPr>
              <w:jc w:val="center"/>
              <w:rPr>
                <w:color w:val="000000"/>
                <w:sz w:val="18"/>
                <w:szCs w:val="18"/>
              </w:rPr>
            </w:pPr>
            <w:r w:rsidRPr="00292779">
              <w:rPr>
                <w:color w:val="000000"/>
                <w:sz w:val="18"/>
                <w:szCs w:val="18"/>
              </w:rPr>
              <w:t>3.61 (3.56)</w:t>
            </w:r>
          </w:p>
        </w:tc>
        <w:tc>
          <w:tcPr>
            <w:tcW w:w="620" w:type="dxa"/>
          </w:tcPr>
          <w:p w14:paraId="23972B7D" w14:textId="77777777" w:rsidR="00D66388" w:rsidRPr="00292779" w:rsidRDefault="00D66388" w:rsidP="0024187D">
            <w:pPr>
              <w:jc w:val="center"/>
              <w:rPr>
                <w:color w:val="000000"/>
                <w:sz w:val="18"/>
                <w:szCs w:val="18"/>
              </w:rPr>
            </w:pPr>
            <w:r w:rsidRPr="00292779">
              <w:rPr>
                <w:color w:val="000000"/>
                <w:sz w:val="18"/>
                <w:szCs w:val="18"/>
              </w:rPr>
              <w:t>-0.13</w:t>
            </w:r>
          </w:p>
        </w:tc>
        <w:tc>
          <w:tcPr>
            <w:tcW w:w="1430" w:type="dxa"/>
            <w:noWrap/>
            <w:hideMark/>
          </w:tcPr>
          <w:p w14:paraId="796C2137" w14:textId="77777777" w:rsidR="00D66388" w:rsidRPr="00292779" w:rsidRDefault="00D66388" w:rsidP="0024187D">
            <w:pPr>
              <w:jc w:val="center"/>
              <w:rPr>
                <w:color w:val="000000"/>
                <w:sz w:val="18"/>
                <w:szCs w:val="18"/>
              </w:rPr>
            </w:pPr>
            <w:r w:rsidRPr="00292779">
              <w:rPr>
                <w:color w:val="000000"/>
                <w:sz w:val="18"/>
                <w:szCs w:val="18"/>
              </w:rPr>
              <w:t>3.36 (2.88)</w:t>
            </w:r>
          </w:p>
        </w:tc>
        <w:tc>
          <w:tcPr>
            <w:tcW w:w="681" w:type="dxa"/>
          </w:tcPr>
          <w:p w14:paraId="44432DC5" w14:textId="77777777" w:rsidR="00D66388" w:rsidRPr="00292779" w:rsidRDefault="00D66388" w:rsidP="0024187D">
            <w:pPr>
              <w:jc w:val="center"/>
              <w:rPr>
                <w:color w:val="000000"/>
                <w:sz w:val="18"/>
                <w:szCs w:val="18"/>
              </w:rPr>
            </w:pPr>
            <w:r w:rsidRPr="00292779">
              <w:rPr>
                <w:color w:val="000000"/>
                <w:sz w:val="18"/>
                <w:szCs w:val="18"/>
              </w:rPr>
              <w:t>-0.20</w:t>
            </w:r>
          </w:p>
        </w:tc>
      </w:tr>
      <w:tr w:rsidR="00D66388" w:rsidRPr="00292779" w14:paraId="69814808" w14:textId="77777777" w:rsidTr="0024187D">
        <w:trPr>
          <w:trHeight w:val="207"/>
        </w:trPr>
        <w:tc>
          <w:tcPr>
            <w:tcW w:w="2324" w:type="dxa"/>
            <w:hideMark/>
          </w:tcPr>
          <w:p w14:paraId="0924AD5A" w14:textId="77777777" w:rsidR="00D66388" w:rsidRPr="00292779" w:rsidRDefault="00D66388" w:rsidP="0024187D">
            <w:pPr>
              <w:rPr>
                <w:color w:val="000000"/>
                <w:sz w:val="18"/>
                <w:szCs w:val="18"/>
              </w:rPr>
            </w:pPr>
            <w:r w:rsidRPr="00292779">
              <w:rPr>
                <w:color w:val="000000"/>
                <w:sz w:val="18"/>
                <w:szCs w:val="18"/>
              </w:rPr>
              <w:t xml:space="preserve">  Withdrawn/Depressed</w:t>
            </w:r>
          </w:p>
        </w:tc>
        <w:tc>
          <w:tcPr>
            <w:tcW w:w="1434" w:type="dxa"/>
            <w:hideMark/>
          </w:tcPr>
          <w:p w14:paraId="5F1B0739" w14:textId="77777777" w:rsidR="00D66388" w:rsidRPr="00292779" w:rsidRDefault="00D66388" w:rsidP="0024187D">
            <w:pPr>
              <w:jc w:val="center"/>
              <w:rPr>
                <w:color w:val="000000"/>
                <w:sz w:val="18"/>
                <w:szCs w:val="18"/>
              </w:rPr>
            </w:pPr>
            <w:r w:rsidRPr="00292779">
              <w:rPr>
                <w:color w:val="000000"/>
                <w:sz w:val="18"/>
                <w:szCs w:val="18"/>
              </w:rPr>
              <w:t>2.83 (2.84)</w:t>
            </w:r>
          </w:p>
        </w:tc>
        <w:tc>
          <w:tcPr>
            <w:tcW w:w="1367" w:type="dxa"/>
            <w:hideMark/>
          </w:tcPr>
          <w:p w14:paraId="2AF0F205" w14:textId="77777777" w:rsidR="00D66388" w:rsidRPr="00292779" w:rsidRDefault="00D66388" w:rsidP="0024187D">
            <w:pPr>
              <w:jc w:val="center"/>
              <w:rPr>
                <w:color w:val="000000"/>
                <w:sz w:val="18"/>
                <w:szCs w:val="18"/>
              </w:rPr>
            </w:pPr>
            <w:r w:rsidRPr="00292779">
              <w:rPr>
                <w:color w:val="000000"/>
                <w:sz w:val="18"/>
                <w:szCs w:val="18"/>
              </w:rPr>
              <w:t>2.49 (2.54)</w:t>
            </w:r>
          </w:p>
        </w:tc>
        <w:tc>
          <w:tcPr>
            <w:tcW w:w="711" w:type="dxa"/>
          </w:tcPr>
          <w:p w14:paraId="78817B43" w14:textId="77777777" w:rsidR="00D66388" w:rsidRPr="00292779" w:rsidRDefault="00D66388" w:rsidP="0024187D">
            <w:pPr>
              <w:jc w:val="center"/>
              <w:rPr>
                <w:color w:val="000000"/>
                <w:sz w:val="18"/>
                <w:szCs w:val="18"/>
              </w:rPr>
            </w:pPr>
            <w:r w:rsidRPr="00292779">
              <w:rPr>
                <w:color w:val="000000"/>
                <w:sz w:val="18"/>
                <w:szCs w:val="18"/>
              </w:rPr>
              <w:t>-0.12</w:t>
            </w:r>
          </w:p>
        </w:tc>
        <w:tc>
          <w:tcPr>
            <w:tcW w:w="1475" w:type="dxa"/>
            <w:gridSpan w:val="2"/>
            <w:noWrap/>
            <w:hideMark/>
          </w:tcPr>
          <w:p w14:paraId="1A62A431" w14:textId="77777777" w:rsidR="00D66388" w:rsidRPr="00292779" w:rsidRDefault="00D66388" w:rsidP="0024187D">
            <w:pPr>
              <w:jc w:val="center"/>
              <w:rPr>
                <w:color w:val="000000"/>
                <w:sz w:val="18"/>
                <w:szCs w:val="18"/>
              </w:rPr>
            </w:pPr>
            <w:r w:rsidRPr="00292779">
              <w:rPr>
                <w:color w:val="000000"/>
                <w:sz w:val="18"/>
                <w:szCs w:val="18"/>
              </w:rPr>
              <w:t>2.57 (2.88)</w:t>
            </w:r>
          </w:p>
        </w:tc>
        <w:tc>
          <w:tcPr>
            <w:tcW w:w="681" w:type="dxa"/>
          </w:tcPr>
          <w:p w14:paraId="5541A02D" w14:textId="77777777" w:rsidR="00D66388" w:rsidRPr="00292779" w:rsidRDefault="00D66388" w:rsidP="0024187D">
            <w:pPr>
              <w:jc w:val="center"/>
              <w:rPr>
                <w:color w:val="000000"/>
                <w:sz w:val="18"/>
                <w:szCs w:val="18"/>
              </w:rPr>
            </w:pPr>
            <w:r w:rsidRPr="00292779">
              <w:rPr>
                <w:color w:val="000000"/>
                <w:sz w:val="18"/>
                <w:szCs w:val="18"/>
              </w:rPr>
              <w:t>-0.09</w:t>
            </w:r>
          </w:p>
        </w:tc>
        <w:tc>
          <w:tcPr>
            <w:tcW w:w="1370" w:type="dxa"/>
            <w:hideMark/>
          </w:tcPr>
          <w:p w14:paraId="51AAB6EA" w14:textId="77777777" w:rsidR="00D66388" w:rsidRPr="00292779" w:rsidRDefault="00D66388" w:rsidP="0024187D">
            <w:pPr>
              <w:jc w:val="center"/>
              <w:rPr>
                <w:color w:val="000000"/>
                <w:sz w:val="18"/>
                <w:szCs w:val="18"/>
              </w:rPr>
            </w:pPr>
            <w:r w:rsidRPr="00292779">
              <w:rPr>
                <w:color w:val="000000"/>
                <w:sz w:val="18"/>
                <w:szCs w:val="18"/>
              </w:rPr>
              <w:t>3.14 (2.77)</w:t>
            </w:r>
          </w:p>
        </w:tc>
        <w:tc>
          <w:tcPr>
            <w:tcW w:w="1430" w:type="dxa"/>
            <w:hideMark/>
          </w:tcPr>
          <w:p w14:paraId="1D37FD4F" w14:textId="77777777" w:rsidR="00D66388" w:rsidRPr="00292779" w:rsidRDefault="00D66388" w:rsidP="0024187D">
            <w:pPr>
              <w:jc w:val="center"/>
              <w:rPr>
                <w:color w:val="000000"/>
                <w:sz w:val="18"/>
                <w:szCs w:val="18"/>
              </w:rPr>
            </w:pPr>
            <w:r w:rsidRPr="00292779">
              <w:rPr>
                <w:color w:val="000000"/>
                <w:sz w:val="18"/>
                <w:szCs w:val="18"/>
              </w:rPr>
              <w:t>2.99 (2.72)</w:t>
            </w:r>
          </w:p>
        </w:tc>
        <w:tc>
          <w:tcPr>
            <w:tcW w:w="620" w:type="dxa"/>
          </w:tcPr>
          <w:p w14:paraId="07FD926C" w14:textId="77777777" w:rsidR="00D66388" w:rsidRPr="00292779" w:rsidRDefault="00D66388" w:rsidP="0024187D">
            <w:pPr>
              <w:jc w:val="center"/>
              <w:rPr>
                <w:color w:val="000000"/>
                <w:sz w:val="18"/>
                <w:szCs w:val="18"/>
              </w:rPr>
            </w:pPr>
            <w:r w:rsidRPr="00292779">
              <w:rPr>
                <w:color w:val="000000"/>
                <w:sz w:val="18"/>
                <w:szCs w:val="18"/>
              </w:rPr>
              <w:t>-0.06</w:t>
            </w:r>
          </w:p>
        </w:tc>
        <w:tc>
          <w:tcPr>
            <w:tcW w:w="1430" w:type="dxa"/>
            <w:noWrap/>
            <w:hideMark/>
          </w:tcPr>
          <w:p w14:paraId="25E70118" w14:textId="77777777" w:rsidR="00D66388" w:rsidRPr="00292779" w:rsidRDefault="00D66388" w:rsidP="0024187D">
            <w:pPr>
              <w:jc w:val="center"/>
              <w:rPr>
                <w:color w:val="000000"/>
                <w:sz w:val="18"/>
                <w:szCs w:val="18"/>
              </w:rPr>
            </w:pPr>
            <w:r w:rsidRPr="00292779">
              <w:rPr>
                <w:color w:val="000000"/>
                <w:sz w:val="18"/>
                <w:szCs w:val="18"/>
              </w:rPr>
              <w:t>3.09 (2.68)</w:t>
            </w:r>
          </w:p>
        </w:tc>
        <w:tc>
          <w:tcPr>
            <w:tcW w:w="681" w:type="dxa"/>
          </w:tcPr>
          <w:p w14:paraId="2A21B09D" w14:textId="77777777" w:rsidR="00D66388" w:rsidRPr="00292779" w:rsidRDefault="00D66388" w:rsidP="0024187D">
            <w:pPr>
              <w:jc w:val="center"/>
              <w:rPr>
                <w:color w:val="000000"/>
                <w:sz w:val="18"/>
                <w:szCs w:val="18"/>
              </w:rPr>
            </w:pPr>
            <w:r w:rsidRPr="00292779">
              <w:rPr>
                <w:color w:val="000000"/>
                <w:sz w:val="18"/>
                <w:szCs w:val="18"/>
              </w:rPr>
              <w:t>-0.02</w:t>
            </w:r>
          </w:p>
        </w:tc>
      </w:tr>
      <w:tr w:rsidR="00D66388" w:rsidRPr="00292779" w14:paraId="6C25B15C" w14:textId="77777777" w:rsidTr="0024187D">
        <w:trPr>
          <w:trHeight w:val="207"/>
        </w:trPr>
        <w:tc>
          <w:tcPr>
            <w:tcW w:w="2324" w:type="dxa"/>
            <w:hideMark/>
          </w:tcPr>
          <w:p w14:paraId="1FB5424F"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07BD9DA8" w14:textId="77777777" w:rsidR="00D66388" w:rsidRPr="00292779" w:rsidRDefault="00D66388" w:rsidP="0024187D">
            <w:pPr>
              <w:jc w:val="center"/>
              <w:rPr>
                <w:color w:val="000000"/>
                <w:sz w:val="18"/>
                <w:szCs w:val="18"/>
              </w:rPr>
            </w:pPr>
            <w:r w:rsidRPr="00292779">
              <w:rPr>
                <w:color w:val="000000"/>
                <w:sz w:val="18"/>
                <w:szCs w:val="18"/>
              </w:rPr>
              <w:t>-0.03 (0.94)</w:t>
            </w:r>
          </w:p>
        </w:tc>
        <w:tc>
          <w:tcPr>
            <w:tcW w:w="1367" w:type="dxa"/>
            <w:hideMark/>
          </w:tcPr>
          <w:p w14:paraId="1055D80D" w14:textId="77777777" w:rsidR="00D66388" w:rsidRPr="00292779" w:rsidRDefault="00D66388" w:rsidP="0024187D">
            <w:pPr>
              <w:jc w:val="center"/>
              <w:rPr>
                <w:sz w:val="20"/>
                <w:szCs w:val="20"/>
              </w:rPr>
            </w:pPr>
            <w:r w:rsidRPr="00292779">
              <w:rPr>
                <w:color w:val="000000"/>
                <w:sz w:val="18"/>
                <w:szCs w:val="18"/>
              </w:rPr>
              <w:t>-0.17 (0.80)</w:t>
            </w:r>
          </w:p>
        </w:tc>
        <w:tc>
          <w:tcPr>
            <w:tcW w:w="711" w:type="dxa"/>
          </w:tcPr>
          <w:p w14:paraId="484E3008" w14:textId="77777777" w:rsidR="00D66388" w:rsidRPr="00292779" w:rsidRDefault="00D66388" w:rsidP="0024187D">
            <w:pPr>
              <w:jc w:val="center"/>
              <w:rPr>
                <w:color w:val="000000"/>
                <w:sz w:val="18"/>
                <w:szCs w:val="18"/>
              </w:rPr>
            </w:pPr>
            <w:r w:rsidRPr="00292779">
              <w:rPr>
                <w:color w:val="000000"/>
                <w:sz w:val="18"/>
                <w:szCs w:val="18"/>
              </w:rPr>
              <w:t>-0.15</w:t>
            </w:r>
          </w:p>
        </w:tc>
        <w:tc>
          <w:tcPr>
            <w:tcW w:w="1475" w:type="dxa"/>
            <w:gridSpan w:val="2"/>
            <w:noWrap/>
            <w:hideMark/>
          </w:tcPr>
          <w:p w14:paraId="7A957D6B" w14:textId="77777777" w:rsidR="00D66388" w:rsidRPr="00292779" w:rsidRDefault="00D66388" w:rsidP="0024187D">
            <w:pPr>
              <w:jc w:val="center"/>
              <w:rPr>
                <w:sz w:val="20"/>
                <w:szCs w:val="20"/>
              </w:rPr>
            </w:pPr>
            <w:r w:rsidRPr="00292779">
              <w:rPr>
                <w:color w:val="000000"/>
                <w:sz w:val="18"/>
                <w:szCs w:val="18"/>
              </w:rPr>
              <w:t>-0.13 (0.92)</w:t>
            </w:r>
          </w:p>
        </w:tc>
        <w:tc>
          <w:tcPr>
            <w:tcW w:w="681" w:type="dxa"/>
          </w:tcPr>
          <w:p w14:paraId="53F95BE5" w14:textId="77777777" w:rsidR="00D66388" w:rsidRPr="00292779" w:rsidRDefault="00D66388" w:rsidP="0024187D">
            <w:pPr>
              <w:jc w:val="center"/>
              <w:rPr>
                <w:color w:val="000000"/>
                <w:sz w:val="18"/>
                <w:szCs w:val="18"/>
              </w:rPr>
            </w:pPr>
            <w:r w:rsidRPr="00292779">
              <w:rPr>
                <w:color w:val="000000"/>
                <w:sz w:val="18"/>
                <w:szCs w:val="18"/>
              </w:rPr>
              <w:t>-0.10</w:t>
            </w:r>
          </w:p>
        </w:tc>
        <w:tc>
          <w:tcPr>
            <w:tcW w:w="1370" w:type="dxa"/>
            <w:hideMark/>
          </w:tcPr>
          <w:p w14:paraId="20473AEF" w14:textId="77777777" w:rsidR="00D66388" w:rsidRPr="00292779" w:rsidRDefault="00D66388" w:rsidP="0024187D">
            <w:pPr>
              <w:jc w:val="center"/>
              <w:rPr>
                <w:sz w:val="20"/>
                <w:szCs w:val="20"/>
              </w:rPr>
            </w:pPr>
            <w:r w:rsidRPr="00292779">
              <w:rPr>
                <w:color w:val="000000"/>
                <w:sz w:val="18"/>
                <w:szCs w:val="18"/>
              </w:rPr>
              <w:t>0.17 (0.93)</w:t>
            </w:r>
          </w:p>
        </w:tc>
        <w:tc>
          <w:tcPr>
            <w:tcW w:w="1430" w:type="dxa"/>
            <w:hideMark/>
          </w:tcPr>
          <w:p w14:paraId="67AC9506" w14:textId="77777777" w:rsidR="00D66388" w:rsidRPr="00292779" w:rsidRDefault="00D66388" w:rsidP="0024187D">
            <w:pPr>
              <w:jc w:val="center"/>
              <w:rPr>
                <w:sz w:val="20"/>
                <w:szCs w:val="20"/>
              </w:rPr>
            </w:pPr>
            <w:r w:rsidRPr="00292779">
              <w:rPr>
                <w:color w:val="000000"/>
                <w:sz w:val="18"/>
                <w:szCs w:val="18"/>
              </w:rPr>
              <w:t>0.07 (0.89)</w:t>
            </w:r>
          </w:p>
        </w:tc>
        <w:tc>
          <w:tcPr>
            <w:tcW w:w="620" w:type="dxa"/>
          </w:tcPr>
          <w:p w14:paraId="62DDFBD7" w14:textId="77777777" w:rsidR="00D66388" w:rsidRPr="00292779" w:rsidRDefault="00D66388" w:rsidP="0024187D">
            <w:pPr>
              <w:jc w:val="center"/>
              <w:rPr>
                <w:color w:val="000000"/>
                <w:sz w:val="18"/>
                <w:szCs w:val="18"/>
              </w:rPr>
            </w:pPr>
            <w:r w:rsidRPr="00292779">
              <w:rPr>
                <w:color w:val="000000"/>
                <w:sz w:val="18"/>
                <w:szCs w:val="18"/>
              </w:rPr>
              <w:t>-0.11</w:t>
            </w:r>
          </w:p>
        </w:tc>
        <w:tc>
          <w:tcPr>
            <w:tcW w:w="1430" w:type="dxa"/>
            <w:noWrap/>
            <w:hideMark/>
          </w:tcPr>
          <w:p w14:paraId="79136030" w14:textId="77777777" w:rsidR="00D66388" w:rsidRPr="00292779" w:rsidRDefault="00D66388" w:rsidP="0024187D">
            <w:pPr>
              <w:jc w:val="center"/>
              <w:rPr>
                <w:sz w:val="20"/>
                <w:szCs w:val="20"/>
              </w:rPr>
            </w:pPr>
            <w:r w:rsidRPr="00292779">
              <w:rPr>
                <w:color w:val="000000"/>
                <w:sz w:val="18"/>
                <w:szCs w:val="18"/>
              </w:rPr>
              <w:t>0.05 (0.83)</w:t>
            </w:r>
          </w:p>
        </w:tc>
        <w:tc>
          <w:tcPr>
            <w:tcW w:w="681" w:type="dxa"/>
          </w:tcPr>
          <w:p w14:paraId="775DFFA7" w14:textId="77777777" w:rsidR="00D66388" w:rsidRPr="00292779" w:rsidRDefault="00D66388" w:rsidP="0024187D">
            <w:pPr>
              <w:jc w:val="center"/>
              <w:rPr>
                <w:color w:val="000000"/>
                <w:sz w:val="18"/>
                <w:szCs w:val="18"/>
              </w:rPr>
            </w:pPr>
            <w:r w:rsidRPr="00292779">
              <w:rPr>
                <w:color w:val="000000"/>
                <w:sz w:val="18"/>
                <w:szCs w:val="18"/>
              </w:rPr>
              <w:t>-0.13</w:t>
            </w:r>
          </w:p>
        </w:tc>
      </w:tr>
      <w:tr w:rsidR="00D66388" w:rsidRPr="00292779" w14:paraId="5AE57E57" w14:textId="77777777" w:rsidTr="0024187D">
        <w:trPr>
          <w:trHeight w:val="207"/>
        </w:trPr>
        <w:tc>
          <w:tcPr>
            <w:tcW w:w="2324" w:type="dxa"/>
            <w:hideMark/>
          </w:tcPr>
          <w:p w14:paraId="7D1214D3" w14:textId="77777777" w:rsidR="00D66388" w:rsidRPr="00292779" w:rsidRDefault="00D66388" w:rsidP="0024187D">
            <w:pPr>
              <w:rPr>
                <w:color w:val="000000"/>
                <w:sz w:val="18"/>
                <w:szCs w:val="18"/>
              </w:rPr>
            </w:pPr>
            <w:r w:rsidRPr="00292779">
              <w:rPr>
                <w:i/>
                <w:iCs/>
                <w:color w:val="000000"/>
                <w:sz w:val="18"/>
                <w:szCs w:val="18"/>
              </w:rPr>
              <w:t>Cognitive Health</w:t>
            </w:r>
          </w:p>
        </w:tc>
        <w:tc>
          <w:tcPr>
            <w:tcW w:w="1434" w:type="dxa"/>
            <w:hideMark/>
          </w:tcPr>
          <w:p w14:paraId="39B5CCFA" w14:textId="77777777" w:rsidR="00D66388" w:rsidRPr="00292779" w:rsidRDefault="00D66388" w:rsidP="0024187D">
            <w:pPr>
              <w:jc w:val="center"/>
              <w:rPr>
                <w:color w:val="000000"/>
                <w:sz w:val="18"/>
                <w:szCs w:val="18"/>
              </w:rPr>
            </w:pPr>
          </w:p>
        </w:tc>
        <w:tc>
          <w:tcPr>
            <w:tcW w:w="1367" w:type="dxa"/>
            <w:hideMark/>
          </w:tcPr>
          <w:p w14:paraId="0E856312" w14:textId="77777777" w:rsidR="00D66388" w:rsidRPr="00292779" w:rsidRDefault="00D66388" w:rsidP="0024187D">
            <w:pPr>
              <w:jc w:val="center"/>
              <w:rPr>
                <w:sz w:val="20"/>
                <w:szCs w:val="20"/>
              </w:rPr>
            </w:pPr>
          </w:p>
        </w:tc>
        <w:tc>
          <w:tcPr>
            <w:tcW w:w="711" w:type="dxa"/>
          </w:tcPr>
          <w:p w14:paraId="2E36719F" w14:textId="77777777" w:rsidR="00D66388" w:rsidRPr="00292779" w:rsidRDefault="00D66388" w:rsidP="0024187D">
            <w:pPr>
              <w:jc w:val="center"/>
              <w:rPr>
                <w:sz w:val="20"/>
                <w:szCs w:val="20"/>
              </w:rPr>
            </w:pPr>
          </w:p>
        </w:tc>
        <w:tc>
          <w:tcPr>
            <w:tcW w:w="1475" w:type="dxa"/>
            <w:gridSpan w:val="2"/>
            <w:noWrap/>
            <w:hideMark/>
          </w:tcPr>
          <w:p w14:paraId="79B1B08F" w14:textId="77777777" w:rsidR="00D66388" w:rsidRPr="00292779" w:rsidRDefault="00D66388" w:rsidP="0024187D">
            <w:pPr>
              <w:jc w:val="center"/>
              <w:rPr>
                <w:sz w:val="20"/>
                <w:szCs w:val="20"/>
              </w:rPr>
            </w:pPr>
          </w:p>
        </w:tc>
        <w:tc>
          <w:tcPr>
            <w:tcW w:w="681" w:type="dxa"/>
          </w:tcPr>
          <w:p w14:paraId="30CF48F3" w14:textId="77777777" w:rsidR="00D66388" w:rsidRPr="00292779" w:rsidRDefault="00D66388" w:rsidP="0024187D">
            <w:pPr>
              <w:jc w:val="center"/>
              <w:rPr>
                <w:sz w:val="20"/>
                <w:szCs w:val="20"/>
              </w:rPr>
            </w:pPr>
          </w:p>
        </w:tc>
        <w:tc>
          <w:tcPr>
            <w:tcW w:w="1370" w:type="dxa"/>
            <w:hideMark/>
          </w:tcPr>
          <w:p w14:paraId="1B2E5471" w14:textId="77777777" w:rsidR="00D66388" w:rsidRPr="00292779" w:rsidRDefault="00D66388" w:rsidP="0024187D">
            <w:pPr>
              <w:jc w:val="center"/>
              <w:rPr>
                <w:sz w:val="20"/>
                <w:szCs w:val="20"/>
              </w:rPr>
            </w:pPr>
          </w:p>
        </w:tc>
        <w:tc>
          <w:tcPr>
            <w:tcW w:w="1430" w:type="dxa"/>
            <w:hideMark/>
          </w:tcPr>
          <w:p w14:paraId="5B6A3570" w14:textId="77777777" w:rsidR="00D66388" w:rsidRPr="00292779" w:rsidRDefault="00D66388" w:rsidP="0024187D">
            <w:pPr>
              <w:jc w:val="center"/>
              <w:rPr>
                <w:sz w:val="20"/>
                <w:szCs w:val="20"/>
              </w:rPr>
            </w:pPr>
          </w:p>
        </w:tc>
        <w:tc>
          <w:tcPr>
            <w:tcW w:w="620" w:type="dxa"/>
          </w:tcPr>
          <w:p w14:paraId="1490E0FB" w14:textId="77777777" w:rsidR="00D66388" w:rsidRPr="00292779" w:rsidRDefault="00D66388" w:rsidP="0024187D">
            <w:pPr>
              <w:jc w:val="center"/>
              <w:rPr>
                <w:sz w:val="20"/>
                <w:szCs w:val="20"/>
              </w:rPr>
            </w:pPr>
          </w:p>
        </w:tc>
        <w:tc>
          <w:tcPr>
            <w:tcW w:w="1430" w:type="dxa"/>
            <w:noWrap/>
            <w:hideMark/>
          </w:tcPr>
          <w:p w14:paraId="1513C81D" w14:textId="77777777" w:rsidR="00D66388" w:rsidRPr="00292779" w:rsidRDefault="00D66388" w:rsidP="0024187D">
            <w:pPr>
              <w:jc w:val="center"/>
              <w:rPr>
                <w:sz w:val="20"/>
                <w:szCs w:val="20"/>
              </w:rPr>
            </w:pPr>
          </w:p>
        </w:tc>
        <w:tc>
          <w:tcPr>
            <w:tcW w:w="681" w:type="dxa"/>
          </w:tcPr>
          <w:p w14:paraId="32F0CC97" w14:textId="77777777" w:rsidR="00D66388" w:rsidRPr="00292779" w:rsidRDefault="00D66388" w:rsidP="0024187D">
            <w:pPr>
              <w:jc w:val="center"/>
              <w:rPr>
                <w:sz w:val="20"/>
                <w:szCs w:val="20"/>
              </w:rPr>
            </w:pPr>
          </w:p>
        </w:tc>
      </w:tr>
      <w:tr w:rsidR="00D66388" w:rsidRPr="00292779" w14:paraId="6AE87A9B" w14:textId="77777777" w:rsidTr="0024187D">
        <w:trPr>
          <w:trHeight w:val="207"/>
        </w:trPr>
        <w:tc>
          <w:tcPr>
            <w:tcW w:w="2324" w:type="dxa"/>
            <w:hideMark/>
          </w:tcPr>
          <w:p w14:paraId="312CC65E" w14:textId="77777777" w:rsidR="00D66388" w:rsidRPr="00292779" w:rsidRDefault="00D66388" w:rsidP="0024187D">
            <w:pPr>
              <w:rPr>
                <w:color w:val="000000"/>
                <w:sz w:val="18"/>
                <w:szCs w:val="18"/>
              </w:rPr>
            </w:pPr>
            <w:r w:rsidRPr="00292779">
              <w:rPr>
                <w:color w:val="000000"/>
                <w:sz w:val="18"/>
                <w:szCs w:val="18"/>
              </w:rPr>
              <w:t xml:space="preserve">  Thought problems</w:t>
            </w:r>
          </w:p>
        </w:tc>
        <w:tc>
          <w:tcPr>
            <w:tcW w:w="1434" w:type="dxa"/>
            <w:hideMark/>
          </w:tcPr>
          <w:p w14:paraId="1DC2DA2B" w14:textId="77777777" w:rsidR="00D66388" w:rsidRPr="00292779" w:rsidRDefault="00D66388" w:rsidP="0024187D">
            <w:pPr>
              <w:jc w:val="center"/>
              <w:rPr>
                <w:color w:val="000000"/>
                <w:sz w:val="18"/>
                <w:szCs w:val="18"/>
              </w:rPr>
            </w:pPr>
            <w:r w:rsidRPr="00292779">
              <w:rPr>
                <w:color w:val="000000"/>
                <w:sz w:val="18"/>
                <w:szCs w:val="18"/>
              </w:rPr>
              <w:t>3.56 (2.59)</w:t>
            </w:r>
          </w:p>
        </w:tc>
        <w:tc>
          <w:tcPr>
            <w:tcW w:w="1367" w:type="dxa"/>
            <w:hideMark/>
          </w:tcPr>
          <w:p w14:paraId="57386B2D" w14:textId="77777777" w:rsidR="00D66388" w:rsidRPr="00292779" w:rsidRDefault="00D66388" w:rsidP="0024187D">
            <w:pPr>
              <w:jc w:val="center"/>
              <w:rPr>
                <w:color w:val="000000"/>
                <w:sz w:val="18"/>
                <w:szCs w:val="18"/>
              </w:rPr>
            </w:pPr>
            <w:r w:rsidRPr="00292779">
              <w:rPr>
                <w:color w:val="000000"/>
                <w:sz w:val="18"/>
                <w:szCs w:val="18"/>
              </w:rPr>
              <w:t>2.38 (2.31)</w:t>
            </w:r>
          </w:p>
        </w:tc>
        <w:tc>
          <w:tcPr>
            <w:tcW w:w="711" w:type="dxa"/>
          </w:tcPr>
          <w:p w14:paraId="2A748919" w14:textId="77777777" w:rsidR="00D66388" w:rsidRPr="00292779" w:rsidRDefault="00D66388" w:rsidP="0024187D">
            <w:pPr>
              <w:jc w:val="center"/>
              <w:rPr>
                <w:color w:val="000000"/>
                <w:sz w:val="18"/>
                <w:szCs w:val="18"/>
              </w:rPr>
            </w:pPr>
            <w:r w:rsidRPr="00292779">
              <w:rPr>
                <w:color w:val="000000"/>
                <w:sz w:val="18"/>
                <w:szCs w:val="18"/>
              </w:rPr>
              <w:t>-0.46</w:t>
            </w:r>
          </w:p>
        </w:tc>
        <w:tc>
          <w:tcPr>
            <w:tcW w:w="1475" w:type="dxa"/>
            <w:gridSpan w:val="2"/>
            <w:noWrap/>
            <w:hideMark/>
          </w:tcPr>
          <w:p w14:paraId="53BC3F33" w14:textId="77777777" w:rsidR="00D66388" w:rsidRPr="00292779" w:rsidRDefault="00D66388" w:rsidP="0024187D">
            <w:pPr>
              <w:jc w:val="center"/>
              <w:rPr>
                <w:color w:val="000000"/>
                <w:sz w:val="18"/>
                <w:szCs w:val="18"/>
              </w:rPr>
            </w:pPr>
            <w:r w:rsidRPr="00292779">
              <w:rPr>
                <w:color w:val="000000"/>
                <w:sz w:val="18"/>
                <w:szCs w:val="18"/>
              </w:rPr>
              <w:t>2.57 (2.78)</w:t>
            </w:r>
          </w:p>
        </w:tc>
        <w:tc>
          <w:tcPr>
            <w:tcW w:w="681" w:type="dxa"/>
          </w:tcPr>
          <w:p w14:paraId="77D16D6D" w14:textId="77777777" w:rsidR="00D66388" w:rsidRPr="00292779" w:rsidRDefault="00D66388" w:rsidP="0024187D">
            <w:pPr>
              <w:jc w:val="center"/>
              <w:rPr>
                <w:color w:val="000000"/>
                <w:sz w:val="18"/>
                <w:szCs w:val="18"/>
              </w:rPr>
            </w:pPr>
            <w:r w:rsidRPr="00292779">
              <w:rPr>
                <w:color w:val="000000"/>
                <w:sz w:val="18"/>
                <w:szCs w:val="18"/>
              </w:rPr>
              <w:t>-0.38</w:t>
            </w:r>
          </w:p>
        </w:tc>
        <w:tc>
          <w:tcPr>
            <w:tcW w:w="1370" w:type="dxa"/>
            <w:hideMark/>
          </w:tcPr>
          <w:p w14:paraId="385FF000" w14:textId="77777777" w:rsidR="00D66388" w:rsidRPr="00292779" w:rsidRDefault="00D66388" w:rsidP="0024187D">
            <w:pPr>
              <w:jc w:val="center"/>
              <w:rPr>
                <w:color w:val="000000"/>
                <w:sz w:val="18"/>
                <w:szCs w:val="18"/>
              </w:rPr>
            </w:pPr>
            <w:r w:rsidRPr="00292779">
              <w:rPr>
                <w:color w:val="000000"/>
                <w:sz w:val="18"/>
                <w:szCs w:val="18"/>
              </w:rPr>
              <w:t>3.75 (2.73)</w:t>
            </w:r>
          </w:p>
        </w:tc>
        <w:tc>
          <w:tcPr>
            <w:tcW w:w="1430" w:type="dxa"/>
            <w:hideMark/>
          </w:tcPr>
          <w:p w14:paraId="5386FE26" w14:textId="77777777" w:rsidR="00D66388" w:rsidRPr="00292779" w:rsidRDefault="00D66388" w:rsidP="0024187D">
            <w:pPr>
              <w:jc w:val="center"/>
              <w:rPr>
                <w:color w:val="000000"/>
                <w:sz w:val="18"/>
                <w:szCs w:val="18"/>
              </w:rPr>
            </w:pPr>
            <w:r w:rsidRPr="00292779">
              <w:rPr>
                <w:color w:val="000000"/>
                <w:sz w:val="18"/>
                <w:szCs w:val="18"/>
              </w:rPr>
              <w:t>3.60 (2.90)</w:t>
            </w:r>
          </w:p>
        </w:tc>
        <w:tc>
          <w:tcPr>
            <w:tcW w:w="620" w:type="dxa"/>
          </w:tcPr>
          <w:p w14:paraId="7CD0E2F3" w14:textId="77777777" w:rsidR="00D66388" w:rsidRPr="00292779" w:rsidRDefault="00D66388" w:rsidP="0024187D">
            <w:pPr>
              <w:jc w:val="center"/>
              <w:rPr>
                <w:color w:val="000000"/>
                <w:sz w:val="18"/>
                <w:szCs w:val="18"/>
              </w:rPr>
            </w:pPr>
            <w:r w:rsidRPr="00292779">
              <w:rPr>
                <w:color w:val="000000"/>
                <w:sz w:val="18"/>
                <w:szCs w:val="18"/>
              </w:rPr>
              <w:t>-0.05</w:t>
            </w:r>
          </w:p>
        </w:tc>
        <w:tc>
          <w:tcPr>
            <w:tcW w:w="1430" w:type="dxa"/>
            <w:noWrap/>
            <w:hideMark/>
          </w:tcPr>
          <w:p w14:paraId="749F7ABC" w14:textId="77777777" w:rsidR="00D66388" w:rsidRPr="00292779" w:rsidRDefault="00D66388" w:rsidP="0024187D">
            <w:pPr>
              <w:jc w:val="center"/>
              <w:rPr>
                <w:color w:val="000000"/>
                <w:sz w:val="18"/>
                <w:szCs w:val="18"/>
              </w:rPr>
            </w:pPr>
            <w:r w:rsidRPr="00292779">
              <w:rPr>
                <w:color w:val="000000"/>
                <w:sz w:val="18"/>
                <w:szCs w:val="18"/>
              </w:rPr>
              <w:t>2.92 (2.63)</w:t>
            </w:r>
          </w:p>
        </w:tc>
        <w:tc>
          <w:tcPr>
            <w:tcW w:w="681" w:type="dxa"/>
          </w:tcPr>
          <w:p w14:paraId="2534853F" w14:textId="77777777" w:rsidR="00D66388" w:rsidRPr="00292779" w:rsidRDefault="00D66388" w:rsidP="0024187D">
            <w:pPr>
              <w:jc w:val="center"/>
              <w:rPr>
                <w:color w:val="000000"/>
                <w:sz w:val="18"/>
                <w:szCs w:val="18"/>
              </w:rPr>
            </w:pPr>
            <w:r w:rsidRPr="00292779">
              <w:rPr>
                <w:color w:val="000000"/>
                <w:sz w:val="18"/>
                <w:szCs w:val="18"/>
              </w:rPr>
              <w:t>-0.30</w:t>
            </w:r>
          </w:p>
        </w:tc>
      </w:tr>
      <w:tr w:rsidR="00D66388" w:rsidRPr="00292779" w14:paraId="7A1FEDDB" w14:textId="77777777" w:rsidTr="0024187D">
        <w:trPr>
          <w:trHeight w:val="207"/>
        </w:trPr>
        <w:tc>
          <w:tcPr>
            <w:tcW w:w="2324" w:type="dxa"/>
            <w:hideMark/>
          </w:tcPr>
          <w:p w14:paraId="73B47967" w14:textId="77777777" w:rsidR="00D66388" w:rsidRPr="00292779" w:rsidRDefault="00D66388" w:rsidP="0024187D">
            <w:pPr>
              <w:rPr>
                <w:color w:val="000000"/>
                <w:sz w:val="18"/>
                <w:szCs w:val="18"/>
              </w:rPr>
            </w:pPr>
            <w:r w:rsidRPr="00292779">
              <w:rPr>
                <w:color w:val="000000"/>
                <w:sz w:val="18"/>
                <w:szCs w:val="18"/>
              </w:rPr>
              <w:t xml:space="preserve">  Attention problems</w:t>
            </w:r>
          </w:p>
        </w:tc>
        <w:tc>
          <w:tcPr>
            <w:tcW w:w="1434" w:type="dxa"/>
            <w:hideMark/>
          </w:tcPr>
          <w:p w14:paraId="6DA2503D" w14:textId="77777777" w:rsidR="00D66388" w:rsidRPr="00292779" w:rsidRDefault="00D66388" w:rsidP="0024187D">
            <w:pPr>
              <w:jc w:val="center"/>
              <w:rPr>
                <w:color w:val="000000"/>
                <w:sz w:val="18"/>
                <w:szCs w:val="18"/>
              </w:rPr>
            </w:pPr>
            <w:r w:rsidRPr="00292779">
              <w:rPr>
                <w:color w:val="000000"/>
                <w:sz w:val="18"/>
                <w:szCs w:val="18"/>
              </w:rPr>
              <w:t>4.23 (3.61)</w:t>
            </w:r>
          </w:p>
        </w:tc>
        <w:tc>
          <w:tcPr>
            <w:tcW w:w="1367" w:type="dxa"/>
            <w:hideMark/>
          </w:tcPr>
          <w:p w14:paraId="06ED1CB0" w14:textId="77777777" w:rsidR="00D66388" w:rsidRPr="00292779" w:rsidRDefault="00D66388" w:rsidP="0024187D">
            <w:pPr>
              <w:jc w:val="center"/>
              <w:rPr>
                <w:color w:val="000000"/>
                <w:sz w:val="18"/>
                <w:szCs w:val="18"/>
              </w:rPr>
            </w:pPr>
            <w:r w:rsidRPr="00292779">
              <w:rPr>
                <w:color w:val="000000"/>
                <w:sz w:val="18"/>
                <w:szCs w:val="18"/>
              </w:rPr>
              <w:t>4.01 (3.85)</w:t>
            </w:r>
          </w:p>
        </w:tc>
        <w:tc>
          <w:tcPr>
            <w:tcW w:w="711" w:type="dxa"/>
          </w:tcPr>
          <w:p w14:paraId="51724E66" w14:textId="77777777" w:rsidR="00D66388" w:rsidRPr="00292779" w:rsidRDefault="00D66388" w:rsidP="0024187D">
            <w:pPr>
              <w:jc w:val="center"/>
              <w:rPr>
                <w:color w:val="000000"/>
                <w:sz w:val="18"/>
                <w:szCs w:val="18"/>
              </w:rPr>
            </w:pPr>
            <w:r w:rsidRPr="00292779">
              <w:rPr>
                <w:color w:val="000000"/>
                <w:sz w:val="18"/>
                <w:szCs w:val="18"/>
              </w:rPr>
              <w:t>-0.06</w:t>
            </w:r>
          </w:p>
        </w:tc>
        <w:tc>
          <w:tcPr>
            <w:tcW w:w="1475" w:type="dxa"/>
            <w:gridSpan w:val="2"/>
            <w:noWrap/>
            <w:hideMark/>
          </w:tcPr>
          <w:p w14:paraId="29367D51" w14:textId="77777777" w:rsidR="00D66388" w:rsidRPr="00292779" w:rsidRDefault="00D66388" w:rsidP="0024187D">
            <w:pPr>
              <w:jc w:val="center"/>
              <w:rPr>
                <w:color w:val="000000"/>
                <w:sz w:val="18"/>
                <w:szCs w:val="18"/>
              </w:rPr>
            </w:pPr>
            <w:r w:rsidRPr="00292779">
              <w:rPr>
                <w:color w:val="000000"/>
                <w:sz w:val="18"/>
                <w:szCs w:val="18"/>
              </w:rPr>
              <w:t>4.03 (3.86)</w:t>
            </w:r>
          </w:p>
        </w:tc>
        <w:tc>
          <w:tcPr>
            <w:tcW w:w="681" w:type="dxa"/>
          </w:tcPr>
          <w:p w14:paraId="2A72533C" w14:textId="77777777" w:rsidR="00D66388" w:rsidRPr="00292779" w:rsidRDefault="00D66388" w:rsidP="0024187D">
            <w:pPr>
              <w:jc w:val="center"/>
              <w:rPr>
                <w:color w:val="000000"/>
                <w:sz w:val="18"/>
                <w:szCs w:val="18"/>
              </w:rPr>
            </w:pPr>
            <w:r w:rsidRPr="00292779">
              <w:rPr>
                <w:color w:val="000000"/>
                <w:sz w:val="18"/>
                <w:szCs w:val="18"/>
              </w:rPr>
              <w:t>-0.05</w:t>
            </w:r>
          </w:p>
        </w:tc>
        <w:tc>
          <w:tcPr>
            <w:tcW w:w="1370" w:type="dxa"/>
            <w:hideMark/>
          </w:tcPr>
          <w:p w14:paraId="7EEFF138" w14:textId="77777777" w:rsidR="00D66388" w:rsidRPr="00292779" w:rsidRDefault="00D66388" w:rsidP="0024187D">
            <w:pPr>
              <w:jc w:val="center"/>
              <w:rPr>
                <w:color w:val="000000"/>
                <w:sz w:val="18"/>
                <w:szCs w:val="18"/>
              </w:rPr>
            </w:pPr>
            <w:r w:rsidRPr="00292779">
              <w:rPr>
                <w:color w:val="000000"/>
                <w:sz w:val="18"/>
                <w:szCs w:val="18"/>
              </w:rPr>
              <w:t>4.17 (4.13)</w:t>
            </w:r>
          </w:p>
        </w:tc>
        <w:tc>
          <w:tcPr>
            <w:tcW w:w="1430" w:type="dxa"/>
            <w:hideMark/>
          </w:tcPr>
          <w:p w14:paraId="5605FC09" w14:textId="77777777" w:rsidR="00D66388" w:rsidRPr="00292779" w:rsidRDefault="00D66388" w:rsidP="0024187D">
            <w:pPr>
              <w:jc w:val="center"/>
              <w:rPr>
                <w:color w:val="000000"/>
                <w:sz w:val="18"/>
                <w:szCs w:val="18"/>
              </w:rPr>
            </w:pPr>
            <w:r w:rsidRPr="00292779">
              <w:rPr>
                <w:color w:val="000000"/>
                <w:sz w:val="18"/>
                <w:szCs w:val="18"/>
              </w:rPr>
              <w:t>4.33 (4.30)</w:t>
            </w:r>
          </w:p>
        </w:tc>
        <w:tc>
          <w:tcPr>
            <w:tcW w:w="620" w:type="dxa"/>
          </w:tcPr>
          <w:p w14:paraId="3EA2C780" w14:textId="77777777" w:rsidR="00D66388" w:rsidRPr="00292779" w:rsidRDefault="00D66388" w:rsidP="0024187D">
            <w:pPr>
              <w:jc w:val="center"/>
              <w:rPr>
                <w:color w:val="000000"/>
                <w:sz w:val="18"/>
                <w:szCs w:val="18"/>
              </w:rPr>
            </w:pPr>
            <w:r w:rsidRPr="00292779">
              <w:rPr>
                <w:color w:val="000000"/>
                <w:sz w:val="18"/>
                <w:szCs w:val="18"/>
              </w:rPr>
              <w:t>0.04</w:t>
            </w:r>
          </w:p>
        </w:tc>
        <w:tc>
          <w:tcPr>
            <w:tcW w:w="1430" w:type="dxa"/>
            <w:noWrap/>
            <w:hideMark/>
          </w:tcPr>
          <w:p w14:paraId="05CC585D" w14:textId="77777777" w:rsidR="00D66388" w:rsidRPr="00292779" w:rsidRDefault="00D66388" w:rsidP="0024187D">
            <w:pPr>
              <w:jc w:val="center"/>
              <w:rPr>
                <w:color w:val="000000"/>
                <w:sz w:val="18"/>
                <w:szCs w:val="18"/>
              </w:rPr>
            </w:pPr>
            <w:r w:rsidRPr="00292779">
              <w:rPr>
                <w:color w:val="000000"/>
                <w:sz w:val="18"/>
                <w:szCs w:val="18"/>
              </w:rPr>
              <w:t>4.07 (4.26)</w:t>
            </w:r>
          </w:p>
        </w:tc>
        <w:tc>
          <w:tcPr>
            <w:tcW w:w="681" w:type="dxa"/>
          </w:tcPr>
          <w:p w14:paraId="0B66999E" w14:textId="77777777" w:rsidR="00D66388" w:rsidRPr="00292779" w:rsidRDefault="00D66388" w:rsidP="0024187D">
            <w:pPr>
              <w:jc w:val="center"/>
              <w:rPr>
                <w:color w:val="000000"/>
                <w:sz w:val="18"/>
                <w:szCs w:val="18"/>
              </w:rPr>
            </w:pPr>
            <w:r w:rsidRPr="00292779">
              <w:rPr>
                <w:color w:val="000000"/>
                <w:sz w:val="18"/>
                <w:szCs w:val="18"/>
              </w:rPr>
              <w:t>-0.02</w:t>
            </w:r>
          </w:p>
        </w:tc>
      </w:tr>
      <w:tr w:rsidR="00D66388" w:rsidRPr="00292779" w14:paraId="1B219B22" w14:textId="77777777" w:rsidTr="0024187D">
        <w:trPr>
          <w:trHeight w:val="207"/>
        </w:trPr>
        <w:tc>
          <w:tcPr>
            <w:tcW w:w="2324" w:type="dxa"/>
            <w:hideMark/>
          </w:tcPr>
          <w:p w14:paraId="35F4D1E3"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0C24B787" w14:textId="77777777" w:rsidR="00D66388" w:rsidRPr="00292779" w:rsidRDefault="00D66388" w:rsidP="0024187D">
            <w:pPr>
              <w:jc w:val="center"/>
              <w:rPr>
                <w:color w:val="000000"/>
                <w:sz w:val="18"/>
                <w:szCs w:val="18"/>
              </w:rPr>
            </w:pPr>
            <w:r w:rsidRPr="00292779">
              <w:rPr>
                <w:color w:val="000000"/>
                <w:sz w:val="18"/>
                <w:szCs w:val="18"/>
              </w:rPr>
              <w:t>0.08 (0.80)</w:t>
            </w:r>
          </w:p>
        </w:tc>
        <w:tc>
          <w:tcPr>
            <w:tcW w:w="1367" w:type="dxa"/>
            <w:hideMark/>
          </w:tcPr>
          <w:p w14:paraId="77A16326" w14:textId="77777777" w:rsidR="00D66388" w:rsidRPr="00292779" w:rsidRDefault="00D66388" w:rsidP="0024187D">
            <w:pPr>
              <w:jc w:val="center"/>
              <w:rPr>
                <w:sz w:val="20"/>
                <w:szCs w:val="20"/>
              </w:rPr>
            </w:pPr>
            <w:r w:rsidRPr="00292779">
              <w:rPr>
                <w:color w:val="000000"/>
                <w:sz w:val="18"/>
                <w:szCs w:val="18"/>
              </w:rPr>
              <w:t>-0.16 (0.81)</w:t>
            </w:r>
          </w:p>
        </w:tc>
        <w:tc>
          <w:tcPr>
            <w:tcW w:w="711" w:type="dxa"/>
          </w:tcPr>
          <w:p w14:paraId="05658FFC" w14:textId="77777777" w:rsidR="00D66388" w:rsidRPr="00292779" w:rsidRDefault="00D66388" w:rsidP="0024187D">
            <w:pPr>
              <w:jc w:val="center"/>
              <w:rPr>
                <w:color w:val="000000"/>
                <w:sz w:val="18"/>
                <w:szCs w:val="18"/>
              </w:rPr>
            </w:pPr>
            <w:r w:rsidRPr="00292779">
              <w:rPr>
                <w:color w:val="000000"/>
                <w:sz w:val="18"/>
                <w:szCs w:val="18"/>
              </w:rPr>
              <w:t>-0.30</w:t>
            </w:r>
          </w:p>
        </w:tc>
        <w:tc>
          <w:tcPr>
            <w:tcW w:w="1475" w:type="dxa"/>
            <w:gridSpan w:val="2"/>
            <w:noWrap/>
            <w:hideMark/>
          </w:tcPr>
          <w:p w14:paraId="24516EAC" w14:textId="77777777" w:rsidR="00D66388" w:rsidRPr="00292779" w:rsidRDefault="00D66388" w:rsidP="0024187D">
            <w:pPr>
              <w:jc w:val="center"/>
              <w:rPr>
                <w:sz w:val="20"/>
                <w:szCs w:val="20"/>
              </w:rPr>
            </w:pPr>
            <w:r w:rsidRPr="00292779">
              <w:rPr>
                <w:color w:val="000000"/>
                <w:sz w:val="18"/>
                <w:szCs w:val="18"/>
              </w:rPr>
              <w:t>-0.12 (0.90)</w:t>
            </w:r>
          </w:p>
        </w:tc>
        <w:tc>
          <w:tcPr>
            <w:tcW w:w="681" w:type="dxa"/>
          </w:tcPr>
          <w:p w14:paraId="630F71D5" w14:textId="77777777" w:rsidR="00D66388" w:rsidRPr="00292779" w:rsidRDefault="00D66388" w:rsidP="0024187D">
            <w:pPr>
              <w:rPr>
                <w:color w:val="000000"/>
                <w:sz w:val="18"/>
                <w:szCs w:val="18"/>
              </w:rPr>
            </w:pPr>
            <w:r w:rsidRPr="00292779">
              <w:rPr>
                <w:color w:val="000000"/>
                <w:sz w:val="18"/>
                <w:szCs w:val="18"/>
              </w:rPr>
              <w:t>-0.26</w:t>
            </w:r>
          </w:p>
        </w:tc>
        <w:tc>
          <w:tcPr>
            <w:tcW w:w="1370" w:type="dxa"/>
            <w:hideMark/>
          </w:tcPr>
          <w:p w14:paraId="628EDECE" w14:textId="77777777" w:rsidR="00D66388" w:rsidRPr="00292779" w:rsidRDefault="00D66388" w:rsidP="0024187D">
            <w:pPr>
              <w:jc w:val="center"/>
              <w:rPr>
                <w:sz w:val="20"/>
                <w:szCs w:val="20"/>
              </w:rPr>
            </w:pPr>
            <w:r w:rsidRPr="00292779">
              <w:rPr>
                <w:color w:val="000000"/>
                <w:sz w:val="18"/>
                <w:szCs w:val="18"/>
              </w:rPr>
              <w:t>0.11 (0.89)</w:t>
            </w:r>
          </w:p>
        </w:tc>
        <w:tc>
          <w:tcPr>
            <w:tcW w:w="1430" w:type="dxa"/>
            <w:hideMark/>
          </w:tcPr>
          <w:p w14:paraId="1E066A4B" w14:textId="77777777" w:rsidR="00D66388" w:rsidRPr="00292779" w:rsidRDefault="00D66388" w:rsidP="0024187D">
            <w:pPr>
              <w:jc w:val="center"/>
              <w:rPr>
                <w:sz w:val="20"/>
                <w:szCs w:val="20"/>
              </w:rPr>
            </w:pPr>
            <w:r w:rsidRPr="00292779">
              <w:rPr>
                <w:color w:val="000000"/>
                <w:sz w:val="18"/>
                <w:szCs w:val="18"/>
              </w:rPr>
              <w:t>0.10 (0.96)</w:t>
            </w:r>
          </w:p>
        </w:tc>
        <w:tc>
          <w:tcPr>
            <w:tcW w:w="620" w:type="dxa"/>
          </w:tcPr>
          <w:p w14:paraId="77287079" w14:textId="77777777" w:rsidR="00D66388" w:rsidRPr="00292779" w:rsidRDefault="00D66388" w:rsidP="0024187D">
            <w:pPr>
              <w:jc w:val="center"/>
              <w:rPr>
                <w:color w:val="000000"/>
                <w:sz w:val="18"/>
                <w:szCs w:val="18"/>
              </w:rPr>
            </w:pPr>
            <w:r w:rsidRPr="00292779">
              <w:rPr>
                <w:color w:val="000000"/>
                <w:sz w:val="18"/>
                <w:szCs w:val="18"/>
              </w:rPr>
              <w:t>-0.01</w:t>
            </w:r>
          </w:p>
        </w:tc>
        <w:tc>
          <w:tcPr>
            <w:tcW w:w="1430" w:type="dxa"/>
            <w:noWrap/>
            <w:hideMark/>
          </w:tcPr>
          <w:p w14:paraId="656FB8C2" w14:textId="77777777" w:rsidR="00D66388" w:rsidRPr="00292779" w:rsidRDefault="00D66388" w:rsidP="0024187D">
            <w:pPr>
              <w:jc w:val="center"/>
              <w:rPr>
                <w:sz w:val="20"/>
                <w:szCs w:val="20"/>
              </w:rPr>
            </w:pPr>
            <w:r w:rsidRPr="00292779">
              <w:rPr>
                <w:color w:val="000000"/>
                <w:sz w:val="18"/>
                <w:szCs w:val="18"/>
              </w:rPr>
              <w:t>-0.05 (0.91)</w:t>
            </w:r>
          </w:p>
        </w:tc>
        <w:tc>
          <w:tcPr>
            <w:tcW w:w="681" w:type="dxa"/>
          </w:tcPr>
          <w:p w14:paraId="0A0FCC69" w14:textId="77777777" w:rsidR="00D66388" w:rsidRPr="00292779" w:rsidRDefault="00D66388" w:rsidP="0024187D">
            <w:pPr>
              <w:jc w:val="center"/>
              <w:rPr>
                <w:color w:val="000000"/>
                <w:sz w:val="18"/>
                <w:szCs w:val="18"/>
              </w:rPr>
            </w:pPr>
            <w:r w:rsidRPr="00292779">
              <w:rPr>
                <w:color w:val="000000"/>
                <w:sz w:val="18"/>
                <w:szCs w:val="18"/>
              </w:rPr>
              <w:t>-0.19</w:t>
            </w:r>
          </w:p>
        </w:tc>
      </w:tr>
      <w:tr w:rsidR="00D66388" w:rsidRPr="00292779" w14:paraId="772294CF" w14:textId="77777777" w:rsidTr="0024187D">
        <w:trPr>
          <w:trHeight w:val="207"/>
        </w:trPr>
        <w:tc>
          <w:tcPr>
            <w:tcW w:w="2324" w:type="dxa"/>
            <w:hideMark/>
          </w:tcPr>
          <w:p w14:paraId="734929A9" w14:textId="77777777" w:rsidR="00D66388" w:rsidRPr="00292779" w:rsidRDefault="00D66388" w:rsidP="0024187D">
            <w:pPr>
              <w:rPr>
                <w:color w:val="000000"/>
                <w:sz w:val="18"/>
                <w:szCs w:val="18"/>
              </w:rPr>
            </w:pPr>
            <w:r w:rsidRPr="00292779">
              <w:rPr>
                <w:i/>
                <w:iCs/>
                <w:color w:val="000000"/>
                <w:sz w:val="18"/>
                <w:szCs w:val="18"/>
              </w:rPr>
              <w:t>Behavioral Health</w:t>
            </w:r>
          </w:p>
        </w:tc>
        <w:tc>
          <w:tcPr>
            <w:tcW w:w="1434" w:type="dxa"/>
            <w:hideMark/>
          </w:tcPr>
          <w:p w14:paraId="58D02F14" w14:textId="77777777" w:rsidR="00D66388" w:rsidRPr="00292779" w:rsidRDefault="00D66388" w:rsidP="0024187D">
            <w:pPr>
              <w:jc w:val="center"/>
              <w:rPr>
                <w:color w:val="000000"/>
                <w:sz w:val="18"/>
                <w:szCs w:val="18"/>
              </w:rPr>
            </w:pPr>
          </w:p>
        </w:tc>
        <w:tc>
          <w:tcPr>
            <w:tcW w:w="1367" w:type="dxa"/>
            <w:hideMark/>
          </w:tcPr>
          <w:p w14:paraId="45AB07AE" w14:textId="77777777" w:rsidR="00D66388" w:rsidRPr="00292779" w:rsidRDefault="00D66388" w:rsidP="0024187D">
            <w:pPr>
              <w:jc w:val="center"/>
              <w:rPr>
                <w:sz w:val="20"/>
                <w:szCs w:val="20"/>
              </w:rPr>
            </w:pPr>
          </w:p>
        </w:tc>
        <w:tc>
          <w:tcPr>
            <w:tcW w:w="711" w:type="dxa"/>
          </w:tcPr>
          <w:p w14:paraId="4D5269E3" w14:textId="77777777" w:rsidR="00D66388" w:rsidRPr="00292779" w:rsidRDefault="00D66388" w:rsidP="0024187D">
            <w:pPr>
              <w:jc w:val="center"/>
              <w:rPr>
                <w:sz w:val="20"/>
                <w:szCs w:val="20"/>
              </w:rPr>
            </w:pPr>
          </w:p>
        </w:tc>
        <w:tc>
          <w:tcPr>
            <w:tcW w:w="1475" w:type="dxa"/>
            <w:gridSpan w:val="2"/>
            <w:noWrap/>
            <w:hideMark/>
          </w:tcPr>
          <w:p w14:paraId="6DB514D6" w14:textId="77777777" w:rsidR="00D66388" w:rsidRPr="00292779" w:rsidRDefault="00D66388" w:rsidP="0024187D">
            <w:pPr>
              <w:jc w:val="center"/>
              <w:rPr>
                <w:sz w:val="20"/>
                <w:szCs w:val="20"/>
              </w:rPr>
            </w:pPr>
          </w:p>
        </w:tc>
        <w:tc>
          <w:tcPr>
            <w:tcW w:w="681" w:type="dxa"/>
          </w:tcPr>
          <w:p w14:paraId="56ED3ABF" w14:textId="77777777" w:rsidR="00D66388" w:rsidRPr="00292779" w:rsidRDefault="00D66388" w:rsidP="0024187D">
            <w:pPr>
              <w:jc w:val="center"/>
              <w:rPr>
                <w:sz w:val="20"/>
                <w:szCs w:val="20"/>
              </w:rPr>
            </w:pPr>
          </w:p>
        </w:tc>
        <w:tc>
          <w:tcPr>
            <w:tcW w:w="1370" w:type="dxa"/>
            <w:hideMark/>
          </w:tcPr>
          <w:p w14:paraId="65F38587" w14:textId="77777777" w:rsidR="00D66388" w:rsidRPr="00292779" w:rsidRDefault="00D66388" w:rsidP="0024187D">
            <w:pPr>
              <w:jc w:val="center"/>
              <w:rPr>
                <w:sz w:val="20"/>
                <w:szCs w:val="20"/>
              </w:rPr>
            </w:pPr>
          </w:p>
        </w:tc>
        <w:tc>
          <w:tcPr>
            <w:tcW w:w="1430" w:type="dxa"/>
            <w:hideMark/>
          </w:tcPr>
          <w:p w14:paraId="4A568B92" w14:textId="77777777" w:rsidR="00D66388" w:rsidRPr="00292779" w:rsidRDefault="00D66388" w:rsidP="0024187D">
            <w:pPr>
              <w:jc w:val="center"/>
              <w:rPr>
                <w:sz w:val="20"/>
                <w:szCs w:val="20"/>
              </w:rPr>
            </w:pPr>
          </w:p>
        </w:tc>
        <w:tc>
          <w:tcPr>
            <w:tcW w:w="620" w:type="dxa"/>
          </w:tcPr>
          <w:p w14:paraId="75353FB8" w14:textId="77777777" w:rsidR="00D66388" w:rsidRPr="00292779" w:rsidRDefault="00D66388" w:rsidP="0024187D">
            <w:pPr>
              <w:jc w:val="center"/>
              <w:rPr>
                <w:sz w:val="20"/>
                <w:szCs w:val="20"/>
              </w:rPr>
            </w:pPr>
          </w:p>
        </w:tc>
        <w:tc>
          <w:tcPr>
            <w:tcW w:w="1430" w:type="dxa"/>
            <w:noWrap/>
            <w:hideMark/>
          </w:tcPr>
          <w:p w14:paraId="16DA7453" w14:textId="77777777" w:rsidR="00D66388" w:rsidRPr="00292779" w:rsidRDefault="00D66388" w:rsidP="0024187D">
            <w:pPr>
              <w:jc w:val="center"/>
              <w:rPr>
                <w:sz w:val="20"/>
                <w:szCs w:val="20"/>
              </w:rPr>
            </w:pPr>
          </w:p>
        </w:tc>
        <w:tc>
          <w:tcPr>
            <w:tcW w:w="681" w:type="dxa"/>
          </w:tcPr>
          <w:p w14:paraId="55AD5F01" w14:textId="77777777" w:rsidR="00D66388" w:rsidRPr="00292779" w:rsidRDefault="00D66388" w:rsidP="0024187D">
            <w:pPr>
              <w:jc w:val="center"/>
              <w:rPr>
                <w:sz w:val="20"/>
                <w:szCs w:val="20"/>
              </w:rPr>
            </w:pPr>
          </w:p>
        </w:tc>
      </w:tr>
      <w:tr w:rsidR="00D66388" w:rsidRPr="00292779" w14:paraId="11F53996" w14:textId="77777777" w:rsidTr="0024187D">
        <w:trPr>
          <w:trHeight w:val="207"/>
        </w:trPr>
        <w:tc>
          <w:tcPr>
            <w:tcW w:w="2324" w:type="dxa"/>
            <w:hideMark/>
          </w:tcPr>
          <w:p w14:paraId="04B3B52D" w14:textId="77777777" w:rsidR="00D66388" w:rsidRPr="00292779" w:rsidRDefault="00D66388" w:rsidP="0024187D">
            <w:pPr>
              <w:rPr>
                <w:color w:val="000000"/>
                <w:sz w:val="18"/>
                <w:szCs w:val="18"/>
              </w:rPr>
            </w:pPr>
            <w:r w:rsidRPr="00292779">
              <w:rPr>
                <w:color w:val="000000"/>
                <w:sz w:val="18"/>
                <w:szCs w:val="18"/>
              </w:rPr>
              <w:t xml:space="preserve">   Rule-Breaking Behavior</w:t>
            </w:r>
          </w:p>
        </w:tc>
        <w:tc>
          <w:tcPr>
            <w:tcW w:w="1434" w:type="dxa"/>
            <w:hideMark/>
          </w:tcPr>
          <w:p w14:paraId="7D3A2914" w14:textId="77777777" w:rsidR="00D66388" w:rsidRPr="00292779" w:rsidRDefault="00D66388" w:rsidP="0024187D">
            <w:pPr>
              <w:jc w:val="center"/>
              <w:rPr>
                <w:color w:val="000000"/>
                <w:sz w:val="18"/>
                <w:szCs w:val="18"/>
              </w:rPr>
            </w:pPr>
            <w:r w:rsidRPr="00292779">
              <w:rPr>
                <w:color w:val="000000"/>
                <w:sz w:val="18"/>
                <w:szCs w:val="18"/>
              </w:rPr>
              <w:t>1.91 (2.31)</w:t>
            </w:r>
          </w:p>
        </w:tc>
        <w:tc>
          <w:tcPr>
            <w:tcW w:w="1367" w:type="dxa"/>
            <w:hideMark/>
          </w:tcPr>
          <w:p w14:paraId="3B46EB23" w14:textId="77777777" w:rsidR="00D66388" w:rsidRPr="00292779" w:rsidRDefault="00D66388" w:rsidP="0024187D">
            <w:pPr>
              <w:jc w:val="center"/>
              <w:rPr>
                <w:color w:val="000000"/>
                <w:sz w:val="18"/>
                <w:szCs w:val="18"/>
              </w:rPr>
            </w:pPr>
            <w:r w:rsidRPr="00292779">
              <w:rPr>
                <w:color w:val="000000"/>
                <w:sz w:val="18"/>
                <w:szCs w:val="18"/>
              </w:rPr>
              <w:t>1.39 (1.87)</w:t>
            </w:r>
          </w:p>
        </w:tc>
        <w:tc>
          <w:tcPr>
            <w:tcW w:w="711" w:type="dxa"/>
          </w:tcPr>
          <w:p w14:paraId="2AB775C2" w14:textId="77777777" w:rsidR="00D66388" w:rsidRPr="00292779" w:rsidRDefault="00D66388" w:rsidP="0024187D">
            <w:pPr>
              <w:jc w:val="center"/>
              <w:rPr>
                <w:color w:val="000000"/>
                <w:sz w:val="18"/>
                <w:szCs w:val="18"/>
              </w:rPr>
            </w:pPr>
            <w:r w:rsidRPr="00292779">
              <w:rPr>
                <w:color w:val="000000"/>
                <w:sz w:val="18"/>
                <w:szCs w:val="18"/>
              </w:rPr>
              <w:t>-0.22</w:t>
            </w:r>
          </w:p>
        </w:tc>
        <w:tc>
          <w:tcPr>
            <w:tcW w:w="1475" w:type="dxa"/>
            <w:gridSpan w:val="2"/>
            <w:noWrap/>
            <w:hideMark/>
          </w:tcPr>
          <w:p w14:paraId="5B2D575C" w14:textId="77777777" w:rsidR="00D66388" w:rsidRPr="00292779" w:rsidRDefault="00D66388" w:rsidP="0024187D">
            <w:pPr>
              <w:jc w:val="center"/>
              <w:rPr>
                <w:color w:val="000000"/>
                <w:sz w:val="18"/>
                <w:szCs w:val="18"/>
              </w:rPr>
            </w:pPr>
            <w:r w:rsidRPr="00292779">
              <w:rPr>
                <w:color w:val="000000"/>
                <w:sz w:val="18"/>
                <w:szCs w:val="18"/>
              </w:rPr>
              <w:t>1.97 (2.31)</w:t>
            </w:r>
          </w:p>
        </w:tc>
        <w:tc>
          <w:tcPr>
            <w:tcW w:w="681" w:type="dxa"/>
          </w:tcPr>
          <w:p w14:paraId="757D53FD" w14:textId="77777777" w:rsidR="00D66388" w:rsidRPr="00292779" w:rsidRDefault="00D66388" w:rsidP="0024187D">
            <w:pPr>
              <w:jc w:val="center"/>
              <w:rPr>
                <w:color w:val="000000"/>
                <w:sz w:val="18"/>
                <w:szCs w:val="18"/>
              </w:rPr>
            </w:pPr>
            <w:r w:rsidRPr="00292779">
              <w:rPr>
                <w:color w:val="000000"/>
                <w:sz w:val="18"/>
                <w:szCs w:val="18"/>
              </w:rPr>
              <w:t>0.03</w:t>
            </w:r>
          </w:p>
        </w:tc>
        <w:tc>
          <w:tcPr>
            <w:tcW w:w="1370" w:type="dxa"/>
            <w:hideMark/>
          </w:tcPr>
          <w:p w14:paraId="640BFC81" w14:textId="77777777" w:rsidR="00D66388" w:rsidRPr="00292779" w:rsidRDefault="00D66388" w:rsidP="0024187D">
            <w:pPr>
              <w:jc w:val="center"/>
              <w:rPr>
                <w:color w:val="000000"/>
                <w:sz w:val="18"/>
                <w:szCs w:val="18"/>
              </w:rPr>
            </w:pPr>
            <w:r w:rsidRPr="00292779">
              <w:rPr>
                <w:color w:val="000000"/>
                <w:sz w:val="18"/>
                <w:szCs w:val="18"/>
              </w:rPr>
              <w:t>1.98 (2.16)</w:t>
            </w:r>
          </w:p>
        </w:tc>
        <w:tc>
          <w:tcPr>
            <w:tcW w:w="1430" w:type="dxa"/>
            <w:hideMark/>
          </w:tcPr>
          <w:p w14:paraId="3AE2DAC6" w14:textId="77777777" w:rsidR="00D66388" w:rsidRPr="00292779" w:rsidRDefault="00D66388" w:rsidP="0024187D">
            <w:pPr>
              <w:jc w:val="center"/>
              <w:rPr>
                <w:color w:val="000000"/>
                <w:sz w:val="18"/>
                <w:szCs w:val="18"/>
              </w:rPr>
            </w:pPr>
            <w:r w:rsidRPr="00292779">
              <w:rPr>
                <w:color w:val="000000"/>
                <w:sz w:val="18"/>
                <w:szCs w:val="18"/>
              </w:rPr>
              <w:t>2.31 (2.61)</w:t>
            </w:r>
          </w:p>
        </w:tc>
        <w:tc>
          <w:tcPr>
            <w:tcW w:w="620" w:type="dxa"/>
          </w:tcPr>
          <w:p w14:paraId="2BEFA5B6" w14:textId="77777777" w:rsidR="00D66388" w:rsidRPr="00292779" w:rsidRDefault="00D66388" w:rsidP="0024187D">
            <w:pPr>
              <w:jc w:val="center"/>
              <w:rPr>
                <w:color w:val="000000"/>
                <w:sz w:val="18"/>
                <w:szCs w:val="18"/>
              </w:rPr>
            </w:pPr>
            <w:r w:rsidRPr="00292779">
              <w:rPr>
                <w:color w:val="000000"/>
                <w:sz w:val="18"/>
                <w:szCs w:val="18"/>
              </w:rPr>
              <w:t>0.16</w:t>
            </w:r>
          </w:p>
        </w:tc>
        <w:tc>
          <w:tcPr>
            <w:tcW w:w="1430" w:type="dxa"/>
            <w:noWrap/>
            <w:hideMark/>
          </w:tcPr>
          <w:p w14:paraId="23B51168" w14:textId="77777777" w:rsidR="00D66388" w:rsidRPr="00292779" w:rsidRDefault="00D66388" w:rsidP="0024187D">
            <w:pPr>
              <w:jc w:val="center"/>
              <w:rPr>
                <w:color w:val="000000"/>
                <w:sz w:val="18"/>
                <w:szCs w:val="18"/>
              </w:rPr>
            </w:pPr>
            <w:r w:rsidRPr="00292779">
              <w:rPr>
                <w:color w:val="000000"/>
                <w:sz w:val="18"/>
                <w:szCs w:val="18"/>
              </w:rPr>
              <w:t>1.85 (2.33)</w:t>
            </w:r>
          </w:p>
        </w:tc>
        <w:tc>
          <w:tcPr>
            <w:tcW w:w="681" w:type="dxa"/>
          </w:tcPr>
          <w:p w14:paraId="746997E6" w14:textId="77777777" w:rsidR="00D66388" w:rsidRPr="00292779" w:rsidRDefault="00D66388" w:rsidP="0024187D">
            <w:pPr>
              <w:jc w:val="center"/>
              <w:rPr>
                <w:color w:val="000000"/>
                <w:sz w:val="18"/>
                <w:szCs w:val="18"/>
              </w:rPr>
            </w:pPr>
            <w:r w:rsidRPr="00292779">
              <w:rPr>
                <w:color w:val="000000"/>
                <w:sz w:val="18"/>
                <w:szCs w:val="18"/>
              </w:rPr>
              <w:t>-0.06</w:t>
            </w:r>
          </w:p>
        </w:tc>
      </w:tr>
      <w:tr w:rsidR="00D66388" w:rsidRPr="00292779" w14:paraId="4D8DE598" w14:textId="77777777" w:rsidTr="0024187D">
        <w:trPr>
          <w:trHeight w:val="207"/>
        </w:trPr>
        <w:tc>
          <w:tcPr>
            <w:tcW w:w="2324" w:type="dxa"/>
            <w:hideMark/>
          </w:tcPr>
          <w:p w14:paraId="07AED9AE" w14:textId="77777777" w:rsidR="00D66388" w:rsidRPr="00292779" w:rsidRDefault="00D66388" w:rsidP="0024187D">
            <w:pPr>
              <w:rPr>
                <w:color w:val="000000"/>
                <w:sz w:val="18"/>
                <w:szCs w:val="18"/>
              </w:rPr>
            </w:pPr>
            <w:r w:rsidRPr="00292779">
              <w:rPr>
                <w:color w:val="000000"/>
                <w:sz w:val="18"/>
                <w:szCs w:val="18"/>
              </w:rPr>
              <w:t xml:space="preserve">  Aggressive Behavior</w:t>
            </w:r>
          </w:p>
        </w:tc>
        <w:tc>
          <w:tcPr>
            <w:tcW w:w="1434" w:type="dxa"/>
            <w:hideMark/>
          </w:tcPr>
          <w:p w14:paraId="59E1A5CD" w14:textId="77777777" w:rsidR="00D66388" w:rsidRPr="00292779" w:rsidRDefault="00D66388" w:rsidP="0024187D">
            <w:pPr>
              <w:jc w:val="center"/>
              <w:rPr>
                <w:color w:val="000000"/>
                <w:sz w:val="18"/>
                <w:szCs w:val="18"/>
              </w:rPr>
            </w:pPr>
            <w:r w:rsidRPr="00292779">
              <w:rPr>
                <w:color w:val="000000"/>
                <w:sz w:val="18"/>
                <w:szCs w:val="18"/>
              </w:rPr>
              <w:t>3.84 (4.02)</w:t>
            </w:r>
          </w:p>
        </w:tc>
        <w:tc>
          <w:tcPr>
            <w:tcW w:w="1367" w:type="dxa"/>
            <w:hideMark/>
          </w:tcPr>
          <w:p w14:paraId="40A28F27" w14:textId="77777777" w:rsidR="00D66388" w:rsidRPr="00292779" w:rsidRDefault="00D66388" w:rsidP="0024187D">
            <w:pPr>
              <w:jc w:val="center"/>
              <w:rPr>
                <w:color w:val="000000"/>
                <w:sz w:val="18"/>
                <w:szCs w:val="18"/>
              </w:rPr>
            </w:pPr>
            <w:r w:rsidRPr="00292779">
              <w:rPr>
                <w:color w:val="000000"/>
                <w:sz w:val="18"/>
                <w:szCs w:val="18"/>
              </w:rPr>
              <w:t>3.62 (4.22)</w:t>
            </w:r>
          </w:p>
        </w:tc>
        <w:tc>
          <w:tcPr>
            <w:tcW w:w="711" w:type="dxa"/>
          </w:tcPr>
          <w:p w14:paraId="375A914D" w14:textId="77777777" w:rsidR="00D66388" w:rsidRPr="00292779" w:rsidRDefault="00D66388" w:rsidP="0024187D">
            <w:pPr>
              <w:jc w:val="center"/>
              <w:rPr>
                <w:color w:val="000000"/>
                <w:sz w:val="18"/>
                <w:szCs w:val="18"/>
              </w:rPr>
            </w:pPr>
            <w:r w:rsidRPr="00292779">
              <w:rPr>
                <w:color w:val="000000"/>
                <w:sz w:val="18"/>
                <w:szCs w:val="18"/>
              </w:rPr>
              <w:t>-0.05</w:t>
            </w:r>
          </w:p>
        </w:tc>
        <w:tc>
          <w:tcPr>
            <w:tcW w:w="1475" w:type="dxa"/>
            <w:gridSpan w:val="2"/>
            <w:noWrap/>
            <w:hideMark/>
          </w:tcPr>
          <w:p w14:paraId="2885116A" w14:textId="77777777" w:rsidR="00D66388" w:rsidRPr="00292779" w:rsidRDefault="00D66388" w:rsidP="0024187D">
            <w:pPr>
              <w:jc w:val="center"/>
              <w:rPr>
                <w:color w:val="000000"/>
                <w:sz w:val="18"/>
                <w:szCs w:val="18"/>
              </w:rPr>
            </w:pPr>
            <w:r w:rsidRPr="00292779">
              <w:rPr>
                <w:color w:val="000000"/>
                <w:sz w:val="18"/>
                <w:szCs w:val="18"/>
              </w:rPr>
              <w:t>3.84 (4.32)</w:t>
            </w:r>
          </w:p>
        </w:tc>
        <w:tc>
          <w:tcPr>
            <w:tcW w:w="681" w:type="dxa"/>
          </w:tcPr>
          <w:p w14:paraId="13F9CC34" w14:textId="77777777" w:rsidR="00D66388" w:rsidRPr="00292779" w:rsidRDefault="00D66388" w:rsidP="0024187D">
            <w:pPr>
              <w:jc w:val="center"/>
              <w:rPr>
                <w:color w:val="000000"/>
                <w:sz w:val="18"/>
                <w:szCs w:val="18"/>
              </w:rPr>
            </w:pPr>
            <w:r w:rsidRPr="00292779">
              <w:rPr>
                <w:color w:val="000000"/>
                <w:sz w:val="18"/>
                <w:szCs w:val="18"/>
              </w:rPr>
              <w:t>0.00</w:t>
            </w:r>
          </w:p>
        </w:tc>
        <w:tc>
          <w:tcPr>
            <w:tcW w:w="1370" w:type="dxa"/>
            <w:hideMark/>
          </w:tcPr>
          <w:p w14:paraId="711B9F4F" w14:textId="77777777" w:rsidR="00D66388" w:rsidRPr="00292779" w:rsidRDefault="00D66388" w:rsidP="0024187D">
            <w:pPr>
              <w:jc w:val="center"/>
              <w:rPr>
                <w:color w:val="000000"/>
                <w:sz w:val="18"/>
                <w:szCs w:val="18"/>
              </w:rPr>
            </w:pPr>
            <w:r w:rsidRPr="00292779">
              <w:rPr>
                <w:color w:val="000000"/>
                <w:sz w:val="18"/>
                <w:szCs w:val="18"/>
              </w:rPr>
              <w:t>4.54 (4.52)</w:t>
            </w:r>
          </w:p>
        </w:tc>
        <w:tc>
          <w:tcPr>
            <w:tcW w:w="1430" w:type="dxa"/>
            <w:hideMark/>
          </w:tcPr>
          <w:p w14:paraId="4BBB9149" w14:textId="77777777" w:rsidR="00D66388" w:rsidRPr="00292779" w:rsidRDefault="00D66388" w:rsidP="0024187D">
            <w:pPr>
              <w:jc w:val="center"/>
              <w:rPr>
                <w:color w:val="000000"/>
                <w:sz w:val="18"/>
                <w:szCs w:val="18"/>
              </w:rPr>
            </w:pPr>
            <w:r w:rsidRPr="00292779">
              <w:rPr>
                <w:color w:val="000000"/>
                <w:sz w:val="18"/>
                <w:szCs w:val="18"/>
              </w:rPr>
              <w:t>3.76 (3.73)</w:t>
            </w:r>
          </w:p>
        </w:tc>
        <w:tc>
          <w:tcPr>
            <w:tcW w:w="620" w:type="dxa"/>
          </w:tcPr>
          <w:p w14:paraId="75C17376" w14:textId="77777777" w:rsidR="00D66388" w:rsidRPr="00292779" w:rsidRDefault="00D66388" w:rsidP="0024187D">
            <w:pPr>
              <w:jc w:val="center"/>
              <w:rPr>
                <w:color w:val="000000"/>
                <w:sz w:val="18"/>
                <w:szCs w:val="18"/>
              </w:rPr>
            </w:pPr>
            <w:r w:rsidRPr="00292779">
              <w:rPr>
                <w:color w:val="000000"/>
                <w:sz w:val="18"/>
                <w:szCs w:val="18"/>
              </w:rPr>
              <w:t>-0.17</w:t>
            </w:r>
          </w:p>
        </w:tc>
        <w:tc>
          <w:tcPr>
            <w:tcW w:w="1430" w:type="dxa"/>
            <w:noWrap/>
            <w:hideMark/>
          </w:tcPr>
          <w:p w14:paraId="19775CD2" w14:textId="77777777" w:rsidR="00D66388" w:rsidRPr="00292779" w:rsidRDefault="00D66388" w:rsidP="0024187D">
            <w:pPr>
              <w:jc w:val="center"/>
              <w:rPr>
                <w:color w:val="000000"/>
                <w:sz w:val="18"/>
                <w:szCs w:val="18"/>
              </w:rPr>
            </w:pPr>
            <w:r w:rsidRPr="00292779">
              <w:rPr>
                <w:color w:val="000000"/>
                <w:sz w:val="18"/>
                <w:szCs w:val="18"/>
              </w:rPr>
              <w:t>3.69 (3.85)</w:t>
            </w:r>
          </w:p>
        </w:tc>
        <w:tc>
          <w:tcPr>
            <w:tcW w:w="681" w:type="dxa"/>
          </w:tcPr>
          <w:p w14:paraId="1330ADF2" w14:textId="77777777" w:rsidR="00D66388" w:rsidRPr="00292779" w:rsidRDefault="00D66388" w:rsidP="0024187D">
            <w:pPr>
              <w:jc w:val="center"/>
              <w:rPr>
                <w:color w:val="000000"/>
                <w:sz w:val="18"/>
                <w:szCs w:val="18"/>
              </w:rPr>
            </w:pPr>
            <w:r w:rsidRPr="00292779">
              <w:rPr>
                <w:color w:val="000000"/>
                <w:sz w:val="18"/>
                <w:szCs w:val="18"/>
              </w:rPr>
              <w:t>-0.19</w:t>
            </w:r>
          </w:p>
        </w:tc>
      </w:tr>
      <w:tr w:rsidR="00D66388" w:rsidRPr="00292779" w14:paraId="4564BDC4" w14:textId="77777777" w:rsidTr="0024187D">
        <w:trPr>
          <w:trHeight w:val="207"/>
        </w:trPr>
        <w:tc>
          <w:tcPr>
            <w:tcW w:w="2324" w:type="dxa"/>
            <w:hideMark/>
          </w:tcPr>
          <w:p w14:paraId="57ADD966"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437A0E72" w14:textId="77777777" w:rsidR="00D66388" w:rsidRPr="00292779" w:rsidRDefault="00D66388" w:rsidP="0024187D">
            <w:pPr>
              <w:jc w:val="center"/>
              <w:rPr>
                <w:color w:val="000000"/>
                <w:sz w:val="18"/>
                <w:szCs w:val="18"/>
              </w:rPr>
            </w:pPr>
            <w:r w:rsidRPr="00292779">
              <w:rPr>
                <w:color w:val="000000"/>
                <w:sz w:val="18"/>
                <w:szCs w:val="18"/>
              </w:rPr>
              <w:t>-0.005 (0.91)</w:t>
            </w:r>
          </w:p>
        </w:tc>
        <w:tc>
          <w:tcPr>
            <w:tcW w:w="1367" w:type="dxa"/>
            <w:hideMark/>
          </w:tcPr>
          <w:p w14:paraId="3C8916F0" w14:textId="77777777" w:rsidR="00D66388" w:rsidRPr="00292779" w:rsidRDefault="00D66388" w:rsidP="0024187D">
            <w:pPr>
              <w:jc w:val="center"/>
              <w:rPr>
                <w:sz w:val="20"/>
                <w:szCs w:val="20"/>
              </w:rPr>
            </w:pPr>
            <w:r w:rsidRPr="00292779">
              <w:rPr>
                <w:color w:val="000000"/>
                <w:sz w:val="18"/>
                <w:szCs w:val="18"/>
              </w:rPr>
              <w:t>-0.14 (0.86)</w:t>
            </w:r>
          </w:p>
        </w:tc>
        <w:tc>
          <w:tcPr>
            <w:tcW w:w="711" w:type="dxa"/>
          </w:tcPr>
          <w:p w14:paraId="7241C1C3" w14:textId="77777777" w:rsidR="00D66388" w:rsidRPr="00292779" w:rsidRDefault="00D66388" w:rsidP="0024187D">
            <w:pPr>
              <w:jc w:val="center"/>
              <w:rPr>
                <w:color w:val="000000"/>
                <w:sz w:val="18"/>
                <w:szCs w:val="18"/>
              </w:rPr>
            </w:pPr>
            <w:r w:rsidRPr="00292779">
              <w:rPr>
                <w:color w:val="000000"/>
                <w:sz w:val="18"/>
                <w:szCs w:val="18"/>
              </w:rPr>
              <w:t>-0.15</w:t>
            </w:r>
          </w:p>
        </w:tc>
        <w:tc>
          <w:tcPr>
            <w:tcW w:w="1475" w:type="dxa"/>
            <w:gridSpan w:val="2"/>
            <w:noWrap/>
            <w:hideMark/>
          </w:tcPr>
          <w:p w14:paraId="5FB3481B" w14:textId="77777777" w:rsidR="00D66388" w:rsidRPr="00292779" w:rsidRDefault="00D66388" w:rsidP="0024187D">
            <w:pPr>
              <w:jc w:val="center"/>
              <w:rPr>
                <w:sz w:val="20"/>
                <w:szCs w:val="20"/>
              </w:rPr>
            </w:pPr>
            <w:r w:rsidRPr="00292779">
              <w:rPr>
                <w:color w:val="000000"/>
                <w:sz w:val="18"/>
                <w:szCs w:val="18"/>
              </w:rPr>
              <w:t>0.01 (0.96)</w:t>
            </w:r>
          </w:p>
        </w:tc>
        <w:tc>
          <w:tcPr>
            <w:tcW w:w="681" w:type="dxa"/>
          </w:tcPr>
          <w:p w14:paraId="7BE20DCB" w14:textId="77777777" w:rsidR="00D66388" w:rsidRPr="00292779" w:rsidRDefault="00D66388" w:rsidP="0024187D">
            <w:pPr>
              <w:jc w:val="center"/>
              <w:rPr>
                <w:color w:val="000000"/>
                <w:sz w:val="18"/>
                <w:szCs w:val="18"/>
              </w:rPr>
            </w:pPr>
            <w:r w:rsidRPr="00292779">
              <w:rPr>
                <w:color w:val="000000"/>
                <w:sz w:val="18"/>
                <w:szCs w:val="18"/>
              </w:rPr>
              <w:t>0.01</w:t>
            </w:r>
          </w:p>
        </w:tc>
        <w:tc>
          <w:tcPr>
            <w:tcW w:w="1370" w:type="dxa"/>
            <w:hideMark/>
          </w:tcPr>
          <w:p w14:paraId="2A382AB8" w14:textId="77777777" w:rsidR="00D66388" w:rsidRPr="00292779" w:rsidRDefault="00D66388" w:rsidP="0024187D">
            <w:pPr>
              <w:jc w:val="center"/>
              <w:rPr>
                <w:sz w:val="20"/>
                <w:szCs w:val="20"/>
              </w:rPr>
            </w:pPr>
            <w:r w:rsidRPr="00292779">
              <w:rPr>
                <w:color w:val="000000"/>
                <w:sz w:val="18"/>
                <w:szCs w:val="18"/>
              </w:rPr>
              <w:t>0.09 (0.88)</w:t>
            </w:r>
          </w:p>
        </w:tc>
        <w:tc>
          <w:tcPr>
            <w:tcW w:w="1430" w:type="dxa"/>
            <w:hideMark/>
          </w:tcPr>
          <w:p w14:paraId="47CBA5FE" w14:textId="77777777" w:rsidR="00D66388" w:rsidRPr="00292779" w:rsidRDefault="00D66388" w:rsidP="0024187D">
            <w:pPr>
              <w:jc w:val="center"/>
              <w:rPr>
                <w:sz w:val="20"/>
                <w:szCs w:val="20"/>
              </w:rPr>
            </w:pPr>
            <w:r w:rsidRPr="00292779">
              <w:rPr>
                <w:color w:val="000000"/>
                <w:sz w:val="18"/>
                <w:szCs w:val="18"/>
              </w:rPr>
              <w:t>0.07 (0.92)</w:t>
            </w:r>
          </w:p>
        </w:tc>
        <w:tc>
          <w:tcPr>
            <w:tcW w:w="620" w:type="dxa"/>
          </w:tcPr>
          <w:p w14:paraId="6AABD03F" w14:textId="77777777" w:rsidR="00D66388" w:rsidRPr="00292779" w:rsidRDefault="00D66388" w:rsidP="0024187D">
            <w:pPr>
              <w:jc w:val="center"/>
              <w:rPr>
                <w:color w:val="000000"/>
                <w:sz w:val="18"/>
                <w:szCs w:val="18"/>
              </w:rPr>
            </w:pPr>
            <w:r w:rsidRPr="00292779">
              <w:rPr>
                <w:color w:val="000000"/>
                <w:sz w:val="18"/>
                <w:szCs w:val="18"/>
              </w:rPr>
              <w:t>-0.02</w:t>
            </w:r>
          </w:p>
        </w:tc>
        <w:tc>
          <w:tcPr>
            <w:tcW w:w="1430" w:type="dxa"/>
            <w:noWrap/>
            <w:hideMark/>
          </w:tcPr>
          <w:p w14:paraId="5C60EBF5" w14:textId="77777777" w:rsidR="00D66388" w:rsidRPr="00292779" w:rsidRDefault="00D66388" w:rsidP="0024187D">
            <w:pPr>
              <w:jc w:val="center"/>
              <w:rPr>
                <w:sz w:val="20"/>
                <w:szCs w:val="20"/>
              </w:rPr>
            </w:pPr>
            <w:r w:rsidRPr="00292779">
              <w:rPr>
                <w:color w:val="000000"/>
                <w:sz w:val="18"/>
                <w:szCs w:val="18"/>
              </w:rPr>
              <w:t>-0.03 (0.87)</w:t>
            </w:r>
          </w:p>
        </w:tc>
        <w:tc>
          <w:tcPr>
            <w:tcW w:w="681" w:type="dxa"/>
          </w:tcPr>
          <w:p w14:paraId="0D490580" w14:textId="77777777" w:rsidR="00D66388" w:rsidRPr="00292779" w:rsidRDefault="00D66388" w:rsidP="0024187D">
            <w:pPr>
              <w:jc w:val="center"/>
              <w:rPr>
                <w:color w:val="000000"/>
                <w:sz w:val="18"/>
                <w:szCs w:val="18"/>
              </w:rPr>
            </w:pPr>
            <w:r w:rsidRPr="00292779">
              <w:rPr>
                <w:color w:val="000000"/>
                <w:sz w:val="18"/>
                <w:szCs w:val="18"/>
              </w:rPr>
              <w:t>-0.15</w:t>
            </w:r>
          </w:p>
        </w:tc>
      </w:tr>
      <w:tr w:rsidR="00D66388" w:rsidRPr="00292779" w14:paraId="37EDD6AA" w14:textId="77777777" w:rsidTr="0024187D">
        <w:trPr>
          <w:trHeight w:val="207"/>
        </w:trPr>
        <w:tc>
          <w:tcPr>
            <w:tcW w:w="2324" w:type="dxa"/>
            <w:hideMark/>
          </w:tcPr>
          <w:p w14:paraId="44D0DFDF" w14:textId="77777777" w:rsidR="00D66388" w:rsidRPr="00292779" w:rsidRDefault="00D66388" w:rsidP="0024187D">
            <w:pPr>
              <w:rPr>
                <w:color w:val="000000"/>
                <w:sz w:val="18"/>
                <w:szCs w:val="18"/>
              </w:rPr>
            </w:pPr>
            <w:r w:rsidRPr="00292779">
              <w:rPr>
                <w:i/>
                <w:iCs/>
                <w:color w:val="000000"/>
                <w:sz w:val="18"/>
                <w:szCs w:val="18"/>
              </w:rPr>
              <w:t>Social Health</w:t>
            </w:r>
          </w:p>
        </w:tc>
        <w:tc>
          <w:tcPr>
            <w:tcW w:w="1434" w:type="dxa"/>
            <w:hideMark/>
          </w:tcPr>
          <w:p w14:paraId="1C29356C" w14:textId="77777777" w:rsidR="00D66388" w:rsidRPr="00292779" w:rsidRDefault="00D66388" w:rsidP="0024187D">
            <w:pPr>
              <w:jc w:val="center"/>
              <w:rPr>
                <w:color w:val="000000"/>
                <w:sz w:val="18"/>
                <w:szCs w:val="18"/>
              </w:rPr>
            </w:pPr>
          </w:p>
        </w:tc>
        <w:tc>
          <w:tcPr>
            <w:tcW w:w="1367" w:type="dxa"/>
            <w:hideMark/>
          </w:tcPr>
          <w:p w14:paraId="73F327AE" w14:textId="77777777" w:rsidR="00D66388" w:rsidRPr="00292779" w:rsidRDefault="00D66388" w:rsidP="0024187D">
            <w:pPr>
              <w:jc w:val="center"/>
              <w:rPr>
                <w:sz w:val="20"/>
                <w:szCs w:val="20"/>
              </w:rPr>
            </w:pPr>
          </w:p>
        </w:tc>
        <w:tc>
          <w:tcPr>
            <w:tcW w:w="711" w:type="dxa"/>
          </w:tcPr>
          <w:p w14:paraId="524627EF" w14:textId="77777777" w:rsidR="00D66388" w:rsidRPr="00292779" w:rsidRDefault="00D66388" w:rsidP="0024187D">
            <w:pPr>
              <w:jc w:val="center"/>
              <w:rPr>
                <w:sz w:val="20"/>
                <w:szCs w:val="20"/>
              </w:rPr>
            </w:pPr>
          </w:p>
        </w:tc>
        <w:tc>
          <w:tcPr>
            <w:tcW w:w="1475" w:type="dxa"/>
            <w:gridSpan w:val="2"/>
            <w:noWrap/>
            <w:hideMark/>
          </w:tcPr>
          <w:p w14:paraId="6876E10D" w14:textId="77777777" w:rsidR="00D66388" w:rsidRPr="00292779" w:rsidRDefault="00D66388" w:rsidP="0024187D">
            <w:pPr>
              <w:jc w:val="center"/>
              <w:rPr>
                <w:sz w:val="20"/>
                <w:szCs w:val="20"/>
              </w:rPr>
            </w:pPr>
          </w:p>
        </w:tc>
        <w:tc>
          <w:tcPr>
            <w:tcW w:w="681" w:type="dxa"/>
          </w:tcPr>
          <w:p w14:paraId="33A498C6" w14:textId="77777777" w:rsidR="00D66388" w:rsidRPr="00292779" w:rsidRDefault="00D66388" w:rsidP="0024187D">
            <w:pPr>
              <w:jc w:val="center"/>
              <w:rPr>
                <w:sz w:val="20"/>
                <w:szCs w:val="20"/>
              </w:rPr>
            </w:pPr>
          </w:p>
        </w:tc>
        <w:tc>
          <w:tcPr>
            <w:tcW w:w="1370" w:type="dxa"/>
            <w:hideMark/>
          </w:tcPr>
          <w:p w14:paraId="4C85B0BB" w14:textId="77777777" w:rsidR="00D66388" w:rsidRPr="00292779" w:rsidRDefault="00D66388" w:rsidP="0024187D">
            <w:pPr>
              <w:jc w:val="center"/>
              <w:rPr>
                <w:sz w:val="20"/>
                <w:szCs w:val="20"/>
              </w:rPr>
            </w:pPr>
          </w:p>
        </w:tc>
        <w:tc>
          <w:tcPr>
            <w:tcW w:w="1430" w:type="dxa"/>
            <w:hideMark/>
          </w:tcPr>
          <w:p w14:paraId="3FD9D6BE" w14:textId="77777777" w:rsidR="00D66388" w:rsidRPr="00292779" w:rsidRDefault="00D66388" w:rsidP="0024187D">
            <w:pPr>
              <w:jc w:val="center"/>
              <w:rPr>
                <w:sz w:val="20"/>
                <w:szCs w:val="20"/>
              </w:rPr>
            </w:pPr>
          </w:p>
        </w:tc>
        <w:tc>
          <w:tcPr>
            <w:tcW w:w="620" w:type="dxa"/>
          </w:tcPr>
          <w:p w14:paraId="23100494" w14:textId="77777777" w:rsidR="00D66388" w:rsidRPr="00292779" w:rsidRDefault="00D66388" w:rsidP="0024187D">
            <w:pPr>
              <w:jc w:val="center"/>
              <w:rPr>
                <w:sz w:val="20"/>
                <w:szCs w:val="20"/>
              </w:rPr>
            </w:pPr>
          </w:p>
        </w:tc>
        <w:tc>
          <w:tcPr>
            <w:tcW w:w="1430" w:type="dxa"/>
            <w:noWrap/>
            <w:hideMark/>
          </w:tcPr>
          <w:p w14:paraId="388C552B" w14:textId="77777777" w:rsidR="00D66388" w:rsidRPr="00292779" w:rsidRDefault="00D66388" w:rsidP="0024187D">
            <w:pPr>
              <w:jc w:val="center"/>
              <w:rPr>
                <w:sz w:val="20"/>
                <w:szCs w:val="20"/>
              </w:rPr>
            </w:pPr>
          </w:p>
        </w:tc>
        <w:tc>
          <w:tcPr>
            <w:tcW w:w="681" w:type="dxa"/>
          </w:tcPr>
          <w:p w14:paraId="7AAC1D52" w14:textId="77777777" w:rsidR="00D66388" w:rsidRPr="00292779" w:rsidRDefault="00D66388" w:rsidP="0024187D">
            <w:pPr>
              <w:jc w:val="center"/>
              <w:rPr>
                <w:sz w:val="20"/>
                <w:szCs w:val="20"/>
              </w:rPr>
            </w:pPr>
          </w:p>
        </w:tc>
      </w:tr>
      <w:tr w:rsidR="00D66388" w:rsidRPr="00292779" w14:paraId="6D34793E" w14:textId="77777777" w:rsidTr="0024187D">
        <w:trPr>
          <w:trHeight w:val="207"/>
        </w:trPr>
        <w:tc>
          <w:tcPr>
            <w:tcW w:w="2324" w:type="dxa"/>
            <w:hideMark/>
          </w:tcPr>
          <w:p w14:paraId="3A51059C" w14:textId="77777777" w:rsidR="00D66388" w:rsidRPr="00292779" w:rsidRDefault="00D66388" w:rsidP="0024187D">
            <w:pPr>
              <w:rPr>
                <w:color w:val="000000"/>
                <w:sz w:val="18"/>
                <w:szCs w:val="18"/>
              </w:rPr>
            </w:pPr>
            <w:r w:rsidRPr="00292779">
              <w:rPr>
                <w:color w:val="000000"/>
                <w:sz w:val="18"/>
                <w:szCs w:val="18"/>
              </w:rPr>
              <w:t xml:space="preserve">  Social Problems</w:t>
            </w:r>
          </w:p>
        </w:tc>
        <w:tc>
          <w:tcPr>
            <w:tcW w:w="1434" w:type="dxa"/>
            <w:hideMark/>
          </w:tcPr>
          <w:p w14:paraId="515100F2" w14:textId="77777777" w:rsidR="00D66388" w:rsidRPr="00292779" w:rsidRDefault="00D66388" w:rsidP="0024187D">
            <w:pPr>
              <w:jc w:val="center"/>
              <w:rPr>
                <w:color w:val="000000"/>
                <w:sz w:val="18"/>
                <w:szCs w:val="18"/>
              </w:rPr>
            </w:pPr>
            <w:r w:rsidRPr="00292779">
              <w:rPr>
                <w:color w:val="000000"/>
                <w:sz w:val="18"/>
                <w:szCs w:val="18"/>
              </w:rPr>
              <w:t>1.36 (1.52)</w:t>
            </w:r>
          </w:p>
        </w:tc>
        <w:tc>
          <w:tcPr>
            <w:tcW w:w="1367" w:type="dxa"/>
            <w:hideMark/>
          </w:tcPr>
          <w:p w14:paraId="2B9E2480" w14:textId="77777777" w:rsidR="00D66388" w:rsidRPr="00292779" w:rsidRDefault="00D66388" w:rsidP="0024187D">
            <w:pPr>
              <w:jc w:val="center"/>
              <w:rPr>
                <w:color w:val="000000"/>
                <w:sz w:val="18"/>
                <w:szCs w:val="18"/>
              </w:rPr>
            </w:pPr>
            <w:r w:rsidRPr="00292779">
              <w:rPr>
                <w:color w:val="000000"/>
                <w:sz w:val="18"/>
                <w:szCs w:val="18"/>
              </w:rPr>
              <w:t>1.24 (1.81)</w:t>
            </w:r>
          </w:p>
        </w:tc>
        <w:tc>
          <w:tcPr>
            <w:tcW w:w="711" w:type="dxa"/>
          </w:tcPr>
          <w:p w14:paraId="6CEAFB25" w14:textId="77777777" w:rsidR="00D66388" w:rsidRPr="00292779" w:rsidRDefault="00D66388" w:rsidP="0024187D">
            <w:pPr>
              <w:jc w:val="center"/>
              <w:rPr>
                <w:color w:val="000000"/>
                <w:sz w:val="18"/>
                <w:szCs w:val="18"/>
              </w:rPr>
            </w:pPr>
            <w:r w:rsidRPr="00292779">
              <w:rPr>
                <w:color w:val="000000"/>
                <w:sz w:val="18"/>
                <w:szCs w:val="18"/>
              </w:rPr>
              <w:t>-0.08</w:t>
            </w:r>
          </w:p>
        </w:tc>
        <w:tc>
          <w:tcPr>
            <w:tcW w:w="1475" w:type="dxa"/>
            <w:gridSpan w:val="2"/>
            <w:noWrap/>
            <w:hideMark/>
          </w:tcPr>
          <w:p w14:paraId="0DB1A092" w14:textId="77777777" w:rsidR="00D66388" w:rsidRPr="00292779" w:rsidRDefault="00D66388" w:rsidP="0024187D">
            <w:pPr>
              <w:jc w:val="center"/>
              <w:rPr>
                <w:color w:val="000000"/>
                <w:sz w:val="18"/>
                <w:szCs w:val="18"/>
              </w:rPr>
            </w:pPr>
            <w:r w:rsidRPr="00292779">
              <w:rPr>
                <w:color w:val="000000"/>
                <w:sz w:val="18"/>
                <w:szCs w:val="18"/>
              </w:rPr>
              <w:t>1.25 (1.72)</w:t>
            </w:r>
          </w:p>
        </w:tc>
        <w:tc>
          <w:tcPr>
            <w:tcW w:w="681" w:type="dxa"/>
          </w:tcPr>
          <w:p w14:paraId="7269CAB1" w14:textId="77777777" w:rsidR="00D66388" w:rsidRPr="00292779" w:rsidRDefault="00D66388" w:rsidP="0024187D">
            <w:pPr>
              <w:jc w:val="center"/>
              <w:rPr>
                <w:color w:val="000000"/>
                <w:sz w:val="18"/>
                <w:szCs w:val="18"/>
              </w:rPr>
            </w:pPr>
            <w:r w:rsidRPr="00292779">
              <w:rPr>
                <w:color w:val="000000"/>
                <w:sz w:val="18"/>
                <w:szCs w:val="18"/>
              </w:rPr>
              <w:t>-0.07</w:t>
            </w:r>
          </w:p>
        </w:tc>
        <w:tc>
          <w:tcPr>
            <w:tcW w:w="1370" w:type="dxa"/>
            <w:hideMark/>
          </w:tcPr>
          <w:p w14:paraId="5F91D758" w14:textId="77777777" w:rsidR="00D66388" w:rsidRPr="00292779" w:rsidRDefault="00D66388" w:rsidP="0024187D">
            <w:pPr>
              <w:jc w:val="center"/>
              <w:rPr>
                <w:color w:val="000000"/>
                <w:sz w:val="18"/>
                <w:szCs w:val="18"/>
              </w:rPr>
            </w:pPr>
            <w:r w:rsidRPr="00292779">
              <w:rPr>
                <w:color w:val="000000"/>
                <w:sz w:val="18"/>
                <w:szCs w:val="18"/>
              </w:rPr>
              <w:t>1.86 (2.15)</w:t>
            </w:r>
          </w:p>
        </w:tc>
        <w:tc>
          <w:tcPr>
            <w:tcW w:w="1430" w:type="dxa"/>
            <w:hideMark/>
          </w:tcPr>
          <w:p w14:paraId="78FF2C4C" w14:textId="77777777" w:rsidR="00D66388" w:rsidRPr="00292779" w:rsidRDefault="00D66388" w:rsidP="0024187D">
            <w:pPr>
              <w:jc w:val="center"/>
              <w:rPr>
                <w:color w:val="000000"/>
                <w:sz w:val="18"/>
                <w:szCs w:val="18"/>
              </w:rPr>
            </w:pPr>
            <w:r w:rsidRPr="00292779">
              <w:rPr>
                <w:color w:val="000000"/>
                <w:sz w:val="18"/>
                <w:szCs w:val="18"/>
              </w:rPr>
              <w:t>1.83 (2.49)</w:t>
            </w:r>
          </w:p>
        </w:tc>
        <w:tc>
          <w:tcPr>
            <w:tcW w:w="620" w:type="dxa"/>
          </w:tcPr>
          <w:p w14:paraId="70535DF0" w14:textId="77777777" w:rsidR="00D66388" w:rsidRPr="00292779" w:rsidRDefault="00D66388" w:rsidP="0024187D">
            <w:pPr>
              <w:jc w:val="center"/>
              <w:rPr>
                <w:color w:val="000000"/>
                <w:sz w:val="18"/>
                <w:szCs w:val="18"/>
              </w:rPr>
            </w:pPr>
            <w:r w:rsidRPr="00292779">
              <w:rPr>
                <w:color w:val="000000"/>
                <w:sz w:val="18"/>
                <w:szCs w:val="18"/>
              </w:rPr>
              <w:t>-0.01</w:t>
            </w:r>
          </w:p>
        </w:tc>
        <w:tc>
          <w:tcPr>
            <w:tcW w:w="1430" w:type="dxa"/>
            <w:noWrap/>
            <w:hideMark/>
          </w:tcPr>
          <w:p w14:paraId="4947A39E" w14:textId="77777777" w:rsidR="00D66388" w:rsidRPr="00292779" w:rsidRDefault="00D66388" w:rsidP="0024187D">
            <w:pPr>
              <w:jc w:val="center"/>
              <w:rPr>
                <w:color w:val="000000"/>
                <w:sz w:val="18"/>
                <w:szCs w:val="18"/>
              </w:rPr>
            </w:pPr>
            <w:r w:rsidRPr="00292779">
              <w:rPr>
                <w:color w:val="000000"/>
                <w:sz w:val="18"/>
                <w:szCs w:val="18"/>
              </w:rPr>
              <w:t>1.44 (1.91)</w:t>
            </w:r>
          </w:p>
        </w:tc>
        <w:tc>
          <w:tcPr>
            <w:tcW w:w="681" w:type="dxa"/>
          </w:tcPr>
          <w:p w14:paraId="5C5CBFBC" w14:textId="77777777" w:rsidR="00D66388" w:rsidRPr="00292779" w:rsidRDefault="00D66388" w:rsidP="0024187D">
            <w:pPr>
              <w:jc w:val="center"/>
              <w:rPr>
                <w:color w:val="000000"/>
                <w:sz w:val="18"/>
                <w:szCs w:val="18"/>
              </w:rPr>
            </w:pPr>
            <w:r w:rsidRPr="00292779">
              <w:rPr>
                <w:color w:val="000000"/>
                <w:sz w:val="18"/>
                <w:szCs w:val="18"/>
              </w:rPr>
              <w:t>-0.19</w:t>
            </w:r>
          </w:p>
        </w:tc>
      </w:tr>
      <w:tr w:rsidR="00D66388" w:rsidRPr="00292779" w14:paraId="24AA639E" w14:textId="77777777" w:rsidTr="0024187D">
        <w:trPr>
          <w:trHeight w:val="207"/>
        </w:trPr>
        <w:tc>
          <w:tcPr>
            <w:tcW w:w="2324" w:type="dxa"/>
            <w:hideMark/>
          </w:tcPr>
          <w:p w14:paraId="111C3996"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02D9DEED" w14:textId="77777777" w:rsidR="00D66388" w:rsidRPr="00292779" w:rsidRDefault="00D66388" w:rsidP="0024187D">
            <w:pPr>
              <w:jc w:val="center"/>
              <w:rPr>
                <w:color w:val="000000"/>
                <w:sz w:val="18"/>
                <w:szCs w:val="18"/>
              </w:rPr>
            </w:pPr>
            <w:r w:rsidRPr="00292779">
              <w:rPr>
                <w:color w:val="000000"/>
                <w:sz w:val="18"/>
                <w:szCs w:val="18"/>
              </w:rPr>
              <w:t>-0.07 (0.77)</w:t>
            </w:r>
          </w:p>
        </w:tc>
        <w:tc>
          <w:tcPr>
            <w:tcW w:w="1367" w:type="dxa"/>
            <w:hideMark/>
          </w:tcPr>
          <w:p w14:paraId="7B49DCBF" w14:textId="77777777" w:rsidR="00D66388" w:rsidRPr="00292779" w:rsidRDefault="00D66388" w:rsidP="0024187D">
            <w:pPr>
              <w:jc w:val="center"/>
              <w:rPr>
                <w:sz w:val="20"/>
                <w:szCs w:val="20"/>
              </w:rPr>
            </w:pPr>
            <w:r w:rsidRPr="00292779">
              <w:rPr>
                <w:color w:val="000000"/>
                <w:sz w:val="18"/>
                <w:szCs w:val="18"/>
              </w:rPr>
              <w:t>-0.13 (0.92)</w:t>
            </w:r>
          </w:p>
        </w:tc>
        <w:tc>
          <w:tcPr>
            <w:tcW w:w="711" w:type="dxa"/>
          </w:tcPr>
          <w:p w14:paraId="5BA6837F" w14:textId="77777777" w:rsidR="00D66388" w:rsidRPr="00292779" w:rsidRDefault="00D66388" w:rsidP="0024187D">
            <w:pPr>
              <w:jc w:val="center"/>
              <w:rPr>
                <w:color w:val="000000"/>
                <w:sz w:val="18"/>
                <w:szCs w:val="18"/>
              </w:rPr>
            </w:pPr>
            <w:r w:rsidRPr="00292779">
              <w:rPr>
                <w:color w:val="000000"/>
                <w:sz w:val="18"/>
                <w:szCs w:val="18"/>
              </w:rPr>
              <w:t>-0.08</w:t>
            </w:r>
          </w:p>
        </w:tc>
        <w:tc>
          <w:tcPr>
            <w:tcW w:w="1475" w:type="dxa"/>
            <w:gridSpan w:val="2"/>
            <w:noWrap/>
            <w:hideMark/>
          </w:tcPr>
          <w:p w14:paraId="1E0F9680" w14:textId="77777777" w:rsidR="00D66388" w:rsidRPr="00292779" w:rsidRDefault="00D66388" w:rsidP="0024187D">
            <w:pPr>
              <w:jc w:val="center"/>
              <w:rPr>
                <w:sz w:val="20"/>
                <w:szCs w:val="20"/>
              </w:rPr>
            </w:pPr>
            <w:r w:rsidRPr="00292779">
              <w:rPr>
                <w:color w:val="000000"/>
                <w:sz w:val="18"/>
                <w:szCs w:val="18"/>
              </w:rPr>
              <w:t>-0.13 (0.88)</w:t>
            </w:r>
          </w:p>
        </w:tc>
        <w:tc>
          <w:tcPr>
            <w:tcW w:w="681" w:type="dxa"/>
          </w:tcPr>
          <w:p w14:paraId="570D6D89" w14:textId="77777777" w:rsidR="00D66388" w:rsidRPr="00292779" w:rsidRDefault="00D66388" w:rsidP="0024187D">
            <w:pPr>
              <w:jc w:val="center"/>
              <w:rPr>
                <w:color w:val="000000"/>
                <w:sz w:val="18"/>
                <w:szCs w:val="18"/>
              </w:rPr>
            </w:pPr>
            <w:r w:rsidRPr="00292779">
              <w:rPr>
                <w:color w:val="000000"/>
                <w:sz w:val="18"/>
                <w:szCs w:val="18"/>
              </w:rPr>
              <w:t>-0.07</w:t>
            </w:r>
          </w:p>
        </w:tc>
        <w:tc>
          <w:tcPr>
            <w:tcW w:w="1370" w:type="dxa"/>
            <w:hideMark/>
          </w:tcPr>
          <w:p w14:paraId="39301416" w14:textId="77777777" w:rsidR="00D66388" w:rsidRPr="00292779" w:rsidRDefault="00D66388" w:rsidP="0024187D">
            <w:pPr>
              <w:jc w:val="center"/>
              <w:rPr>
                <w:sz w:val="20"/>
                <w:szCs w:val="20"/>
              </w:rPr>
            </w:pPr>
            <w:r w:rsidRPr="00292779">
              <w:rPr>
                <w:color w:val="000000"/>
                <w:sz w:val="18"/>
                <w:szCs w:val="18"/>
              </w:rPr>
              <w:t>0.18 (1.09)</w:t>
            </w:r>
          </w:p>
        </w:tc>
        <w:tc>
          <w:tcPr>
            <w:tcW w:w="1430" w:type="dxa"/>
            <w:hideMark/>
          </w:tcPr>
          <w:p w14:paraId="047F5860" w14:textId="77777777" w:rsidR="00D66388" w:rsidRPr="00292779" w:rsidRDefault="00D66388" w:rsidP="0024187D">
            <w:pPr>
              <w:jc w:val="center"/>
              <w:rPr>
                <w:sz w:val="20"/>
                <w:szCs w:val="20"/>
              </w:rPr>
            </w:pPr>
            <w:r w:rsidRPr="00292779">
              <w:rPr>
                <w:color w:val="000000"/>
                <w:sz w:val="18"/>
                <w:szCs w:val="18"/>
              </w:rPr>
              <w:t>0.16 (1.27)</w:t>
            </w:r>
          </w:p>
        </w:tc>
        <w:tc>
          <w:tcPr>
            <w:tcW w:w="620" w:type="dxa"/>
          </w:tcPr>
          <w:p w14:paraId="246E2030" w14:textId="77777777" w:rsidR="00D66388" w:rsidRPr="00292779" w:rsidRDefault="00D66388" w:rsidP="0024187D">
            <w:pPr>
              <w:jc w:val="center"/>
              <w:rPr>
                <w:color w:val="000000"/>
                <w:sz w:val="18"/>
                <w:szCs w:val="18"/>
              </w:rPr>
            </w:pPr>
            <w:r w:rsidRPr="00292779">
              <w:rPr>
                <w:color w:val="000000"/>
                <w:sz w:val="18"/>
                <w:szCs w:val="18"/>
              </w:rPr>
              <w:t>-0.01</w:t>
            </w:r>
          </w:p>
        </w:tc>
        <w:tc>
          <w:tcPr>
            <w:tcW w:w="1430" w:type="dxa"/>
            <w:noWrap/>
            <w:hideMark/>
          </w:tcPr>
          <w:p w14:paraId="2FD58597" w14:textId="77777777" w:rsidR="00D66388" w:rsidRPr="00292779" w:rsidRDefault="00D66388" w:rsidP="0024187D">
            <w:pPr>
              <w:jc w:val="center"/>
              <w:rPr>
                <w:sz w:val="20"/>
                <w:szCs w:val="20"/>
              </w:rPr>
            </w:pPr>
            <w:r w:rsidRPr="00292779">
              <w:rPr>
                <w:color w:val="000000"/>
                <w:sz w:val="18"/>
                <w:szCs w:val="18"/>
              </w:rPr>
              <w:t>-0.03 (0.97)</w:t>
            </w:r>
          </w:p>
        </w:tc>
        <w:tc>
          <w:tcPr>
            <w:tcW w:w="681" w:type="dxa"/>
          </w:tcPr>
          <w:p w14:paraId="2D72B584" w14:textId="77777777" w:rsidR="00D66388" w:rsidRPr="00292779" w:rsidRDefault="00D66388" w:rsidP="0024187D">
            <w:pPr>
              <w:jc w:val="center"/>
              <w:rPr>
                <w:color w:val="000000"/>
                <w:sz w:val="18"/>
                <w:szCs w:val="18"/>
              </w:rPr>
            </w:pPr>
            <w:r w:rsidRPr="00292779">
              <w:rPr>
                <w:color w:val="000000"/>
                <w:sz w:val="18"/>
                <w:szCs w:val="18"/>
              </w:rPr>
              <w:t>-0.19</w:t>
            </w:r>
          </w:p>
        </w:tc>
      </w:tr>
      <w:tr w:rsidR="00D66388" w:rsidRPr="00292779" w14:paraId="70695844" w14:textId="77777777" w:rsidTr="0024187D">
        <w:trPr>
          <w:trHeight w:val="207"/>
        </w:trPr>
        <w:tc>
          <w:tcPr>
            <w:tcW w:w="2324" w:type="dxa"/>
            <w:hideMark/>
          </w:tcPr>
          <w:p w14:paraId="37BC75FF" w14:textId="77777777" w:rsidR="00D66388" w:rsidRPr="00292779" w:rsidRDefault="00D66388" w:rsidP="0024187D">
            <w:pPr>
              <w:rPr>
                <w:color w:val="000000"/>
                <w:sz w:val="18"/>
                <w:szCs w:val="18"/>
              </w:rPr>
            </w:pPr>
            <w:r w:rsidRPr="00292779">
              <w:rPr>
                <w:i/>
                <w:iCs/>
                <w:color w:val="000000"/>
                <w:sz w:val="18"/>
                <w:szCs w:val="18"/>
              </w:rPr>
              <w:t>Physical Health</w:t>
            </w:r>
          </w:p>
        </w:tc>
        <w:tc>
          <w:tcPr>
            <w:tcW w:w="1434" w:type="dxa"/>
            <w:hideMark/>
          </w:tcPr>
          <w:p w14:paraId="54078A0F" w14:textId="77777777" w:rsidR="00D66388" w:rsidRPr="00292779" w:rsidRDefault="00D66388" w:rsidP="0024187D">
            <w:pPr>
              <w:jc w:val="center"/>
              <w:rPr>
                <w:color w:val="000000"/>
                <w:sz w:val="18"/>
                <w:szCs w:val="18"/>
              </w:rPr>
            </w:pPr>
          </w:p>
        </w:tc>
        <w:tc>
          <w:tcPr>
            <w:tcW w:w="1367" w:type="dxa"/>
            <w:hideMark/>
          </w:tcPr>
          <w:p w14:paraId="404833CC" w14:textId="77777777" w:rsidR="00D66388" w:rsidRPr="00292779" w:rsidRDefault="00D66388" w:rsidP="0024187D">
            <w:pPr>
              <w:jc w:val="center"/>
              <w:rPr>
                <w:sz w:val="20"/>
                <w:szCs w:val="20"/>
              </w:rPr>
            </w:pPr>
          </w:p>
        </w:tc>
        <w:tc>
          <w:tcPr>
            <w:tcW w:w="711" w:type="dxa"/>
          </w:tcPr>
          <w:p w14:paraId="2CF7E47D" w14:textId="77777777" w:rsidR="00D66388" w:rsidRPr="00292779" w:rsidRDefault="00D66388" w:rsidP="0024187D">
            <w:pPr>
              <w:jc w:val="center"/>
              <w:rPr>
                <w:sz w:val="20"/>
                <w:szCs w:val="20"/>
              </w:rPr>
            </w:pPr>
          </w:p>
        </w:tc>
        <w:tc>
          <w:tcPr>
            <w:tcW w:w="1475" w:type="dxa"/>
            <w:gridSpan w:val="2"/>
            <w:noWrap/>
            <w:hideMark/>
          </w:tcPr>
          <w:p w14:paraId="3D055EE9" w14:textId="77777777" w:rsidR="00D66388" w:rsidRPr="00292779" w:rsidRDefault="00D66388" w:rsidP="0024187D">
            <w:pPr>
              <w:jc w:val="center"/>
              <w:rPr>
                <w:sz w:val="20"/>
                <w:szCs w:val="20"/>
              </w:rPr>
            </w:pPr>
          </w:p>
        </w:tc>
        <w:tc>
          <w:tcPr>
            <w:tcW w:w="681" w:type="dxa"/>
          </w:tcPr>
          <w:p w14:paraId="1216DFC6" w14:textId="77777777" w:rsidR="00D66388" w:rsidRPr="00292779" w:rsidRDefault="00D66388" w:rsidP="0024187D">
            <w:pPr>
              <w:jc w:val="center"/>
              <w:rPr>
                <w:sz w:val="20"/>
                <w:szCs w:val="20"/>
              </w:rPr>
            </w:pPr>
          </w:p>
        </w:tc>
        <w:tc>
          <w:tcPr>
            <w:tcW w:w="1370" w:type="dxa"/>
            <w:hideMark/>
          </w:tcPr>
          <w:p w14:paraId="12935B37" w14:textId="77777777" w:rsidR="00D66388" w:rsidRPr="00292779" w:rsidRDefault="00D66388" w:rsidP="0024187D">
            <w:pPr>
              <w:jc w:val="center"/>
              <w:rPr>
                <w:sz w:val="20"/>
                <w:szCs w:val="20"/>
              </w:rPr>
            </w:pPr>
          </w:p>
        </w:tc>
        <w:tc>
          <w:tcPr>
            <w:tcW w:w="1430" w:type="dxa"/>
            <w:hideMark/>
          </w:tcPr>
          <w:p w14:paraId="3A1F0DDE" w14:textId="77777777" w:rsidR="00D66388" w:rsidRPr="00292779" w:rsidRDefault="00D66388" w:rsidP="0024187D">
            <w:pPr>
              <w:jc w:val="center"/>
              <w:rPr>
                <w:sz w:val="20"/>
                <w:szCs w:val="20"/>
              </w:rPr>
            </w:pPr>
          </w:p>
        </w:tc>
        <w:tc>
          <w:tcPr>
            <w:tcW w:w="620" w:type="dxa"/>
          </w:tcPr>
          <w:p w14:paraId="5463E307" w14:textId="77777777" w:rsidR="00D66388" w:rsidRPr="00292779" w:rsidRDefault="00D66388" w:rsidP="0024187D">
            <w:pPr>
              <w:jc w:val="center"/>
              <w:rPr>
                <w:sz w:val="20"/>
                <w:szCs w:val="20"/>
              </w:rPr>
            </w:pPr>
          </w:p>
        </w:tc>
        <w:tc>
          <w:tcPr>
            <w:tcW w:w="1430" w:type="dxa"/>
            <w:noWrap/>
            <w:hideMark/>
          </w:tcPr>
          <w:p w14:paraId="1709542B" w14:textId="77777777" w:rsidR="00D66388" w:rsidRPr="00292779" w:rsidRDefault="00D66388" w:rsidP="0024187D">
            <w:pPr>
              <w:jc w:val="center"/>
              <w:rPr>
                <w:sz w:val="20"/>
                <w:szCs w:val="20"/>
              </w:rPr>
            </w:pPr>
          </w:p>
        </w:tc>
        <w:tc>
          <w:tcPr>
            <w:tcW w:w="681" w:type="dxa"/>
          </w:tcPr>
          <w:p w14:paraId="5BEEBA2E" w14:textId="77777777" w:rsidR="00D66388" w:rsidRPr="00292779" w:rsidRDefault="00D66388" w:rsidP="0024187D">
            <w:pPr>
              <w:jc w:val="center"/>
              <w:rPr>
                <w:sz w:val="20"/>
                <w:szCs w:val="20"/>
              </w:rPr>
            </w:pPr>
          </w:p>
        </w:tc>
      </w:tr>
      <w:tr w:rsidR="00D66388" w:rsidRPr="00292779" w14:paraId="6DFEF49D" w14:textId="77777777" w:rsidTr="0024187D">
        <w:trPr>
          <w:trHeight w:val="207"/>
        </w:trPr>
        <w:tc>
          <w:tcPr>
            <w:tcW w:w="2324" w:type="dxa"/>
            <w:hideMark/>
          </w:tcPr>
          <w:p w14:paraId="146C1594" w14:textId="77777777" w:rsidR="00D66388" w:rsidRPr="00292779" w:rsidRDefault="00D66388" w:rsidP="0024187D">
            <w:pPr>
              <w:rPr>
                <w:color w:val="000000"/>
                <w:sz w:val="18"/>
                <w:szCs w:val="18"/>
              </w:rPr>
            </w:pPr>
            <w:r w:rsidRPr="00292779">
              <w:rPr>
                <w:color w:val="000000"/>
                <w:sz w:val="18"/>
                <w:szCs w:val="18"/>
              </w:rPr>
              <w:t xml:space="preserve">  Somatic Complaints</w:t>
            </w:r>
          </w:p>
        </w:tc>
        <w:tc>
          <w:tcPr>
            <w:tcW w:w="1434" w:type="dxa"/>
            <w:hideMark/>
          </w:tcPr>
          <w:p w14:paraId="11847F66" w14:textId="77777777" w:rsidR="00D66388" w:rsidRPr="00292779" w:rsidRDefault="00D66388" w:rsidP="0024187D">
            <w:pPr>
              <w:jc w:val="center"/>
              <w:rPr>
                <w:color w:val="000000"/>
                <w:sz w:val="18"/>
                <w:szCs w:val="18"/>
              </w:rPr>
            </w:pPr>
            <w:r w:rsidRPr="00292779">
              <w:rPr>
                <w:color w:val="000000"/>
                <w:sz w:val="18"/>
                <w:szCs w:val="18"/>
              </w:rPr>
              <w:t>2.89 (3.11)</w:t>
            </w:r>
          </w:p>
        </w:tc>
        <w:tc>
          <w:tcPr>
            <w:tcW w:w="1367" w:type="dxa"/>
            <w:hideMark/>
          </w:tcPr>
          <w:p w14:paraId="23181B1D" w14:textId="77777777" w:rsidR="00D66388" w:rsidRPr="00292779" w:rsidRDefault="00D66388" w:rsidP="0024187D">
            <w:pPr>
              <w:jc w:val="center"/>
              <w:rPr>
                <w:color w:val="000000"/>
                <w:sz w:val="18"/>
                <w:szCs w:val="18"/>
              </w:rPr>
            </w:pPr>
            <w:r w:rsidRPr="00292779">
              <w:rPr>
                <w:color w:val="000000"/>
                <w:sz w:val="18"/>
                <w:szCs w:val="18"/>
              </w:rPr>
              <w:t>2.14 (2.75)</w:t>
            </w:r>
          </w:p>
        </w:tc>
        <w:tc>
          <w:tcPr>
            <w:tcW w:w="711" w:type="dxa"/>
          </w:tcPr>
          <w:p w14:paraId="6ED4DDB5" w14:textId="77777777" w:rsidR="00D66388" w:rsidRPr="00292779" w:rsidRDefault="00D66388" w:rsidP="0024187D">
            <w:pPr>
              <w:jc w:val="center"/>
              <w:rPr>
                <w:color w:val="000000"/>
                <w:sz w:val="18"/>
                <w:szCs w:val="18"/>
              </w:rPr>
            </w:pPr>
            <w:r w:rsidRPr="00292779">
              <w:rPr>
                <w:color w:val="000000"/>
                <w:sz w:val="18"/>
                <w:szCs w:val="18"/>
              </w:rPr>
              <w:t>-0.24</w:t>
            </w:r>
          </w:p>
        </w:tc>
        <w:tc>
          <w:tcPr>
            <w:tcW w:w="1475" w:type="dxa"/>
            <w:gridSpan w:val="2"/>
            <w:noWrap/>
            <w:hideMark/>
          </w:tcPr>
          <w:p w14:paraId="774A4F1A" w14:textId="77777777" w:rsidR="00D66388" w:rsidRPr="00292779" w:rsidRDefault="00D66388" w:rsidP="0024187D">
            <w:pPr>
              <w:jc w:val="center"/>
              <w:rPr>
                <w:color w:val="000000"/>
                <w:sz w:val="18"/>
                <w:szCs w:val="18"/>
              </w:rPr>
            </w:pPr>
            <w:r w:rsidRPr="00292779">
              <w:rPr>
                <w:color w:val="000000"/>
                <w:sz w:val="18"/>
                <w:szCs w:val="18"/>
              </w:rPr>
              <w:t>1.94 (2.45)</w:t>
            </w:r>
          </w:p>
        </w:tc>
        <w:tc>
          <w:tcPr>
            <w:tcW w:w="681" w:type="dxa"/>
          </w:tcPr>
          <w:p w14:paraId="78C99D71" w14:textId="77777777" w:rsidR="00D66388" w:rsidRPr="00292779" w:rsidRDefault="00D66388" w:rsidP="0024187D">
            <w:pPr>
              <w:jc w:val="center"/>
              <w:rPr>
                <w:color w:val="000000"/>
                <w:sz w:val="18"/>
                <w:szCs w:val="18"/>
              </w:rPr>
            </w:pPr>
            <w:r w:rsidRPr="00292779">
              <w:rPr>
                <w:color w:val="000000"/>
                <w:sz w:val="18"/>
                <w:szCs w:val="18"/>
              </w:rPr>
              <w:t>-0.30</w:t>
            </w:r>
          </w:p>
        </w:tc>
        <w:tc>
          <w:tcPr>
            <w:tcW w:w="1370" w:type="dxa"/>
            <w:hideMark/>
          </w:tcPr>
          <w:p w14:paraId="69A9E1C6" w14:textId="77777777" w:rsidR="00D66388" w:rsidRPr="00292779" w:rsidRDefault="00D66388" w:rsidP="0024187D">
            <w:pPr>
              <w:jc w:val="center"/>
              <w:rPr>
                <w:color w:val="000000"/>
                <w:sz w:val="18"/>
                <w:szCs w:val="18"/>
              </w:rPr>
            </w:pPr>
            <w:r w:rsidRPr="00292779">
              <w:rPr>
                <w:color w:val="000000"/>
                <w:sz w:val="18"/>
                <w:szCs w:val="18"/>
              </w:rPr>
              <w:t>2.49 (2.74)</w:t>
            </w:r>
          </w:p>
        </w:tc>
        <w:tc>
          <w:tcPr>
            <w:tcW w:w="1430" w:type="dxa"/>
            <w:hideMark/>
          </w:tcPr>
          <w:p w14:paraId="35474E29" w14:textId="77777777" w:rsidR="00D66388" w:rsidRPr="00292779" w:rsidRDefault="00D66388" w:rsidP="0024187D">
            <w:pPr>
              <w:jc w:val="center"/>
              <w:rPr>
                <w:color w:val="000000"/>
                <w:sz w:val="18"/>
                <w:szCs w:val="18"/>
              </w:rPr>
            </w:pPr>
            <w:r w:rsidRPr="00292779">
              <w:rPr>
                <w:color w:val="000000"/>
                <w:sz w:val="18"/>
                <w:szCs w:val="18"/>
              </w:rPr>
              <w:t>2.01 (2.43)</w:t>
            </w:r>
          </w:p>
        </w:tc>
        <w:tc>
          <w:tcPr>
            <w:tcW w:w="620" w:type="dxa"/>
          </w:tcPr>
          <w:p w14:paraId="0B8E3D96" w14:textId="77777777" w:rsidR="00D66388" w:rsidRPr="00292779" w:rsidRDefault="00D66388" w:rsidP="0024187D">
            <w:pPr>
              <w:jc w:val="center"/>
              <w:rPr>
                <w:color w:val="000000"/>
                <w:sz w:val="18"/>
                <w:szCs w:val="18"/>
              </w:rPr>
            </w:pPr>
            <w:r w:rsidRPr="00292779">
              <w:rPr>
                <w:color w:val="000000"/>
                <w:sz w:val="18"/>
                <w:szCs w:val="18"/>
              </w:rPr>
              <w:t>-0.17</w:t>
            </w:r>
          </w:p>
        </w:tc>
        <w:tc>
          <w:tcPr>
            <w:tcW w:w="1430" w:type="dxa"/>
            <w:noWrap/>
            <w:hideMark/>
          </w:tcPr>
          <w:p w14:paraId="6ADD49EE" w14:textId="77777777" w:rsidR="00D66388" w:rsidRPr="00292779" w:rsidRDefault="00D66388" w:rsidP="0024187D">
            <w:pPr>
              <w:jc w:val="center"/>
              <w:rPr>
                <w:color w:val="000000"/>
                <w:sz w:val="18"/>
                <w:szCs w:val="18"/>
              </w:rPr>
            </w:pPr>
            <w:r w:rsidRPr="00292779">
              <w:rPr>
                <w:color w:val="000000"/>
                <w:sz w:val="18"/>
                <w:szCs w:val="18"/>
              </w:rPr>
              <w:t>1.93 (2.12)</w:t>
            </w:r>
          </w:p>
        </w:tc>
        <w:tc>
          <w:tcPr>
            <w:tcW w:w="681" w:type="dxa"/>
          </w:tcPr>
          <w:p w14:paraId="466A1045" w14:textId="77777777" w:rsidR="00D66388" w:rsidRPr="00292779" w:rsidRDefault="00D66388" w:rsidP="0024187D">
            <w:pPr>
              <w:jc w:val="center"/>
              <w:rPr>
                <w:color w:val="000000"/>
                <w:sz w:val="18"/>
                <w:szCs w:val="18"/>
              </w:rPr>
            </w:pPr>
            <w:r w:rsidRPr="00292779">
              <w:rPr>
                <w:color w:val="000000"/>
                <w:sz w:val="18"/>
                <w:szCs w:val="18"/>
              </w:rPr>
              <w:t>-0.20</w:t>
            </w:r>
          </w:p>
        </w:tc>
      </w:tr>
      <w:tr w:rsidR="00D66388" w:rsidRPr="00292779" w14:paraId="6D3CEB02" w14:textId="77777777" w:rsidTr="0024187D">
        <w:trPr>
          <w:trHeight w:val="68"/>
        </w:trPr>
        <w:tc>
          <w:tcPr>
            <w:tcW w:w="2324" w:type="dxa"/>
            <w:hideMark/>
          </w:tcPr>
          <w:p w14:paraId="68FB2B29"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06B3B51D" w14:textId="77777777" w:rsidR="00D66388" w:rsidRPr="00292779" w:rsidRDefault="00D66388" w:rsidP="0024187D">
            <w:pPr>
              <w:jc w:val="center"/>
              <w:rPr>
                <w:color w:val="000000"/>
                <w:sz w:val="18"/>
                <w:szCs w:val="18"/>
              </w:rPr>
            </w:pPr>
            <w:r w:rsidRPr="00292779">
              <w:rPr>
                <w:color w:val="000000"/>
                <w:sz w:val="18"/>
                <w:szCs w:val="18"/>
              </w:rPr>
              <w:t>0.24 (1.17)</w:t>
            </w:r>
          </w:p>
        </w:tc>
        <w:tc>
          <w:tcPr>
            <w:tcW w:w="1367" w:type="dxa"/>
            <w:hideMark/>
          </w:tcPr>
          <w:p w14:paraId="3737DE9F" w14:textId="77777777" w:rsidR="00D66388" w:rsidRPr="00292779" w:rsidRDefault="00D66388" w:rsidP="0024187D">
            <w:pPr>
              <w:jc w:val="center"/>
              <w:rPr>
                <w:sz w:val="20"/>
                <w:szCs w:val="20"/>
              </w:rPr>
            </w:pPr>
            <w:r w:rsidRPr="00292779">
              <w:rPr>
                <w:color w:val="000000"/>
                <w:sz w:val="18"/>
                <w:szCs w:val="18"/>
              </w:rPr>
              <w:t>-0.04 (1.04)</w:t>
            </w:r>
          </w:p>
        </w:tc>
        <w:tc>
          <w:tcPr>
            <w:tcW w:w="711" w:type="dxa"/>
          </w:tcPr>
          <w:p w14:paraId="75643F5E" w14:textId="77777777" w:rsidR="00D66388" w:rsidRPr="00292779" w:rsidRDefault="00D66388" w:rsidP="0024187D">
            <w:pPr>
              <w:jc w:val="center"/>
              <w:rPr>
                <w:color w:val="000000"/>
                <w:sz w:val="18"/>
                <w:szCs w:val="18"/>
              </w:rPr>
            </w:pPr>
            <w:r w:rsidRPr="00292779">
              <w:rPr>
                <w:color w:val="000000"/>
                <w:sz w:val="18"/>
                <w:szCs w:val="18"/>
              </w:rPr>
              <w:t>-0.24</w:t>
            </w:r>
          </w:p>
        </w:tc>
        <w:tc>
          <w:tcPr>
            <w:tcW w:w="1475" w:type="dxa"/>
            <w:gridSpan w:val="2"/>
            <w:noWrap/>
            <w:hideMark/>
          </w:tcPr>
          <w:p w14:paraId="21DFEF8A" w14:textId="77777777" w:rsidR="00D66388" w:rsidRPr="00292779" w:rsidRDefault="00D66388" w:rsidP="0024187D">
            <w:pPr>
              <w:jc w:val="center"/>
              <w:rPr>
                <w:sz w:val="20"/>
                <w:szCs w:val="20"/>
              </w:rPr>
            </w:pPr>
            <w:r w:rsidRPr="00292779">
              <w:rPr>
                <w:color w:val="000000"/>
                <w:sz w:val="18"/>
                <w:szCs w:val="18"/>
              </w:rPr>
              <w:t>-0.12 (0.93)</w:t>
            </w:r>
          </w:p>
        </w:tc>
        <w:tc>
          <w:tcPr>
            <w:tcW w:w="681" w:type="dxa"/>
          </w:tcPr>
          <w:p w14:paraId="26F53450" w14:textId="77777777" w:rsidR="00D66388" w:rsidRPr="00292779" w:rsidRDefault="00D66388" w:rsidP="0024187D">
            <w:pPr>
              <w:jc w:val="center"/>
              <w:rPr>
                <w:color w:val="000000"/>
                <w:sz w:val="18"/>
                <w:szCs w:val="18"/>
              </w:rPr>
            </w:pPr>
            <w:r w:rsidRPr="00292779">
              <w:rPr>
                <w:color w:val="000000"/>
                <w:sz w:val="18"/>
                <w:szCs w:val="18"/>
              </w:rPr>
              <w:t>-0.30</w:t>
            </w:r>
          </w:p>
        </w:tc>
        <w:tc>
          <w:tcPr>
            <w:tcW w:w="1370" w:type="dxa"/>
            <w:hideMark/>
          </w:tcPr>
          <w:p w14:paraId="27E496DD" w14:textId="77777777" w:rsidR="00D66388" w:rsidRPr="00292779" w:rsidRDefault="00D66388" w:rsidP="0024187D">
            <w:pPr>
              <w:jc w:val="center"/>
              <w:rPr>
                <w:sz w:val="20"/>
                <w:szCs w:val="20"/>
              </w:rPr>
            </w:pPr>
            <w:r w:rsidRPr="00292779">
              <w:rPr>
                <w:color w:val="000000"/>
                <w:sz w:val="18"/>
                <w:szCs w:val="18"/>
              </w:rPr>
              <w:t>0.09 (1.04)</w:t>
            </w:r>
          </w:p>
        </w:tc>
        <w:tc>
          <w:tcPr>
            <w:tcW w:w="1430" w:type="dxa"/>
            <w:hideMark/>
          </w:tcPr>
          <w:p w14:paraId="077C5FCD" w14:textId="77777777" w:rsidR="00D66388" w:rsidRPr="00292779" w:rsidRDefault="00D66388" w:rsidP="0024187D">
            <w:pPr>
              <w:jc w:val="center"/>
              <w:rPr>
                <w:sz w:val="20"/>
                <w:szCs w:val="20"/>
              </w:rPr>
            </w:pPr>
            <w:r w:rsidRPr="00292779">
              <w:rPr>
                <w:color w:val="000000"/>
                <w:sz w:val="18"/>
                <w:szCs w:val="18"/>
              </w:rPr>
              <w:t>-0.09 (0.92)</w:t>
            </w:r>
          </w:p>
        </w:tc>
        <w:tc>
          <w:tcPr>
            <w:tcW w:w="620" w:type="dxa"/>
          </w:tcPr>
          <w:p w14:paraId="4973E1D6" w14:textId="77777777" w:rsidR="00D66388" w:rsidRPr="00292779" w:rsidRDefault="00D66388" w:rsidP="0024187D">
            <w:pPr>
              <w:jc w:val="center"/>
              <w:rPr>
                <w:color w:val="000000"/>
                <w:sz w:val="18"/>
                <w:szCs w:val="18"/>
              </w:rPr>
            </w:pPr>
            <w:r w:rsidRPr="00292779">
              <w:rPr>
                <w:color w:val="000000"/>
                <w:sz w:val="18"/>
                <w:szCs w:val="18"/>
              </w:rPr>
              <w:t>-0.17</w:t>
            </w:r>
          </w:p>
        </w:tc>
        <w:tc>
          <w:tcPr>
            <w:tcW w:w="1430" w:type="dxa"/>
            <w:noWrap/>
            <w:hideMark/>
          </w:tcPr>
          <w:p w14:paraId="7DABA894" w14:textId="77777777" w:rsidR="00D66388" w:rsidRPr="00292779" w:rsidRDefault="00D66388" w:rsidP="0024187D">
            <w:pPr>
              <w:jc w:val="center"/>
              <w:rPr>
                <w:sz w:val="20"/>
                <w:szCs w:val="20"/>
              </w:rPr>
            </w:pPr>
            <w:r w:rsidRPr="00292779">
              <w:rPr>
                <w:color w:val="000000"/>
                <w:sz w:val="18"/>
                <w:szCs w:val="18"/>
              </w:rPr>
              <w:t>-0.12 (0.80)</w:t>
            </w:r>
          </w:p>
        </w:tc>
        <w:tc>
          <w:tcPr>
            <w:tcW w:w="681" w:type="dxa"/>
          </w:tcPr>
          <w:p w14:paraId="3D6F2DCD" w14:textId="77777777" w:rsidR="00D66388" w:rsidRPr="00292779" w:rsidRDefault="00D66388" w:rsidP="0024187D">
            <w:pPr>
              <w:jc w:val="center"/>
              <w:rPr>
                <w:color w:val="000000"/>
                <w:sz w:val="18"/>
                <w:szCs w:val="18"/>
              </w:rPr>
            </w:pPr>
            <w:r w:rsidRPr="00292779">
              <w:rPr>
                <w:color w:val="000000"/>
                <w:sz w:val="18"/>
                <w:szCs w:val="18"/>
              </w:rPr>
              <w:t>-0.20</w:t>
            </w:r>
          </w:p>
        </w:tc>
      </w:tr>
    </w:tbl>
    <w:p w14:paraId="5510AE40" w14:textId="77777777" w:rsidR="0024187D" w:rsidRPr="00292779" w:rsidRDefault="0024187D"/>
    <w:p w14:paraId="7BF9B745" w14:textId="50B3028A" w:rsidR="0024187D" w:rsidRPr="00493365" w:rsidRDefault="00C3337D">
      <w:pPr>
        <w:rPr>
          <w:i/>
        </w:rPr>
      </w:pPr>
      <w:r w:rsidRPr="00493365">
        <w:rPr>
          <w:i/>
        </w:rPr>
        <w:t>Note.</w:t>
      </w:r>
      <w:r w:rsidR="00B0522E">
        <w:rPr>
          <w:i/>
        </w:rPr>
        <w:t xml:space="preserve"> </w:t>
      </w:r>
      <w:r w:rsidR="00B0522E" w:rsidRPr="00B0522E">
        <w:rPr>
          <w:i/>
        </w:rPr>
        <w:t>d</w:t>
      </w:r>
      <w:r w:rsidR="00B0522E">
        <w:t xml:space="preserve"> indicates within-group change from pre- to posttreatment and from pre- to 6-month follow-up</w:t>
      </w:r>
      <w:r w:rsidR="00D82B6C">
        <w:t xml:space="preserve"> (</w:t>
      </w:r>
      <w:r w:rsidR="001B44D7">
        <w:t>reference group is pretreatment</w:t>
      </w:r>
      <w:r w:rsidR="00D82B6C">
        <w:t>)</w:t>
      </w:r>
      <w:r w:rsidR="00B0522E">
        <w:t xml:space="preserve">.  </w:t>
      </w:r>
      <w:r w:rsidRPr="00493365">
        <w:rPr>
          <w:i/>
        </w:rPr>
        <w:t xml:space="preserve"> </w:t>
      </w:r>
      <w:r w:rsidR="0024187D" w:rsidRPr="00493365">
        <w:rPr>
          <w:i/>
        </w:rPr>
        <w:br w:type="page"/>
      </w:r>
    </w:p>
    <w:p w14:paraId="1C9D1954" w14:textId="77777777" w:rsidR="008105F8" w:rsidRDefault="008105F8" w:rsidP="005A6228">
      <w:pPr>
        <w:pStyle w:val="Caption"/>
        <w:keepNext/>
        <w:rPr>
          <w:rFonts w:ascii="Times New Roman" w:hAnsi="Times New Roman" w:cs="Times New Roman"/>
          <w:color w:val="auto"/>
          <w:sz w:val="24"/>
          <w:szCs w:val="24"/>
        </w:rPr>
        <w:sectPr w:rsidR="008105F8" w:rsidSect="009B6718">
          <w:pgSz w:w="15840" w:h="12240" w:orient="landscape"/>
          <w:pgMar w:top="1440" w:right="1440" w:bottom="1440" w:left="1440" w:header="720" w:footer="720" w:gutter="0"/>
          <w:cols w:space="720"/>
          <w:docGrid w:linePitch="360"/>
        </w:sectPr>
      </w:pPr>
    </w:p>
    <w:p w14:paraId="51E16D0A" w14:textId="36437524" w:rsidR="008105F8" w:rsidRDefault="008105F8" w:rsidP="008105F8">
      <w:r>
        <w:lastRenderedPageBreak/>
        <w:t>Table 4</w:t>
      </w:r>
      <w:r w:rsidR="008D0303">
        <w:t>.</w:t>
      </w:r>
    </w:p>
    <w:p w14:paraId="46F3D4F1" w14:textId="77777777" w:rsidR="000E2825" w:rsidRDefault="000E2825" w:rsidP="008105F8"/>
    <w:p w14:paraId="133CF878" w14:textId="58255B88" w:rsidR="000E2825" w:rsidRPr="005E5DE7" w:rsidRDefault="000E2825" w:rsidP="008105F8">
      <w:pPr>
        <w:rPr>
          <w:i/>
        </w:rPr>
      </w:pPr>
      <w:r w:rsidRPr="005E5DE7">
        <w:rPr>
          <w:i/>
        </w:rPr>
        <w:t>Results from Multilevel Modeling for All Outco</w:t>
      </w:r>
      <w:r w:rsidR="00AB7937">
        <w:rPr>
          <w:i/>
        </w:rPr>
        <w:t>me Variables</w:t>
      </w:r>
      <w:r w:rsidRPr="005E5DE7">
        <w:rPr>
          <w:i/>
        </w:rPr>
        <w:t xml:space="preserve">. </w:t>
      </w:r>
    </w:p>
    <w:p w14:paraId="5020FFB2" w14:textId="77777777" w:rsidR="008105F8" w:rsidRPr="00EC1913" w:rsidRDefault="008105F8" w:rsidP="008105F8">
      <w:pPr>
        <w:contextualSpacing/>
        <w:rPr>
          <w:sz w:val="22"/>
        </w:rPr>
      </w:pPr>
    </w:p>
    <w:tbl>
      <w:tblPr>
        <w:tblW w:w="12560" w:type="dxa"/>
        <w:tblBorders>
          <w:top w:val="single" w:sz="4" w:space="0" w:color="auto"/>
          <w:bottom w:val="single" w:sz="4" w:space="0" w:color="auto"/>
        </w:tblBorders>
        <w:tblLook w:val="04A0" w:firstRow="1" w:lastRow="0" w:firstColumn="1" w:lastColumn="0" w:noHBand="0" w:noVBand="1"/>
      </w:tblPr>
      <w:tblGrid>
        <w:gridCol w:w="3702"/>
        <w:gridCol w:w="202"/>
        <w:gridCol w:w="918"/>
        <w:gridCol w:w="148"/>
        <w:gridCol w:w="808"/>
        <w:gridCol w:w="377"/>
        <w:gridCol w:w="631"/>
        <w:gridCol w:w="317"/>
        <w:gridCol w:w="735"/>
        <w:gridCol w:w="213"/>
        <w:gridCol w:w="765"/>
        <w:gridCol w:w="183"/>
        <w:gridCol w:w="668"/>
        <w:gridCol w:w="280"/>
        <w:gridCol w:w="694"/>
        <w:gridCol w:w="372"/>
        <w:gridCol w:w="533"/>
        <w:gridCol w:w="415"/>
        <w:gridCol w:w="599"/>
      </w:tblGrid>
      <w:tr w:rsidR="008105F8" w:rsidRPr="00EC1913" w14:paraId="2C5C0067" w14:textId="77777777" w:rsidTr="00F54ACD">
        <w:trPr>
          <w:trHeight w:val="166"/>
        </w:trPr>
        <w:tc>
          <w:tcPr>
            <w:tcW w:w="3702" w:type="dxa"/>
            <w:shd w:val="clear" w:color="auto" w:fill="auto"/>
            <w:noWrap/>
            <w:vAlign w:val="bottom"/>
            <w:hideMark/>
          </w:tcPr>
          <w:p w14:paraId="1CFE36C5" w14:textId="77777777" w:rsidR="008105F8" w:rsidRPr="00EC1913" w:rsidRDefault="008105F8" w:rsidP="00F54ACD">
            <w:pPr>
              <w:contextualSpacing/>
              <w:jc w:val="center"/>
              <w:rPr>
                <w:sz w:val="20"/>
                <w:szCs w:val="20"/>
              </w:rPr>
            </w:pPr>
          </w:p>
        </w:tc>
        <w:tc>
          <w:tcPr>
            <w:tcW w:w="3084" w:type="dxa"/>
            <w:gridSpan w:val="6"/>
            <w:tcBorders>
              <w:top w:val="single" w:sz="4" w:space="0" w:color="auto"/>
              <w:bottom w:val="single" w:sz="4" w:space="0" w:color="auto"/>
            </w:tcBorders>
            <w:shd w:val="clear" w:color="auto" w:fill="auto"/>
            <w:noWrap/>
            <w:vAlign w:val="center"/>
            <w:hideMark/>
          </w:tcPr>
          <w:p w14:paraId="5F87D4A5" w14:textId="77777777" w:rsidR="008105F8" w:rsidRPr="00EC1913" w:rsidRDefault="008105F8" w:rsidP="00F54ACD">
            <w:pPr>
              <w:contextualSpacing/>
              <w:jc w:val="center"/>
              <w:rPr>
                <w:color w:val="000000"/>
                <w:sz w:val="20"/>
                <w:szCs w:val="20"/>
              </w:rPr>
            </w:pPr>
            <w:r w:rsidRPr="00EC1913">
              <w:rPr>
                <w:color w:val="000000"/>
                <w:sz w:val="20"/>
                <w:szCs w:val="20"/>
              </w:rPr>
              <w:t>Treatment effect on change during the treatment phase</w:t>
            </w:r>
          </w:p>
        </w:tc>
        <w:tc>
          <w:tcPr>
            <w:tcW w:w="2881" w:type="dxa"/>
            <w:gridSpan w:val="6"/>
            <w:tcBorders>
              <w:top w:val="single" w:sz="4" w:space="0" w:color="auto"/>
              <w:bottom w:val="single" w:sz="4" w:space="0" w:color="auto"/>
            </w:tcBorders>
            <w:shd w:val="clear" w:color="auto" w:fill="auto"/>
            <w:noWrap/>
            <w:vAlign w:val="center"/>
            <w:hideMark/>
          </w:tcPr>
          <w:p w14:paraId="78F596CE" w14:textId="77777777" w:rsidR="008105F8" w:rsidRPr="00EC1913" w:rsidRDefault="008105F8" w:rsidP="00F54ACD">
            <w:pPr>
              <w:contextualSpacing/>
              <w:jc w:val="center"/>
              <w:rPr>
                <w:color w:val="000000"/>
                <w:sz w:val="20"/>
                <w:szCs w:val="20"/>
              </w:rPr>
            </w:pPr>
            <w:r w:rsidRPr="00EC1913">
              <w:rPr>
                <w:color w:val="000000"/>
                <w:sz w:val="20"/>
                <w:szCs w:val="20"/>
              </w:rPr>
              <w:t>Treatment effect on change from baseline to 6mFU</w:t>
            </w:r>
          </w:p>
        </w:tc>
        <w:tc>
          <w:tcPr>
            <w:tcW w:w="2893" w:type="dxa"/>
            <w:gridSpan w:val="6"/>
            <w:tcBorders>
              <w:top w:val="single" w:sz="4" w:space="0" w:color="auto"/>
              <w:bottom w:val="single" w:sz="4" w:space="0" w:color="auto"/>
            </w:tcBorders>
            <w:shd w:val="clear" w:color="auto" w:fill="auto"/>
            <w:noWrap/>
            <w:vAlign w:val="center"/>
            <w:hideMark/>
          </w:tcPr>
          <w:p w14:paraId="00A74703" w14:textId="77777777" w:rsidR="008105F8" w:rsidRPr="00EC1913" w:rsidRDefault="008105F8" w:rsidP="00F54ACD">
            <w:pPr>
              <w:contextualSpacing/>
              <w:jc w:val="center"/>
              <w:rPr>
                <w:color w:val="000000"/>
                <w:sz w:val="20"/>
                <w:szCs w:val="20"/>
              </w:rPr>
            </w:pPr>
            <w:r w:rsidRPr="00EC1913">
              <w:rPr>
                <w:color w:val="000000"/>
                <w:sz w:val="20"/>
                <w:szCs w:val="20"/>
              </w:rPr>
              <w:t xml:space="preserve">Treatment effect from post to 6-month follow-up </w:t>
            </w:r>
          </w:p>
        </w:tc>
      </w:tr>
      <w:tr w:rsidR="008105F8" w:rsidRPr="00EC1913" w14:paraId="54582328" w14:textId="77777777" w:rsidTr="00F54ACD">
        <w:trPr>
          <w:trHeight w:val="166"/>
        </w:trPr>
        <w:tc>
          <w:tcPr>
            <w:tcW w:w="3702" w:type="dxa"/>
            <w:tcBorders>
              <w:bottom w:val="single" w:sz="4" w:space="0" w:color="auto"/>
            </w:tcBorders>
            <w:shd w:val="clear" w:color="auto" w:fill="auto"/>
            <w:noWrap/>
            <w:vAlign w:val="bottom"/>
          </w:tcPr>
          <w:p w14:paraId="60883FBE" w14:textId="77777777" w:rsidR="008105F8" w:rsidRPr="00EC1913" w:rsidRDefault="008105F8" w:rsidP="00F54ACD">
            <w:pPr>
              <w:contextualSpacing/>
              <w:jc w:val="center"/>
              <w:rPr>
                <w:sz w:val="20"/>
                <w:szCs w:val="20"/>
              </w:rPr>
            </w:pPr>
          </w:p>
        </w:tc>
        <w:tc>
          <w:tcPr>
            <w:tcW w:w="1120" w:type="dxa"/>
            <w:gridSpan w:val="2"/>
            <w:tcBorders>
              <w:top w:val="single" w:sz="4" w:space="0" w:color="auto"/>
              <w:bottom w:val="single" w:sz="4" w:space="0" w:color="auto"/>
            </w:tcBorders>
            <w:shd w:val="clear" w:color="auto" w:fill="auto"/>
            <w:noWrap/>
            <w:vAlign w:val="center"/>
          </w:tcPr>
          <w:p w14:paraId="66023693" w14:textId="77777777" w:rsidR="008105F8" w:rsidRPr="00EC1913" w:rsidRDefault="008105F8" w:rsidP="00F54ACD">
            <w:pPr>
              <w:contextualSpacing/>
              <w:jc w:val="center"/>
              <w:rPr>
                <w:color w:val="000000"/>
                <w:sz w:val="20"/>
                <w:szCs w:val="20"/>
              </w:rPr>
            </w:pPr>
            <w:r w:rsidRPr="00EC1913">
              <w:rPr>
                <w:color w:val="000000"/>
                <w:sz w:val="20"/>
                <w:szCs w:val="20"/>
              </w:rPr>
              <w:t>Coef.</w:t>
            </w:r>
          </w:p>
        </w:tc>
        <w:tc>
          <w:tcPr>
            <w:tcW w:w="956" w:type="dxa"/>
            <w:gridSpan w:val="2"/>
            <w:tcBorders>
              <w:top w:val="single" w:sz="4" w:space="0" w:color="auto"/>
              <w:bottom w:val="single" w:sz="4" w:space="0" w:color="auto"/>
            </w:tcBorders>
            <w:shd w:val="clear" w:color="auto" w:fill="auto"/>
            <w:noWrap/>
            <w:vAlign w:val="center"/>
          </w:tcPr>
          <w:p w14:paraId="7DF47FC3" w14:textId="77777777" w:rsidR="008105F8" w:rsidRPr="00EC1913" w:rsidRDefault="008105F8" w:rsidP="00F54ACD">
            <w:pPr>
              <w:contextualSpacing/>
              <w:jc w:val="center"/>
              <w:rPr>
                <w:color w:val="000000"/>
                <w:sz w:val="20"/>
                <w:szCs w:val="20"/>
              </w:rPr>
            </w:pPr>
            <w:r w:rsidRPr="00EC1913">
              <w:rPr>
                <w:i/>
                <w:color w:val="000000"/>
                <w:sz w:val="20"/>
                <w:szCs w:val="20"/>
              </w:rPr>
              <w:t>SE</w:t>
            </w:r>
          </w:p>
        </w:tc>
        <w:tc>
          <w:tcPr>
            <w:tcW w:w="1008" w:type="dxa"/>
            <w:gridSpan w:val="2"/>
            <w:tcBorders>
              <w:top w:val="single" w:sz="4" w:space="0" w:color="auto"/>
              <w:bottom w:val="single" w:sz="4" w:space="0" w:color="auto"/>
            </w:tcBorders>
            <w:shd w:val="clear" w:color="auto" w:fill="auto"/>
            <w:noWrap/>
            <w:vAlign w:val="center"/>
          </w:tcPr>
          <w:p w14:paraId="27D65E4B" w14:textId="77777777" w:rsidR="008105F8" w:rsidRPr="00EC1913" w:rsidRDefault="008105F8" w:rsidP="00F54ACD">
            <w:pPr>
              <w:contextualSpacing/>
              <w:jc w:val="center"/>
              <w:rPr>
                <w:color w:val="000000"/>
                <w:sz w:val="20"/>
                <w:szCs w:val="20"/>
              </w:rPr>
            </w:pPr>
            <w:r w:rsidRPr="00EC1913">
              <w:rPr>
                <w:i/>
                <w:color w:val="000000"/>
                <w:sz w:val="20"/>
                <w:szCs w:val="20"/>
              </w:rPr>
              <w:t>p</w:t>
            </w:r>
          </w:p>
        </w:tc>
        <w:tc>
          <w:tcPr>
            <w:tcW w:w="1052" w:type="dxa"/>
            <w:gridSpan w:val="2"/>
            <w:tcBorders>
              <w:top w:val="single" w:sz="4" w:space="0" w:color="auto"/>
              <w:bottom w:val="single" w:sz="4" w:space="0" w:color="auto"/>
            </w:tcBorders>
            <w:shd w:val="clear" w:color="auto" w:fill="auto"/>
            <w:noWrap/>
            <w:vAlign w:val="center"/>
          </w:tcPr>
          <w:p w14:paraId="65EC1FDC" w14:textId="77777777" w:rsidR="008105F8" w:rsidRPr="00EC1913" w:rsidRDefault="008105F8" w:rsidP="00F54ACD">
            <w:pPr>
              <w:contextualSpacing/>
              <w:jc w:val="center"/>
              <w:rPr>
                <w:color w:val="000000"/>
                <w:sz w:val="20"/>
                <w:szCs w:val="20"/>
              </w:rPr>
            </w:pPr>
            <w:r w:rsidRPr="00EC1913">
              <w:rPr>
                <w:color w:val="000000"/>
                <w:sz w:val="20"/>
                <w:szCs w:val="20"/>
              </w:rPr>
              <w:t>Coef.</w:t>
            </w:r>
          </w:p>
        </w:tc>
        <w:tc>
          <w:tcPr>
            <w:tcW w:w="978" w:type="dxa"/>
            <w:gridSpan w:val="2"/>
            <w:tcBorders>
              <w:top w:val="single" w:sz="4" w:space="0" w:color="auto"/>
              <w:bottom w:val="single" w:sz="4" w:space="0" w:color="auto"/>
            </w:tcBorders>
            <w:shd w:val="clear" w:color="auto" w:fill="auto"/>
            <w:noWrap/>
            <w:vAlign w:val="center"/>
          </w:tcPr>
          <w:p w14:paraId="2E8F391A" w14:textId="77777777" w:rsidR="008105F8" w:rsidRPr="00EC1913" w:rsidRDefault="008105F8" w:rsidP="00F54ACD">
            <w:pPr>
              <w:contextualSpacing/>
              <w:jc w:val="center"/>
              <w:rPr>
                <w:color w:val="000000"/>
                <w:sz w:val="20"/>
                <w:szCs w:val="20"/>
              </w:rPr>
            </w:pPr>
            <w:r w:rsidRPr="00EC1913">
              <w:rPr>
                <w:i/>
                <w:color w:val="000000"/>
                <w:sz w:val="20"/>
                <w:szCs w:val="20"/>
              </w:rPr>
              <w:t>SE</w:t>
            </w:r>
          </w:p>
        </w:tc>
        <w:tc>
          <w:tcPr>
            <w:tcW w:w="851" w:type="dxa"/>
            <w:gridSpan w:val="2"/>
            <w:tcBorders>
              <w:top w:val="single" w:sz="4" w:space="0" w:color="auto"/>
              <w:bottom w:val="single" w:sz="4" w:space="0" w:color="auto"/>
            </w:tcBorders>
            <w:shd w:val="clear" w:color="auto" w:fill="auto"/>
            <w:noWrap/>
            <w:vAlign w:val="center"/>
          </w:tcPr>
          <w:p w14:paraId="478E6FCA" w14:textId="77777777" w:rsidR="008105F8" w:rsidRPr="00EC1913" w:rsidRDefault="008105F8" w:rsidP="00F54ACD">
            <w:pPr>
              <w:contextualSpacing/>
              <w:jc w:val="center"/>
              <w:rPr>
                <w:color w:val="000000"/>
                <w:sz w:val="20"/>
                <w:szCs w:val="20"/>
              </w:rPr>
            </w:pPr>
            <w:r w:rsidRPr="00EC1913">
              <w:rPr>
                <w:i/>
                <w:color w:val="000000"/>
                <w:sz w:val="20"/>
                <w:szCs w:val="20"/>
              </w:rPr>
              <w:t>p</w:t>
            </w:r>
          </w:p>
        </w:tc>
        <w:tc>
          <w:tcPr>
            <w:tcW w:w="974" w:type="dxa"/>
            <w:gridSpan w:val="2"/>
            <w:tcBorders>
              <w:top w:val="single" w:sz="4" w:space="0" w:color="auto"/>
              <w:bottom w:val="single" w:sz="4" w:space="0" w:color="auto"/>
            </w:tcBorders>
            <w:shd w:val="clear" w:color="auto" w:fill="auto"/>
            <w:noWrap/>
            <w:vAlign w:val="center"/>
          </w:tcPr>
          <w:p w14:paraId="3E636DF4" w14:textId="77777777" w:rsidR="008105F8" w:rsidRPr="00EC1913" w:rsidRDefault="008105F8" w:rsidP="00F54ACD">
            <w:pPr>
              <w:contextualSpacing/>
              <w:jc w:val="center"/>
              <w:rPr>
                <w:color w:val="000000"/>
                <w:sz w:val="20"/>
                <w:szCs w:val="20"/>
              </w:rPr>
            </w:pPr>
            <w:r w:rsidRPr="00EC1913">
              <w:rPr>
                <w:color w:val="000000"/>
                <w:sz w:val="20"/>
                <w:szCs w:val="20"/>
              </w:rPr>
              <w:t>Coef.</w:t>
            </w:r>
          </w:p>
        </w:tc>
        <w:tc>
          <w:tcPr>
            <w:tcW w:w="905" w:type="dxa"/>
            <w:gridSpan w:val="2"/>
            <w:tcBorders>
              <w:top w:val="single" w:sz="4" w:space="0" w:color="auto"/>
              <w:bottom w:val="single" w:sz="4" w:space="0" w:color="auto"/>
            </w:tcBorders>
            <w:shd w:val="clear" w:color="auto" w:fill="auto"/>
            <w:noWrap/>
            <w:vAlign w:val="center"/>
          </w:tcPr>
          <w:p w14:paraId="077DEDC1" w14:textId="77777777" w:rsidR="008105F8" w:rsidRPr="00EC1913" w:rsidRDefault="008105F8" w:rsidP="00F54ACD">
            <w:pPr>
              <w:contextualSpacing/>
              <w:jc w:val="center"/>
              <w:rPr>
                <w:color w:val="000000"/>
                <w:sz w:val="20"/>
                <w:szCs w:val="20"/>
              </w:rPr>
            </w:pPr>
            <w:r w:rsidRPr="00EC1913">
              <w:rPr>
                <w:i/>
                <w:color w:val="000000"/>
                <w:sz w:val="20"/>
                <w:szCs w:val="20"/>
              </w:rPr>
              <w:t>SE</w:t>
            </w:r>
          </w:p>
        </w:tc>
        <w:tc>
          <w:tcPr>
            <w:tcW w:w="1014" w:type="dxa"/>
            <w:gridSpan w:val="2"/>
            <w:tcBorders>
              <w:top w:val="single" w:sz="4" w:space="0" w:color="auto"/>
              <w:bottom w:val="single" w:sz="4" w:space="0" w:color="auto"/>
            </w:tcBorders>
            <w:shd w:val="clear" w:color="auto" w:fill="auto"/>
            <w:noWrap/>
          </w:tcPr>
          <w:p w14:paraId="0516BCDD" w14:textId="77777777" w:rsidR="008105F8" w:rsidRPr="00EC1913" w:rsidRDefault="008105F8" w:rsidP="00F54ACD">
            <w:pPr>
              <w:contextualSpacing/>
              <w:jc w:val="center"/>
              <w:rPr>
                <w:color w:val="000000"/>
                <w:sz w:val="20"/>
                <w:szCs w:val="20"/>
              </w:rPr>
            </w:pPr>
            <w:r w:rsidRPr="00EC1913">
              <w:rPr>
                <w:i/>
                <w:color w:val="000000"/>
                <w:sz w:val="20"/>
                <w:szCs w:val="20"/>
              </w:rPr>
              <w:t>p</w:t>
            </w:r>
          </w:p>
        </w:tc>
      </w:tr>
      <w:tr w:rsidR="008105F8" w:rsidRPr="00EC1913" w14:paraId="38D858BC" w14:textId="77777777" w:rsidTr="00F54ACD">
        <w:trPr>
          <w:trHeight w:val="137"/>
        </w:trPr>
        <w:tc>
          <w:tcPr>
            <w:tcW w:w="3904" w:type="dxa"/>
            <w:gridSpan w:val="2"/>
            <w:tcBorders>
              <w:top w:val="single" w:sz="4" w:space="0" w:color="auto"/>
            </w:tcBorders>
            <w:shd w:val="clear" w:color="auto" w:fill="auto"/>
            <w:noWrap/>
            <w:vAlign w:val="bottom"/>
            <w:hideMark/>
          </w:tcPr>
          <w:p w14:paraId="54498A33" w14:textId="77777777" w:rsidR="008105F8" w:rsidRPr="00EC1913" w:rsidRDefault="008105F8" w:rsidP="00F54ACD">
            <w:pPr>
              <w:contextualSpacing/>
              <w:rPr>
                <w:color w:val="000000"/>
                <w:sz w:val="20"/>
                <w:szCs w:val="18"/>
                <w:u w:val="single"/>
              </w:rPr>
            </w:pPr>
            <w:r w:rsidRPr="00EC1913">
              <w:rPr>
                <w:color w:val="000000"/>
                <w:sz w:val="20"/>
                <w:szCs w:val="18"/>
                <w:u w:val="single"/>
              </w:rPr>
              <w:t>Sleep and Circadian Outcomes</w:t>
            </w:r>
          </w:p>
        </w:tc>
        <w:tc>
          <w:tcPr>
            <w:tcW w:w="1066" w:type="dxa"/>
            <w:gridSpan w:val="2"/>
            <w:tcBorders>
              <w:top w:val="single" w:sz="4" w:space="0" w:color="auto"/>
            </w:tcBorders>
            <w:shd w:val="clear" w:color="auto" w:fill="auto"/>
            <w:noWrap/>
            <w:vAlign w:val="center"/>
            <w:hideMark/>
          </w:tcPr>
          <w:p w14:paraId="2447AA1C" w14:textId="77777777" w:rsidR="008105F8" w:rsidRPr="00EC1913" w:rsidRDefault="008105F8" w:rsidP="00F54ACD">
            <w:pPr>
              <w:contextualSpacing/>
              <w:rPr>
                <w:color w:val="000000"/>
                <w:sz w:val="20"/>
                <w:szCs w:val="18"/>
                <w:u w:val="single"/>
              </w:rPr>
            </w:pPr>
          </w:p>
        </w:tc>
        <w:tc>
          <w:tcPr>
            <w:tcW w:w="1185" w:type="dxa"/>
            <w:gridSpan w:val="2"/>
            <w:tcBorders>
              <w:top w:val="single" w:sz="4" w:space="0" w:color="auto"/>
            </w:tcBorders>
            <w:shd w:val="clear" w:color="auto" w:fill="auto"/>
            <w:noWrap/>
            <w:vAlign w:val="center"/>
            <w:hideMark/>
          </w:tcPr>
          <w:p w14:paraId="6C55B701" w14:textId="77777777" w:rsidR="008105F8" w:rsidRPr="00EC1913" w:rsidRDefault="008105F8" w:rsidP="00F54ACD">
            <w:pPr>
              <w:contextualSpacing/>
              <w:jc w:val="center"/>
              <w:rPr>
                <w:sz w:val="20"/>
                <w:szCs w:val="18"/>
              </w:rPr>
            </w:pPr>
          </w:p>
        </w:tc>
        <w:tc>
          <w:tcPr>
            <w:tcW w:w="948" w:type="dxa"/>
            <w:gridSpan w:val="2"/>
            <w:tcBorders>
              <w:top w:val="single" w:sz="4" w:space="0" w:color="auto"/>
            </w:tcBorders>
            <w:shd w:val="clear" w:color="auto" w:fill="auto"/>
            <w:noWrap/>
            <w:vAlign w:val="center"/>
            <w:hideMark/>
          </w:tcPr>
          <w:p w14:paraId="2F5AA277" w14:textId="77777777" w:rsidR="008105F8" w:rsidRPr="00EC1913" w:rsidRDefault="008105F8" w:rsidP="00F54ACD">
            <w:pPr>
              <w:contextualSpacing/>
              <w:jc w:val="center"/>
              <w:rPr>
                <w:sz w:val="20"/>
                <w:szCs w:val="18"/>
              </w:rPr>
            </w:pPr>
          </w:p>
        </w:tc>
        <w:tc>
          <w:tcPr>
            <w:tcW w:w="948" w:type="dxa"/>
            <w:gridSpan w:val="2"/>
            <w:tcBorders>
              <w:top w:val="single" w:sz="4" w:space="0" w:color="auto"/>
            </w:tcBorders>
            <w:shd w:val="clear" w:color="auto" w:fill="auto"/>
            <w:noWrap/>
            <w:vAlign w:val="center"/>
            <w:hideMark/>
          </w:tcPr>
          <w:p w14:paraId="431787DF" w14:textId="77777777" w:rsidR="008105F8" w:rsidRPr="00EC1913" w:rsidRDefault="008105F8" w:rsidP="00F54ACD">
            <w:pPr>
              <w:contextualSpacing/>
              <w:jc w:val="center"/>
              <w:rPr>
                <w:sz w:val="20"/>
                <w:szCs w:val="18"/>
              </w:rPr>
            </w:pPr>
          </w:p>
        </w:tc>
        <w:tc>
          <w:tcPr>
            <w:tcW w:w="948" w:type="dxa"/>
            <w:gridSpan w:val="2"/>
            <w:tcBorders>
              <w:top w:val="single" w:sz="4" w:space="0" w:color="auto"/>
            </w:tcBorders>
            <w:shd w:val="clear" w:color="auto" w:fill="auto"/>
            <w:noWrap/>
            <w:vAlign w:val="center"/>
            <w:hideMark/>
          </w:tcPr>
          <w:p w14:paraId="78C44B47" w14:textId="77777777" w:rsidR="008105F8" w:rsidRPr="00EC1913" w:rsidRDefault="008105F8" w:rsidP="00F54ACD">
            <w:pPr>
              <w:contextualSpacing/>
              <w:jc w:val="center"/>
              <w:rPr>
                <w:sz w:val="20"/>
                <w:szCs w:val="18"/>
              </w:rPr>
            </w:pPr>
          </w:p>
        </w:tc>
        <w:tc>
          <w:tcPr>
            <w:tcW w:w="948" w:type="dxa"/>
            <w:gridSpan w:val="2"/>
            <w:tcBorders>
              <w:top w:val="single" w:sz="4" w:space="0" w:color="auto"/>
            </w:tcBorders>
            <w:shd w:val="clear" w:color="auto" w:fill="auto"/>
            <w:noWrap/>
            <w:vAlign w:val="center"/>
            <w:hideMark/>
          </w:tcPr>
          <w:p w14:paraId="1D88D7C2" w14:textId="77777777" w:rsidR="008105F8" w:rsidRPr="00EC1913" w:rsidRDefault="008105F8" w:rsidP="00F54ACD">
            <w:pPr>
              <w:contextualSpacing/>
              <w:jc w:val="center"/>
              <w:rPr>
                <w:sz w:val="20"/>
                <w:szCs w:val="18"/>
              </w:rPr>
            </w:pPr>
          </w:p>
        </w:tc>
        <w:tc>
          <w:tcPr>
            <w:tcW w:w="1066" w:type="dxa"/>
            <w:gridSpan w:val="2"/>
            <w:tcBorders>
              <w:top w:val="single" w:sz="4" w:space="0" w:color="auto"/>
            </w:tcBorders>
            <w:shd w:val="clear" w:color="auto" w:fill="auto"/>
            <w:noWrap/>
            <w:vAlign w:val="center"/>
            <w:hideMark/>
          </w:tcPr>
          <w:p w14:paraId="25C9F5C9" w14:textId="77777777" w:rsidR="008105F8" w:rsidRPr="00EC1913" w:rsidRDefault="008105F8" w:rsidP="00F54ACD">
            <w:pPr>
              <w:contextualSpacing/>
              <w:jc w:val="center"/>
              <w:rPr>
                <w:sz w:val="20"/>
                <w:szCs w:val="18"/>
              </w:rPr>
            </w:pPr>
          </w:p>
        </w:tc>
        <w:tc>
          <w:tcPr>
            <w:tcW w:w="948" w:type="dxa"/>
            <w:gridSpan w:val="2"/>
            <w:tcBorders>
              <w:top w:val="single" w:sz="4" w:space="0" w:color="auto"/>
            </w:tcBorders>
            <w:shd w:val="clear" w:color="auto" w:fill="auto"/>
            <w:noWrap/>
            <w:vAlign w:val="center"/>
            <w:hideMark/>
          </w:tcPr>
          <w:p w14:paraId="4FE6DE5C" w14:textId="77777777" w:rsidR="008105F8" w:rsidRPr="00EC1913" w:rsidRDefault="008105F8" w:rsidP="00F54ACD">
            <w:pPr>
              <w:contextualSpacing/>
              <w:jc w:val="center"/>
              <w:rPr>
                <w:sz w:val="20"/>
                <w:szCs w:val="18"/>
              </w:rPr>
            </w:pPr>
          </w:p>
        </w:tc>
        <w:tc>
          <w:tcPr>
            <w:tcW w:w="599" w:type="dxa"/>
            <w:tcBorders>
              <w:top w:val="single" w:sz="4" w:space="0" w:color="auto"/>
            </w:tcBorders>
          </w:tcPr>
          <w:p w14:paraId="66ED4E0E" w14:textId="77777777" w:rsidR="008105F8" w:rsidRPr="00EC1913" w:rsidRDefault="008105F8" w:rsidP="00F54ACD">
            <w:pPr>
              <w:contextualSpacing/>
              <w:jc w:val="center"/>
              <w:rPr>
                <w:sz w:val="20"/>
                <w:szCs w:val="18"/>
              </w:rPr>
            </w:pPr>
          </w:p>
        </w:tc>
      </w:tr>
      <w:tr w:rsidR="008105F8" w:rsidRPr="00EC1913" w14:paraId="6D00EA8C" w14:textId="77777777" w:rsidTr="00F54ACD">
        <w:trPr>
          <w:trHeight w:val="137"/>
        </w:trPr>
        <w:tc>
          <w:tcPr>
            <w:tcW w:w="3904" w:type="dxa"/>
            <w:gridSpan w:val="2"/>
            <w:shd w:val="clear" w:color="auto" w:fill="auto"/>
            <w:vAlign w:val="center"/>
            <w:hideMark/>
          </w:tcPr>
          <w:p w14:paraId="5ED1027B" w14:textId="77777777" w:rsidR="008105F8" w:rsidRPr="00EC1913" w:rsidRDefault="008105F8" w:rsidP="00F54ACD">
            <w:pPr>
              <w:contextualSpacing/>
              <w:rPr>
                <w:color w:val="000000"/>
                <w:sz w:val="20"/>
                <w:szCs w:val="18"/>
              </w:rPr>
            </w:pPr>
            <w:proofErr w:type="spellStart"/>
            <w:r w:rsidRPr="00EC1913">
              <w:rPr>
                <w:color w:val="000000"/>
                <w:sz w:val="20"/>
                <w:szCs w:val="18"/>
              </w:rPr>
              <w:t>TST</w:t>
            </w:r>
            <w:proofErr w:type="spellEnd"/>
            <w:r w:rsidRPr="00EC1913">
              <w:rPr>
                <w:color w:val="000000"/>
                <w:sz w:val="20"/>
                <w:szCs w:val="18"/>
              </w:rPr>
              <w:t xml:space="preserve"> weeknights*</w:t>
            </w:r>
          </w:p>
        </w:tc>
        <w:tc>
          <w:tcPr>
            <w:tcW w:w="1066" w:type="dxa"/>
            <w:gridSpan w:val="2"/>
            <w:shd w:val="clear" w:color="auto" w:fill="auto"/>
            <w:noWrap/>
            <w:vAlign w:val="center"/>
            <w:hideMark/>
          </w:tcPr>
          <w:p w14:paraId="13590EE4" w14:textId="77777777" w:rsidR="008105F8" w:rsidRPr="00EC1913" w:rsidRDefault="008105F8" w:rsidP="00F54ACD">
            <w:pPr>
              <w:contextualSpacing/>
              <w:jc w:val="center"/>
              <w:rPr>
                <w:color w:val="000000"/>
                <w:sz w:val="20"/>
                <w:szCs w:val="18"/>
              </w:rPr>
            </w:pPr>
            <w:r w:rsidRPr="00EC1913">
              <w:rPr>
                <w:color w:val="000000"/>
                <w:sz w:val="20"/>
                <w:szCs w:val="18"/>
              </w:rPr>
              <w:t>12.98</w:t>
            </w:r>
          </w:p>
        </w:tc>
        <w:tc>
          <w:tcPr>
            <w:tcW w:w="1185" w:type="dxa"/>
            <w:gridSpan w:val="2"/>
            <w:shd w:val="clear" w:color="auto" w:fill="auto"/>
            <w:noWrap/>
            <w:vAlign w:val="center"/>
            <w:hideMark/>
          </w:tcPr>
          <w:p w14:paraId="5A9CEB03" w14:textId="77777777" w:rsidR="008105F8" w:rsidRPr="00EC1913" w:rsidRDefault="008105F8" w:rsidP="00F54ACD">
            <w:pPr>
              <w:contextualSpacing/>
              <w:jc w:val="center"/>
              <w:rPr>
                <w:color w:val="000000"/>
                <w:sz w:val="20"/>
                <w:szCs w:val="18"/>
              </w:rPr>
            </w:pPr>
            <w:r w:rsidRPr="00EC1913">
              <w:rPr>
                <w:color w:val="000000"/>
                <w:sz w:val="20"/>
                <w:szCs w:val="18"/>
              </w:rPr>
              <w:t>11.56</w:t>
            </w:r>
          </w:p>
        </w:tc>
        <w:tc>
          <w:tcPr>
            <w:tcW w:w="948" w:type="dxa"/>
            <w:gridSpan w:val="2"/>
            <w:shd w:val="clear" w:color="auto" w:fill="auto"/>
            <w:noWrap/>
            <w:vAlign w:val="center"/>
            <w:hideMark/>
          </w:tcPr>
          <w:p w14:paraId="50F0B60B" w14:textId="77777777" w:rsidR="008105F8" w:rsidRPr="00EC1913" w:rsidRDefault="008105F8" w:rsidP="00F54ACD">
            <w:pPr>
              <w:contextualSpacing/>
              <w:jc w:val="center"/>
              <w:rPr>
                <w:color w:val="000000"/>
                <w:sz w:val="20"/>
                <w:szCs w:val="18"/>
              </w:rPr>
            </w:pPr>
            <w:r w:rsidRPr="00EC1913">
              <w:rPr>
                <w:color w:val="000000"/>
                <w:sz w:val="20"/>
                <w:szCs w:val="18"/>
              </w:rPr>
              <w:t>0.26</w:t>
            </w:r>
          </w:p>
        </w:tc>
        <w:tc>
          <w:tcPr>
            <w:tcW w:w="948" w:type="dxa"/>
            <w:gridSpan w:val="2"/>
            <w:shd w:val="clear" w:color="auto" w:fill="auto"/>
            <w:noWrap/>
            <w:vAlign w:val="center"/>
            <w:hideMark/>
          </w:tcPr>
          <w:p w14:paraId="3D84A9AD" w14:textId="77777777" w:rsidR="008105F8" w:rsidRPr="00EC1913" w:rsidRDefault="008105F8" w:rsidP="00F54ACD">
            <w:pPr>
              <w:contextualSpacing/>
              <w:jc w:val="center"/>
              <w:rPr>
                <w:color w:val="000000"/>
                <w:sz w:val="20"/>
                <w:szCs w:val="18"/>
              </w:rPr>
            </w:pPr>
            <w:r w:rsidRPr="00EC1913">
              <w:rPr>
                <w:color w:val="000000"/>
                <w:sz w:val="20"/>
                <w:szCs w:val="18"/>
              </w:rPr>
              <w:t>-0.75</w:t>
            </w:r>
          </w:p>
        </w:tc>
        <w:tc>
          <w:tcPr>
            <w:tcW w:w="948" w:type="dxa"/>
            <w:gridSpan w:val="2"/>
            <w:shd w:val="clear" w:color="auto" w:fill="auto"/>
            <w:noWrap/>
            <w:vAlign w:val="center"/>
            <w:hideMark/>
          </w:tcPr>
          <w:p w14:paraId="256E17FC" w14:textId="77777777" w:rsidR="008105F8" w:rsidRPr="00EC1913" w:rsidRDefault="008105F8" w:rsidP="00F54ACD">
            <w:pPr>
              <w:contextualSpacing/>
              <w:jc w:val="center"/>
              <w:rPr>
                <w:color w:val="000000"/>
                <w:sz w:val="20"/>
                <w:szCs w:val="18"/>
              </w:rPr>
            </w:pPr>
            <w:r w:rsidRPr="00EC1913">
              <w:rPr>
                <w:color w:val="000000"/>
                <w:sz w:val="20"/>
                <w:szCs w:val="18"/>
              </w:rPr>
              <w:t>11.62</w:t>
            </w:r>
          </w:p>
        </w:tc>
        <w:tc>
          <w:tcPr>
            <w:tcW w:w="948" w:type="dxa"/>
            <w:gridSpan w:val="2"/>
            <w:shd w:val="clear" w:color="auto" w:fill="auto"/>
            <w:noWrap/>
            <w:vAlign w:val="center"/>
            <w:hideMark/>
          </w:tcPr>
          <w:p w14:paraId="0B9AD2A0" w14:textId="77777777" w:rsidR="008105F8" w:rsidRPr="00EC1913" w:rsidRDefault="008105F8" w:rsidP="00F54ACD">
            <w:pPr>
              <w:contextualSpacing/>
              <w:jc w:val="center"/>
              <w:rPr>
                <w:color w:val="000000"/>
                <w:sz w:val="20"/>
                <w:szCs w:val="18"/>
              </w:rPr>
            </w:pPr>
            <w:r w:rsidRPr="00EC1913">
              <w:rPr>
                <w:color w:val="000000"/>
                <w:sz w:val="20"/>
                <w:szCs w:val="18"/>
              </w:rPr>
              <w:t>0.95</w:t>
            </w:r>
          </w:p>
        </w:tc>
        <w:tc>
          <w:tcPr>
            <w:tcW w:w="1066" w:type="dxa"/>
            <w:gridSpan w:val="2"/>
            <w:shd w:val="clear" w:color="auto" w:fill="auto"/>
            <w:noWrap/>
            <w:vAlign w:val="center"/>
            <w:hideMark/>
          </w:tcPr>
          <w:p w14:paraId="4D8F00D1" w14:textId="77777777" w:rsidR="008105F8" w:rsidRPr="00EC1913" w:rsidRDefault="008105F8" w:rsidP="00F54ACD">
            <w:pPr>
              <w:contextualSpacing/>
              <w:jc w:val="center"/>
              <w:rPr>
                <w:color w:val="000000"/>
                <w:sz w:val="20"/>
                <w:szCs w:val="18"/>
              </w:rPr>
            </w:pPr>
            <w:r w:rsidRPr="00EC1913">
              <w:rPr>
                <w:color w:val="000000"/>
                <w:sz w:val="20"/>
                <w:szCs w:val="18"/>
              </w:rPr>
              <w:t>-13.73</w:t>
            </w:r>
          </w:p>
        </w:tc>
        <w:tc>
          <w:tcPr>
            <w:tcW w:w="948" w:type="dxa"/>
            <w:gridSpan w:val="2"/>
            <w:shd w:val="clear" w:color="auto" w:fill="auto"/>
            <w:noWrap/>
            <w:vAlign w:val="center"/>
            <w:hideMark/>
          </w:tcPr>
          <w:p w14:paraId="021F30B7" w14:textId="77777777" w:rsidR="008105F8" w:rsidRPr="00EC1913" w:rsidRDefault="008105F8" w:rsidP="00F54ACD">
            <w:pPr>
              <w:contextualSpacing/>
              <w:jc w:val="center"/>
              <w:rPr>
                <w:color w:val="000000"/>
                <w:sz w:val="20"/>
                <w:szCs w:val="18"/>
              </w:rPr>
            </w:pPr>
            <w:r w:rsidRPr="00EC1913">
              <w:rPr>
                <w:color w:val="000000"/>
                <w:sz w:val="20"/>
                <w:szCs w:val="18"/>
              </w:rPr>
              <w:t>11.83</w:t>
            </w:r>
          </w:p>
        </w:tc>
        <w:tc>
          <w:tcPr>
            <w:tcW w:w="599" w:type="dxa"/>
            <w:vAlign w:val="center"/>
          </w:tcPr>
          <w:p w14:paraId="019C8758" w14:textId="77777777" w:rsidR="008105F8" w:rsidRPr="00EC1913" w:rsidRDefault="008105F8" w:rsidP="00F54ACD">
            <w:pPr>
              <w:contextualSpacing/>
              <w:jc w:val="center"/>
              <w:rPr>
                <w:color w:val="000000"/>
                <w:sz w:val="20"/>
                <w:szCs w:val="18"/>
              </w:rPr>
            </w:pPr>
            <w:r w:rsidRPr="00EC1913">
              <w:rPr>
                <w:color w:val="333333"/>
                <w:sz w:val="20"/>
                <w:szCs w:val="18"/>
              </w:rPr>
              <w:t>0.25</w:t>
            </w:r>
          </w:p>
        </w:tc>
      </w:tr>
      <w:tr w:rsidR="008105F8" w:rsidRPr="00EC1913" w14:paraId="2FC82748" w14:textId="77777777" w:rsidTr="00F54ACD">
        <w:trPr>
          <w:trHeight w:val="137"/>
        </w:trPr>
        <w:tc>
          <w:tcPr>
            <w:tcW w:w="3904" w:type="dxa"/>
            <w:gridSpan w:val="2"/>
            <w:shd w:val="clear" w:color="auto" w:fill="auto"/>
            <w:vAlign w:val="center"/>
            <w:hideMark/>
          </w:tcPr>
          <w:p w14:paraId="5732FACF" w14:textId="77777777" w:rsidR="008105F8" w:rsidRPr="00EC1913" w:rsidRDefault="008105F8" w:rsidP="00F54ACD">
            <w:pPr>
              <w:contextualSpacing/>
              <w:rPr>
                <w:color w:val="000000"/>
                <w:sz w:val="20"/>
                <w:szCs w:val="18"/>
              </w:rPr>
            </w:pPr>
            <w:r w:rsidRPr="00EC1913">
              <w:rPr>
                <w:color w:val="000000"/>
                <w:sz w:val="20"/>
                <w:szCs w:val="18"/>
              </w:rPr>
              <w:t>BT weeknights*</w:t>
            </w:r>
          </w:p>
        </w:tc>
        <w:tc>
          <w:tcPr>
            <w:tcW w:w="1066" w:type="dxa"/>
            <w:gridSpan w:val="2"/>
            <w:shd w:val="clear" w:color="auto" w:fill="auto"/>
            <w:noWrap/>
            <w:vAlign w:val="center"/>
            <w:hideMark/>
          </w:tcPr>
          <w:p w14:paraId="59CCAAE5" w14:textId="77777777" w:rsidR="008105F8" w:rsidRPr="00EC1913" w:rsidRDefault="008105F8" w:rsidP="00F54ACD">
            <w:pPr>
              <w:contextualSpacing/>
              <w:jc w:val="center"/>
              <w:rPr>
                <w:color w:val="000000"/>
                <w:sz w:val="20"/>
                <w:szCs w:val="18"/>
              </w:rPr>
            </w:pPr>
            <w:r w:rsidRPr="00EC1913">
              <w:rPr>
                <w:color w:val="000000"/>
                <w:sz w:val="20"/>
                <w:szCs w:val="18"/>
              </w:rPr>
              <w:t>-0.04</w:t>
            </w:r>
          </w:p>
        </w:tc>
        <w:tc>
          <w:tcPr>
            <w:tcW w:w="1185" w:type="dxa"/>
            <w:gridSpan w:val="2"/>
            <w:shd w:val="clear" w:color="auto" w:fill="auto"/>
            <w:noWrap/>
            <w:vAlign w:val="center"/>
            <w:hideMark/>
          </w:tcPr>
          <w:p w14:paraId="1BC4E8E9" w14:textId="77777777" w:rsidR="008105F8" w:rsidRPr="00EC1913" w:rsidRDefault="008105F8" w:rsidP="00F54ACD">
            <w:pPr>
              <w:contextualSpacing/>
              <w:jc w:val="center"/>
              <w:rPr>
                <w:color w:val="000000"/>
                <w:sz w:val="20"/>
                <w:szCs w:val="18"/>
              </w:rPr>
            </w:pPr>
            <w:r w:rsidRPr="00EC1913">
              <w:rPr>
                <w:color w:val="000000"/>
                <w:sz w:val="20"/>
                <w:szCs w:val="18"/>
              </w:rPr>
              <w:t>0.16</w:t>
            </w:r>
          </w:p>
        </w:tc>
        <w:tc>
          <w:tcPr>
            <w:tcW w:w="948" w:type="dxa"/>
            <w:gridSpan w:val="2"/>
            <w:shd w:val="clear" w:color="auto" w:fill="auto"/>
            <w:noWrap/>
            <w:vAlign w:val="center"/>
            <w:hideMark/>
          </w:tcPr>
          <w:p w14:paraId="6C2804B0" w14:textId="77777777" w:rsidR="008105F8" w:rsidRPr="00EC1913" w:rsidRDefault="008105F8" w:rsidP="00F54ACD">
            <w:pPr>
              <w:contextualSpacing/>
              <w:jc w:val="center"/>
              <w:rPr>
                <w:color w:val="000000"/>
                <w:sz w:val="20"/>
                <w:szCs w:val="18"/>
              </w:rPr>
            </w:pPr>
            <w:r w:rsidRPr="00EC1913">
              <w:rPr>
                <w:color w:val="000000"/>
                <w:sz w:val="20"/>
                <w:szCs w:val="18"/>
              </w:rPr>
              <w:t>0.81</w:t>
            </w:r>
          </w:p>
        </w:tc>
        <w:tc>
          <w:tcPr>
            <w:tcW w:w="948" w:type="dxa"/>
            <w:gridSpan w:val="2"/>
            <w:shd w:val="clear" w:color="auto" w:fill="auto"/>
            <w:noWrap/>
            <w:vAlign w:val="center"/>
            <w:hideMark/>
          </w:tcPr>
          <w:p w14:paraId="5648D02B" w14:textId="77777777" w:rsidR="008105F8" w:rsidRPr="00EC1913" w:rsidRDefault="008105F8" w:rsidP="00F54ACD">
            <w:pPr>
              <w:contextualSpacing/>
              <w:jc w:val="center"/>
              <w:rPr>
                <w:color w:val="000000"/>
                <w:sz w:val="20"/>
                <w:szCs w:val="18"/>
              </w:rPr>
            </w:pPr>
            <w:r w:rsidRPr="00EC1913">
              <w:rPr>
                <w:color w:val="000000"/>
                <w:sz w:val="20"/>
                <w:szCs w:val="18"/>
              </w:rPr>
              <w:t>0.20</w:t>
            </w:r>
          </w:p>
        </w:tc>
        <w:tc>
          <w:tcPr>
            <w:tcW w:w="948" w:type="dxa"/>
            <w:gridSpan w:val="2"/>
            <w:shd w:val="clear" w:color="auto" w:fill="auto"/>
            <w:noWrap/>
            <w:vAlign w:val="center"/>
            <w:hideMark/>
          </w:tcPr>
          <w:p w14:paraId="4266E1C1" w14:textId="77777777" w:rsidR="008105F8" w:rsidRPr="00EC1913" w:rsidRDefault="008105F8" w:rsidP="00F54ACD">
            <w:pPr>
              <w:contextualSpacing/>
              <w:jc w:val="center"/>
              <w:rPr>
                <w:color w:val="000000"/>
                <w:sz w:val="20"/>
                <w:szCs w:val="18"/>
              </w:rPr>
            </w:pPr>
            <w:r w:rsidRPr="00EC1913">
              <w:rPr>
                <w:color w:val="000000"/>
                <w:sz w:val="20"/>
                <w:szCs w:val="18"/>
              </w:rPr>
              <w:t>0.16</w:t>
            </w:r>
          </w:p>
        </w:tc>
        <w:tc>
          <w:tcPr>
            <w:tcW w:w="948" w:type="dxa"/>
            <w:gridSpan w:val="2"/>
            <w:shd w:val="clear" w:color="auto" w:fill="auto"/>
            <w:noWrap/>
            <w:vAlign w:val="center"/>
            <w:hideMark/>
          </w:tcPr>
          <w:p w14:paraId="7FEF84AC" w14:textId="77777777" w:rsidR="008105F8" w:rsidRPr="00EC1913" w:rsidRDefault="008105F8" w:rsidP="00F54ACD">
            <w:pPr>
              <w:contextualSpacing/>
              <w:jc w:val="center"/>
              <w:rPr>
                <w:color w:val="000000"/>
                <w:sz w:val="20"/>
                <w:szCs w:val="18"/>
              </w:rPr>
            </w:pPr>
            <w:r w:rsidRPr="00EC1913">
              <w:rPr>
                <w:color w:val="000000"/>
                <w:sz w:val="20"/>
                <w:szCs w:val="18"/>
              </w:rPr>
              <w:t>0.21</w:t>
            </w:r>
          </w:p>
        </w:tc>
        <w:tc>
          <w:tcPr>
            <w:tcW w:w="1066" w:type="dxa"/>
            <w:gridSpan w:val="2"/>
            <w:shd w:val="clear" w:color="auto" w:fill="auto"/>
            <w:noWrap/>
            <w:vAlign w:val="center"/>
            <w:hideMark/>
          </w:tcPr>
          <w:p w14:paraId="22C1B957" w14:textId="77777777" w:rsidR="008105F8" w:rsidRPr="00EC1913" w:rsidRDefault="008105F8" w:rsidP="00F54ACD">
            <w:pPr>
              <w:contextualSpacing/>
              <w:jc w:val="center"/>
              <w:rPr>
                <w:color w:val="000000"/>
                <w:sz w:val="20"/>
                <w:szCs w:val="18"/>
              </w:rPr>
            </w:pPr>
            <w:r w:rsidRPr="00EC1913">
              <w:rPr>
                <w:color w:val="000000"/>
                <w:sz w:val="20"/>
                <w:szCs w:val="18"/>
              </w:rPr>
              <w:t>0.24</w:t>
            </w:r>
          </w:p>
        </w:tc>
        <w:tc>
          <w:tcPr>
            <w:tcW w:w="948" w:type="dxa"/>
            <w:gridSpan w:val="2"/>
            <w:shd w:val="clear" w:color="auto" w:fill="auto"/>
            <w:noWrap/>
            <w:vAlign w:val="center"/>
            <w:hideMark/>
          </w:tcPr>
          <w:p w14:paraId="7CF00602" w14:textId="77777777" w:rsidR="008105F8" w:rsidRPr="00EC1913" w:rsidRDefault="008105F8" w:rsidP="00F54ACD">
            <w:pPr>
              <w:contextualSpacing/>
              <w:jc w:val="center"/>
              <w:rPr>
                <w:color w:val="000000"/>
                <w:sz w:val="20"/>
                <w:szCs w:val="18"/>
              </w:rPr>
            </w:pPr>
            <w:r w:rsidRPr="00EC1913">
              <w:rPr>
                <w:color w:val="000000"/>
                <w:sz w:val="20"/>
                <w:szCs w:val="18"/>
              </w:rPr>
              <w:t>0.16</w:t>
            </w:r>
          </w:p>
        </w:tc>
        <w:tc>
          <w:tcPr>
            <w:tcW w:w="599" w:type="dxa"/>
            <w:vAlign w:val="center"/>
          </w:tcPr>
          <w:p w14:paraId="1F237EE7" w14:textId="77777777" w:rsidR="008105F8" w:rsidRPr="00EC1913" w:rsidRDefault="008105F8" w:rsidP="00F54ACD">
            <w:pPr>
              <w:contextualSpacing/>
              <w:jc w:val="center"/>
              <w:rPr>
                <w:color w:val="000000"/>
                <w:sz w:val="20"/>
                <w:szCs w:val="18"/>
              </w:rPr>
            </w:pPr>
            <w:r w:rsidRPr="00EC1913">
              <w:rPr>
                <w:color w:val="333333"/>
                <w:sz w:val="20"/>
                <w:szCs w:val="18"/>
              </w:rPr>
              <w:t>0.14</w:t>
            </w:r>
          </w:p>
        </w:tc>
      </w:tr>
      <w:tr w:rsidR="008105F8" w:rsidRPr="00EC1913" w14:paraId="2962BB36" w14:textId="77777777" w:rsidTr="00F54ACD">
        <w:trPr>
          <w:trHeight w:val="59"/>
        </w:trPr>
        <w:tc>
          <w:tcPr>
            <w:tcW w:w="3904" w:type="dxa"/>
            <w:gridSpan w:val="2"/>
            <w:shd w:val="clear" w:color="auto" w:fill="auto"/>
            <w:vAlign w:val="center"/>
            <w:hideMark/>
          </w:tcPr>
          <w:p w14:paraId="2C97B3F3" w14:textId="77777777" w:rsidR="008105F8" w:rsidRPr="00EC1913" w:rsidRDefault="008105F8" w:rsidP="00F54ACD">
            <w:pPr>
              <w:contextualSpacing/>
              <w:rPr>
                <w:color w:val="000000"/>
                <w:sz w:val="20"/>
                <w:szCs w:val="18"/>
              </w:rPr>
            </w:pPr>
            <w:r w:rsidRPr="00EC1913">
              <w:rPr>
                <w:color w:val="000000"/>
                <w:sz w:val="20"/>
                <w:szCs w:val="18"/>
              </w:rPr>
              <w:t>CMEP*</w:t>
            </w:r>
          </w:p>
        </w:tc>
        <w:tc>
          <w:tcPr>
            <w:tcW w:w="1066" w:type="dxa"/>
            <w:gridSpan w:val="2"/>
            <w:shd w:val="clear" w:color="000000" w:fill="FFFF00"/>
            <w:noWrap/>
            <w:vAlign w:val="center"/>
            <w:hideMark/>
          </w:tcPr>
          <w:p w14:paraId="52DF2CFF" w14:textId="77777777" w:rsidR="008105F8" w:rsidRPr="00EC1913" w:rsidRDefault="008105F8" w:rsidP="00F54ACD">
            <w:pPr>
              <w:contextualSpacing/>
              <w:jc w:val="center"/>
              <w:rPr>
                <w:color w:val="000000"/>
                <w:sz w:val="20"/>
                <w:szCs w:val="18"/>
              </w:rPr>
            </w:pPr>
            <w:r w:rsidRPr="00EC1913">
              <w:rPr>
                <w:color w:val="000000"/>
                <w:sz w:val="20"/>
                <w:szCs w:val="18"/>
              </w:rPr>
              <w:t>2.00</w:t>
            </w:r>
          </w:p>
        </w:tc>
        <w:tc>
          <w:tcPr>
            <w:tcW w:w="1185" w:type="dxa"/>
            <w:gridSpan w:val="2"/>
            <w:shd w:val="clear" w:color="000000" w:fill="FFFF00"/>
            <w:noWrap/>
            <w:vAlign w:val="center"/>
            <w:hideMark/>
          </w:tcPr>
          <w:p w14:paraId="56CE038F" w14:textId="77777777" w:rsidR="008105F8" w:rsidRPr="00EC1913" w:rsidRDefault="008105F8" w:rsidP="00F54ACD">
            <w:pPr>
              <w:contextualSpacing/>
              <w:jc w:val="center"/>
              <w:rPr>
                <w:color w:val="000000"/>
                <w:sz w:val="20"/>
                <w:szCs w:val="18"/>
              </w:rPr>
            </w:pPr>
            <w:r w:rsidRPr="00EC1913">
              <w:rPr>
                <w:color w:val="000000"/>
                <w:sz w:val="20"/>
                <w:szCs w:val="18"/>
              </w:rPr>
              <w:t>0.65</w:t>
            </w:r>
          </w:p>
        </w:tc>
        <w:tc>
          <w:tcPr>
            <w:tcW w:w="948" w:type="dxa"/>
            <w:gridSpan w:val="2"/>
            <w:shd w:val="clear" w:color="000000" w:fill="FFFF00"/>
            <w:noWrap/>
            <w:vAlign w:val="center"/>
            <w:hideMark/>
          </w:tcPr>
          <w:p w14:paraId="386B6562" w14:textId="77777777" w:rsidR="008105F8" w:rsidRPr="00EC1913" w:rsidRDefault="008105F8" w:rsidP="00F54ACD">
            <w:pPr>
              <w:contextualSpacing/>
              <w:jc w:val="center"/>
              <w:rPr>
                <w:color w:val="000000"/>
                <w:sz w:val="20"/>
                <w:szCs w:val="18"/>
              </w:rPr>
            </w:pPr>
            <w:r w:rsidRPr="00EC1913">
              <w:rPr>
                <w:color w:val="000000"/>
                <w:sz w:val="20"/>
                <w:szCs w:val="18"/>
              </w:rPr>
              <w:t>0.002</w:t>
            </w:r>
          </w:p>
        </w:tc>
        <w:tc>
          <w:tcPr>
            <w:tcW w:w="948" w:type="dxa"/>
            <w:gridSpan w:val="2"/>
            <w:shd w:val="clear" w:color="000000" w:fill="D9E1F2"/>
            <w:noWrap/>
            <w:vAlign w:val="center"/>
            <w:hideMark/>
          </w:tcPr>
          <w:p w14:paraId="0B1D31AD" w14:textId="77777777" w:rsidR="008105F8" w:rsidRPr="00EC1913" w:rsidRDefault="008105F8" w:rsidP="00F54ACD">
            <w:pPr>
              <w:contextualSpacing/>
              <w:jc w:val="center"/>
              <w:rPr>
                <w:color w:val="000000"/>
                <w:sz w:val="20"/>
                <w:szCs w:val="18"/>
              </w:rPr>
            </w:pPr>
            <w:r w:rsidRPr="00EC1913">
              <w:rPr>
                <w:color w:val="000000"/>
                <w:sz w:val="20"/>
                <w:szCs w:val="18"/>
              </w:rPr>
              <w:t>1.84</w:t>
            </w:r>
          </w:p>
        </w:tc>
        <w:tc>
          <w:tcPr>
            <w:tcW w:w="948" w:type="dxa"/>
            <w:gridSpan w:val="2"/>
            <w:shd w:val="clear" w:color="000000" w:fill="D9E1F2"/>
            <w:noWrap/>
            <w:vAlign w:val="center"/>
            <w:hideMark/>
          </w:tcPr>
          <w:p w14:paraId="7A0781DA" w14:textId="77777777" w:rsidR="008105F8" w:rsidRPr="00EC1913" w:rsidRDefault="008105F8" w:rsidP="00F54ACD">
            <w:pPr>
              <w:contextualSpacing/>
              <w:jc w:val="center"/>
              <w:rPr>
                <w:color w:val="000000"/>
                <w:sz w:val="20"/>
                <w:szCs w:val="18"/>
              </w:rPr>
            </w:pPr>
            <w:r w:rsidRPr="00EC1913">
              <w:rPr>
                <w:color w:val="000000"/>
                <w:sz w:val="20"/>
                <w:szCs w:val="18"/>
              </w:rPr>
              <w:t>0.67</w:t>
            </w:r>
          </w:p>
        </w:tc>
        <w:tc>
          <w:tcPr>
            <w:tcW w:w="948" w:type="dxa"/>
            <w:gridSpan w:val="2"/>
            <w:shd w:val="clear" w:color="000000" w:fill="D9E1F2"/>
            <w:noWrap/>
            <w:vAlign w:val="center"/>
            <w:hideMark/>
          </w:tcPr>
          <w:p w14:paraId="0D0D7764" w14:textId="77777777" w:rsidR="008105F8" w:rsidRPr="00EC1913" w:rsidRDefault="008105F8" w:rsidP="00F54ACD">
            <w:pPr>
              <w:contextualSpacing/>
              <w:jc w:val="center"/>
              <w:rPr>
                <w:color w:val="000000"/>
                <w:sz w:val="20"/>
                <w:szCs w:val="18"/>
              </w:rPr>
            </w:pPr>
            <w:r w:rsidRPr="00EC1913">
              <w:rPr>
                <w:color w:val="000000"/>
                <w:sz w:val="20"/>
                <w:szCs w:val="18"/>
              </w:rPr>
              <w:t>0.006</w:t>
            </w:r>
          </w:p>
        </w:tc>
        <w:tc>
          <w:tcPr>
            <w:tcW w:w="1066" w:type="dxa"/>
            <w:gridSpan w:val="2"/>
            <w:shd w:val="clear" w:color="auto" w:fill="auto"/>
            <w:noWrap/>
            <w:vAlign w:val="center"/>
            <w:hideMark/>
          </w:tcPr>
          <w:p w14:paraId="58AA0015" w14:textId="77777777" w:rsidR="008105F8" w:rsidRPr="00EC1913" w:rsidRDefault="008105F8" w:rsidP="00F54ACD">
            <w:pPr>
              <w:contextualSpacing/>
              <w:jc w:val="center"/>
              <w:rPr>
                <w:color w:val="000000"/>
                <w:sz w:val="20"/>
                <w:szCs w:val="18"/>
              </w:rPr>
            </w:pPr>
            <w:r w:rsidRPr="00EC1913">
              <w:rPr>
                <w:color w:val="000000"/>
                <w:sz w:val="20"/>
                <w:szCs w:val="18"/>
              </w:rPr>
              <w:t>-0.16</w:t>
            </w:r>
          </w:p>
        </w:tc>
        <w:tc>
          <w:tcPr>
            <w:tcW w:w="948" w:type="dxa"/>
            <w:gridSpan w:val="2"/>
            <w:shd w:val="clear" w:color="auto" w:fill="auto"/>
            <w:noWrap/>
            <w:vAlign w:val="center"/>
            <w:hideMark/>
          </w:tcPr>
          <w:p w14:paraId="0CD20DC8" w14:textId="77777777" w:rsidR="008105F8" w:rsidRPr="00EC1913" w:rsidRDefault="008105F8" w:rsidP="00F54ACD">
            <w:pPr>
              <w:contextualSpacing/>
              <w:jc w:val="center"/>
              <w:rPr>
                <w:color w:val="000000"/>
                <w:sz w:val="20"/>
                <w:szCs w:val="18"/>
              </w:rPr>
            </w:pPr>
            <w:r w:rsidRPr="00EC1913">
              <w:rPr>
                <w:color w:val="000000"/>
                <w:sz w:val="20"/>
                <w:szCs w:val="18"/>
              </w:rPr>
              <w:t>0.69</w:t>
            </w:r>
          </w:p>
        </w:tc>
        <w:tc>
          <w:tcPr>
            <w:tcW w:w="599" w:type="dxa"/>
            <w:vAlign w:val="center"/>
          </w:tcPr>
          <w:p w14:paraId="71677790" w14:textId="77777777" w:rsidR="008105F8" w:rsidRPr="00EC1913" w:rsidRDefault="008105F8" w:rsidP="00F54ACD">
            <w:pPr>
              <w:contextualSpacing/>
              <w:jc w:val="center"/>
              <w:rPr>
                <w:color w:val="000000"/>
                <w:sz w:val="20"/>
                <w:szCs w:val="18"/>
              </w:rPr>
            </w:pPr>
            <w:r w:rsidRPr="00EC1913">
              <w:rPr>
                <w:color w:val="333333"/>
                <w:sz w:val="20"/>
                <w:szCs w:val="18"/>
              </w:rPr>
              <w:t>0.83</w:t>
            </w:r>
          </w:p>
        </w:tc>
      </w:tr>
      <w:tr w:rsidR="008105F8" w:rsidRPr="00EC1913" w14:paraId="017C3560" w14:textId="77777777" w:rsidTr="00F54ACD">
        <w:trPr>
          <w:trHeight w:val="137"/>
        </w:trPr>
        <w:tc>
          <w:tcPr>
            <w:tcW w:w="3904" w:type="dxa"/>
            <w:gridSpan w:val="2"/>
            <w:shd w:val="clear" w:color="auto" w:fill="auto"/>
            <w:vAlign w:val="center"/>
            <w:hideMark/>
          </w:tcPr>
          <w:p w14:paraId="4BB4CFAC" w14:textId="77777777" w:rsidR="008105F8" w:rsidRPr="00EC1913" w:rsidRDefault="008105F8" w:rsidP="00F54ACD">
            <w:pPr>
              <w:contextualSpacing/>
              <w:rPr>
                <w:color w:val="000000"/>
                <w:sz w:val="20"/>
                <w:szCs w:val="18"/>
              </w:rPr>
            </w:pPr>
            <w:proofErr w:type="spellStart"/>
            <w:r w:rsidRPr="00EC1913">
              <w:rPr>
                <w:color w:val="000000"/>
                <w:sz w:val="20"/>
                <w:szCs w:val="18"/>
              </w:rPr>
              <w:t>TST</w:t>
            </w:r>
            <w:proofErr w:type="spellEnd"/>
            <w:r w:rsidRPr="00EC1913">
              <w:rPr>
                <w:color w:val="000000"/>
                <w:sz w:val="20"/>
                <w:szCs w:val="18"/>
              </w:rPr>
              <w:t xml:space="preserve"> weeknight-weekend discrepancy</w:t>
            </w:r>
          </w:p>
        </w:tc>
        <w:tc>
          <w:tcPr>
            <w:tcW w:w="1066" w:type="dxa"/>
            <w:gridSpan w:val="2"/>
            <w:shd w:val="clear" w:color="000000" w:fill="FFFF00"/>
            <w:noWrap/>
            <w:vAlign w:val="center"/>
            <w:hideMark/>
          </w:tcPr>
          <w:p w14:paraId="728FD724" w14:textId="77777777" w:rsidR="008105F8" w:rsidRPr="00EC1913" w:rsidRDefault="008105F8" w:rsidP="00F54ACD">
            <w:pPr>
              <w:contextualSpacing/>
              <w:jc w:val="center"/>
              <w:rPr>
                <w:color w:val="000000"/>
                <w:sz w:val="20"/>
                <w:szCs w:val="18"/>
              </w:rPr>
            </w:pPr>
            <w:r w:rsidRPr="00EC1913">
              <w:rPr>
                <w:color w:val="000000"/>
                <w:sz w:val="20"/>
                <w:szCs w:val="18"/>
              </w:rPr>
              <w:t>48.03</w:t>
            </w:r>
          </w:p>
        </w:tc>
        <w:tc>
          <w:tcPr>
            <w:tcW w:w="1185" w:type="dxa"/>
            <w:gridSpan w:val="2"/>
            <w:shd w:val="clear" w:color="000000" w:fill="FFFF00"/>
            <w:noWrap/>
            <w:vAlign w:val="center"/>
            <w:hideMark/>
          </w:tcPr>
          <w:p w14:paraId="133D823B" w14:textId="77777777" w:rsidR="008105F8" w:rsidRPr="00EC1913" w:rsidRDefault="008105F8" w:rsidP="00F54ACD">
            <w:pPr>
              <w:contextualSpacing/>
              <w:jc w:val="center"/>
              <w:rPr>
                <w:color w:val="000000"/>
                <w:sz w:val="20"/>
                <w:szCs w:val="18"/>
              </w:rPr>
            </w:pPr>
            <w:r w:rsidRPr="00EC1913">
              <w:rPr>
                <w:color w:val="000000"/>
                <w:sz w:val="20"/>
                <w:szCs w:val="18"/>
              </w:rPr>
              <w:t>23.45</w:t>
            </w:r>
          </w:p>
        </w:tc>
        <w:tc>
          <w:tcPr>
            <w:tcW w:w="948" w:type="dxa"/>
            <w:gridSpan w:val="2"/>
            <w:shd w:val="clear" w:color="000000" w:fill="FFFF00"/>
            <w:noWrap/>
            <w:vAlign w:val="center"/>
            <w:hideMark/>
          </w:tcPr>
          <w:p w14:paraId="39B9D88B" w14:textId="77777777" w:rsidR="008105F8" w:rsidRPr="00EC1913" w:rsidRDefault="008105F8" w:rsidP="00F54ACD">
            <w:pPr>
              <w:contextualSpacing/>
              <w:jc w:val="center"/>
              <w:rPr>
                <w:color w:val="000000"/>
                <w:sz w:val="20"/>
                <w:szCs w:val="18"/>
              </w:rPr>
            </w:pPr>
            <w:r w:rsidRPr="00EC1913">
              <w:rPr>
                <w:color w:val="000000"/>
                <w:sz w:val="20"/>
                <w:szCs w:val="18"/>
              </w:rPr>
              <w:t>0.04</w:t>
            </w:r>
          </w:p>
        </w:tc>
        <w:tc>
          <w:tcPr>
            <w:tcW w:w="948" w:type="dxa"/>
            <w:gridSpan w:val="2"/>
            <w:shd w:val="clear" w:color="auto" w:fill="auto"/>
            <w:noWrap/>
            <w:vAlign w:val="center"/>
            <w:hideMark/>
          </w:tcPr>
          <w:p w14:paraId="29B50E6F" w14:textId="77777777" w:rsidR="008105F8" w:rsidRPr="00EC1913" w:rsidRDefault="008105F8" w:rsidP="00F54ACD">
            <w:pPr>
              <w:contextualSpacing/>
              <w:jc w:val="center"/>
              <w:rPr>
                <w:color w:val="000000"/>
                <w:sz w:val="20"/>
                <w:szCs w:val="18"/>
              </w:rPr>
            </w:pPr>
            <w:r w:rsidRPr="00EC1913">
              <w:rPr>
                <w:color w:val="000000"/>
                <w:sz w:val="20"/>
                <w:szCs w:val="18"/>
              </w:rPr>
              <w:t>18.30</w:t>
            </w:r>
          </w:p>
        </w:tc>
        <w:tc>
          <w:tcPr>
            <w:tcW w:w="948" w:type="dxa"/>
            <w:gridSpan w:val="2"/>
            <w:shd w:val="clear" w:color="auto" w:fill="auto"/>
            <w:noWrap/>
            <w:vAlign w:val="center"/>
            <w:hideMark/>
          </w:tcPr>
          <w:p w14:paraId="21F78C2C" w14:textId="77777777" w:rsidR="008105F8" w:rsidRPr="00EC1913" w:rsidRDefault="008105F8" w:rsidP="00F54ACD">
            <w:pPr>
              <w:contextualSpacing/>
              <w:jc w:val="center"/>
              <w:rPr>
                <w:color w:val="000000"/>
                <w:sz w:val="20"/>
                <w:szCs w:val="18"/>
              </w:rPr>
            </w:pPr>
            <w:r w:rsidRPr="00EC1913">
              <w:rPr>
                <w:color w:val="000000"/>
                <w:sz w:val="20"/>
                <w:szCs w:val="18"/>
              </w:rPr>
              <w:t>23.47</w:t>
            </w:r>
          </w:p>
        </w:tc>
        <w:tc>
          <w:tcPr>
            <w:tcW w:w="948" w:type="dxa"/>
            <w:gridSpan w:val="2"/>
            <w:shd w:val="clear" w:color="auto" w:fill="auto"/>
            <w:noWrap/>
            <w:vAlign w:val="center"/>
            <w:hideMark/>
          </w:tcPr>
          <w:p w14:paraId="30C93147" w14:textId="77777777" w:rsidR="008105F8" w:rsidRPr="00EC1913" w:rsidRDefault="008105F8" w:rsidP="00F54ACD">
            <w:pPr>
              <w:contextualSpacing/>
              <w:jc w:val="center"/>
              <w:rPr>
                <w:color w:val="000000"/>
                <w:sz w:val="20"/>
                <w:szCs w:val="18"/>
              </w:rPr>
            </w:pPr>
            <w:r w:rsidRPr="00EC1913">
              <w:rPr>
                <w:color w:val="000000"/>
                <w:sz w:val="20"/>
                <w:szCs w:val="18"/>
              </w:rPr>
              <w:t>0.44</w:t>
            </w:r>
          </w:p>
        </w:tc>
        <w:tc>
          <w:tcPr>
            <w:tcW w:w="1066" w:type="dxa"/>
            <w:gridSpan w:val="2"/>
            <w:shd w:val="clear" w:color="auto" w:fill="auto"/>
            <w:noWrap/>
            <w:vAlign w:val="center"/>
            <w:hideMark/>
          </w:tcPr>
          <w:p w14:paraId="31743A99" w14:textId="77777777" w:rsidR="008105F8" w:rsidRPr="00EC1913" w:rsidRDefault="008105F8" w:rsidP="00F54ACD">
            <w:pPr>
              <w:contextualSpacing/>
              <w:jc w:val="center"/>
              <w:rPr>
                <w:color w:val="000000"/>
                <w:sz w:val="20"/>
                <w:szCs w:val="18"/>
              </w:rPr>
            </w:pPr>
            <w:r w:rsidRPr="00EC1913">
              <w:rPr>
                <w:color w:val="000000"/>
                <w:sz w:val="20"/>
                <w:szCs w:val="18"/>
              </w:rPr>
              <w:t>-29.73</w:t>
            </w:r>
          </w:p>
        </w:tc>
        <w:tc>
          <w:tcPr>
            <w:tcW w:w="948" w:type="dxa"/>
            <w:gridSpan w:val="2"/>
            <w:shd w:val="clear" w:color="auto" w:fill="auto"/>
            <w:noWrap/>
            <w:vAlign w:val="center"/>
            <w:hideMark/>
          </w:tcPr>
          <w:p w14:paraId="52F8D633" w14:textId="77777777" w:rsidR="008105F8" w:rsidRPr="00EC1913" w:rsidRDefault="008105F8" w:rsidP="00F54ACD">
            <w:pPr>
              <w:contextualSpacing/>
              <w:jc w:val="center"/>
              <w:rPr>
                <w:color w:val="000000"/>
                <w:sz w:val="20"/>
                <w:szCs w:val="18"/>
              </w:rPr>
            </w:pPr>
            <w:r w:rsidRPr="00EC1913">
              <w:rPr>
                <w:color w:val="000000"/>
                <w:sz w:val="20"/>
                <w:szCs w:val="18"/>
              </w:rPr>
              <w:t>24.00</w:t>
            </w:r>
          </w:p>
        </w:tc>
        <w:tc>
          <w:tcPr>
            <w:tcW w:w="599" w:type="dxa"/>
            <w:vAlign w:val="center"/>
          </w:tcPr>
          <w:p w14:paraId="2F3E3B78" w14:textId="77777777" w:rsidR="008105F8" w:rsidRPr="00EC1913" w:rsidRDefault="008105F8" w:rsidP="00F54ACD">
            <w:pPr>
              <w:contextualSpacing/>
              <w:jc w:val="center"/>
              <w:rPr>
                <w:color w:val="000000"/>
                <w:sz w:val="20"/>
                <w:szCs w:val="18"/>
              </w:rPr>
            </w:pPr>
            <w:r w:rsidRPr="00EC1913">
              <w:rPr>
                <w:color w:val="333333"/>
                <w:sz w:val="20"/>
                <w:szCs w:val="18"/>
              </w:rPr>
              <w:t>0.22</w:t>
            </w:r>
          </w:p>
        </w:tc>
      </w:tr>
      <w:tr w:rsidR="008105F8" w:rsidRPr="00EC1913" w14:paraId="71A88EE0" w14:textId="77777777" w:rsidTr="00F54ACD">
        <w:trPr>
          <w:trHeight w:val="137"/>
        </w:trPr>
        <w:tc>
          <w:tcPr>
            <w:tcW w:w="3904" w:type="dxa"/>
            <w:gridSpan w:val="2"/>
            <w:shd w:val="clear" w:color="auto" w:fill="auto"/>
            <w:vAlign w:val="center"/>
            <w:hideMark/>
          </w:tcPr>
          <w:p w14:paraId="151861FE" w14:textId="77777777" w:rsidR="008105F8" w:rsidRPr="00EC1913" w:rsidRDefault="008105F8" w:rsidP="00F54ACD">
            <w:pPr>
              <w:contextualSpacing/>
              <w:rPr>
                <w:color w:val="000000"/>
                <w:sz w:val="20"/>
                <w:szCs w:val="18"/>
              </w:rPr>
            </w:pPr>
            <w:r w:rsidRPr="00EC1913">
              <w:rPr>
                <w:color w:val="000000"/>
                <w:sz w:val="20"/>
                <w:szCs w:val="18"/>
              </w:rPr>
              <w:t>BT weeknight-weekend discrepancy</w:t>
            </w:r>
          </w:p>
        </w:tc>
        <w:tc>
          <w:tcPr>
            <w:tcW w:w="1066" w:type="dxa"/>
            <w:gridSpan w:val="2"/>
            <w:shd w:val="clear" w:color="auto" w:fill="auto"/>
            <w:noWrap/>
            <w:vAlign w:val="center"/>
            <w:hideMark/>
          </w:tcPr>
          <w:p w14:paraId="63741701" w14:textId="77777777" w:rsidR="008105F8" w:rsidRPr="00EC1913" w:rsidRDefault="008105F8" w:rsidP="00F54ACD">
            <w:pPr>
              <w:contextualSpacing/>
              <w:jc w:val="center"/>
              <w:rPr>
                <w:color w:val="000000"/>
                <w:sz w:val="20"/>
                <w:szCs w:val="18"/>
              </w:rPr>
            </w:pPr>
            <w:r w:rsidRPr="00EC1913">
              <w:rPr>
                <w:color w:val="000000"/>
                <w:sz w:val="20"/>
                <w:szCs w:val="18"/>
              </w:rPr>
              <w:t>0.04</w:t>
            </w:r>
          </w:p>
        </w:tc>
        <w:tc>
          <w:tcPr>
            <w:tcW w:w="1185" w:type="dxa"/>
            <w:gridSpan w:val="2"/>
            <w:shd w:val="clear" w:color="auto" w:fill="auto"/>
            <w:noWrap/>
            <w:vAlign w:val="center"/>
            <w:hideMark/>
          </w:tcPr>
          <w:p w14:paraId="77A35C83" w14:textId="77777777" w:rsidR="008105F8" w:rsidRPr="00EC1913" w:rsidRDefault="008105F8" w:rsidP="00F54ACD">
            <w:pPr>
              <w:contextualSpacing/>
              <w:jc w:val="center"/>
              <w:rPr>
                <w:color w:val="000000"/>
                <w:sz w:val="20"/>
                <w:szCs w:val="18"/>
              </w:rPr>
            </w:pPr>
            <w:r w:rsidRPr="00EC1913">
              <w:rPr>
                <w:color w:val="000000"/>
                <w:sz w:val="20"/>
                <w:szCs w:val="18"/>
              </w:rPr>
              <w:t>0.29</w:t>
            </w:r>
          </w:p>
        </w:tc>
        <w:tc>
          <w:tcPr>
            <w:tcW w:w="948" w:type="dxa"/>
            <w:gridSpan w:val="2"/>
            <w:shd w:val="clear" w:color="auto" w:fill="auto"/>
            <w:noWrap/>
            <w:vAlign w:val="center"/>
            <w:hideMark/>
          </w:tcPr>
          <w:p w14:paraId="5120F956" w14:textId="77777777" w:rsidR="008105F8" w:rsidRPr="00EC1913" w:rsidRDefault="008105F8" w:rsidP="00F54ACD">
            <w:pPr>
              <w:contextualSpacing/>
              <w:jc w:val="center"/>
              <w:rPr>
                <w:color w:val="000000"/>
                <w:sz w:val="20"/>
                <w:szCs w:val="18"/>
              </w:rPr>
            </w:pPr>
            <w:r w:rsidRPr="00EC1913">
              <w:rPr>
                <w:color w:val="000000"/>
                <w:sz w:val="20"/>
                <w:szCs w:val="18"/>
              </w:rPr>
              <w:t>0.89</w:t>
            </w:r>
          </w:p>
        </w:tc>
        <w:tc>
          <w:tcPr>
            <w:tcW w:w="948" w:type="dxa"/>
            <w:gridSpan w:val="2"/>
            <w:shd w:val="clear" w:color="auto" w:fill="auto"/>
            <w:noWrap/>
            <w:vAlign w:val="center"/>
            <w:hideMark/>
          </w:tcPr>
          <w:p w14:paraId="790A39DF" w14:textId="77777777" w:rsidR="008105F8" w:rsidRPr="00EC1913" w:rsidRDefault="008105F8" w:rsidP="00F54ACD">
            <w:pPr>
              <w:contextualSpacing/>
              <w:jc w:val="center"/>
              <w:rPr>
                <w:color w:val="000000"/>
                <w:sz w:val="20"/>
                <w:szCs w:val="18"/>
              </w:rPr>
            </w:pPr>
            <w:r w:rsidRPr="00EC1913">
              <w:rPr>
                <w:color w:val="000000"/>
                <w:sz w:val="20"/>
                <w:szCs w:val="18"/>
              </w:rPr>
              <w:t>0.38</w:t>
            </w:r>
          </w:p>
        </w:tc>
        <w:tc>
          <w:tcPr>
            <w:tcW w:w="948" w:type="dxa"/>
            <w:gridSpan w:val="2"/>
            <w:shd w:val="clear" w:color="auto" w:fill="auto"/>
            <w:noWrap/>
            <w:vAlign w:val="center"/>
            <w:hideMark/>
          </w:tcPr>
          <w:p w14:paraId="185B13DB" w14:textId="77777777" w:rsidR="008105F8" w:rsidRPr="00EC1913" w:rsidRDefault="008105F8" w:rsidP="00F54ACD">
            <w:pPr>
              <w:contextualSpacing/>
              <w:jc w:val="center"/>
              <w:rPr>
                <w:color w:val="000000"/>
                <w:sz w:val="20"/>
                <w:szCs w:val="18"/>
              </w:rPr>
            </w:pPr>
            <w:r w:rsidRPr="00EC1913">
              <w:rPr>
                <w:color w:val="000000"/>
                <w:sz w:val="20"/>
                <w:szCs w:val="18"/>
              </w:rPr>
              <w:t>0.29</w:t>
            </w:r>
          </w:p>
        </w:tc>
        <w:tc>
          <w:tcPr>
            <w:tcW w:w="948" w:type="dxa"/>
            <w:gridSpan w:val="2"/>
            <w:shd w:val="clear" w:color="auto" w:fill="auto"/>
            <w:noWrap/>
            <w:vAlign w:val="center"/>
            <w:hideMark/>
          </w:tcPr>
          <w:p w14:paraId="79156523" w14:textId="77777777" w:rsidR="008105F8" w:rsidRPr="00EC1913" w:rsidRDefault="008105F8" w:rsidP="00F54ACD">
            <w:pPr>
              <w:contextualSpacing/>
              <w:jc w:val="center"/>
              <w:rPr>
                <w:color w:val="000000"/>
                <w:sz w:val="20"/>
                <w:szCs w:val="18"/>
              </w:rPr>
            </w:pPr>
            <w:r w:rsidRPr="00EC1913">
              <w:rPr>
                <w:color w:val="000000"/>
                <w:sz w:val="20"/>
                <w:szCs w:val="18"/>
              </w:rPr>
              <w:t>0.19</w:t>
            </w:r>
          </w:p>
        </w:tc>
        <w:tc>
          <w:tcPr>
            <w:tcW w:w="1066" w:type="dxa"/>
            <w:gridSpan w:val="2"/>
            <w:shd w:val="clear" w:color="auto" w:fill="auto"/>
            <w:noWrap/>
            <w:vAlign w:val="center"/>
            <w:hideMark/>
          </w:tcPr>
          <w:p w14:paraId="44D5F2D7" w14:textId="77777777" w:rsidR="008105F8" w:rsidRPr="00EC1913" w:rsidRDefault="008105F8" w:rsidP="00F54ACD">
            <w:pPr>
              <w:contextualSpacing/>
              <w:jc w:val="center"/>
              <w:rPr>
                <w:color w:val="000000"/>
                <w:sz w:val="20"/>
                <w:szCs w:val="18"/>
              </w:rPr>
            </w:pPr>
            <w:r w:rsidRPr="00EC1913">
              <w:rPr>
                <w:color w:val="000000"/>
                <w:sz w:val="20"/>
                <w:szCs w:val="18"/>
              </w:rPr>
              <w:t>0.34</w:t>
            </w:r>
          </w:p>
        </w:tc>
        <w:tc>
          <w:tcPr>
            <w:tcW w:w="948" w:type="dxa"/>
            <w:gridSpan w:val="2"/>
            <w:shd w:val="clear" w:color="auto" w:fill="auto"/>
            <w:noWrap/>
            <w:vAlign w:val="center"/>
            <w:hideMark/>
          </w:tcPr>
          <w:p w14:paraId="5ED1F726" w14:textId="77777777" w:rsidR="008105F8" w:rsidRPr="00EC1913" w:rsidRDefault="008105F8" w:rsidP="00F54ACD">
            <w:pPr>
              <w:contextualSpacing/>
              <w:jc w:val="center"/>
              <w:rPr>
                <w:color w:val="000000"/>
                <w:sz w:val="20"/>
                <w:szCs w:val="18"/>
              </w:rPr>
            </w:pPr>
            <w:r w:rsidRPr="00EC1913">
              <w:rPr>
                <w:color w:val="000000"/>
                <w:sz w:val="20"/>
                <w:szCs w:val="18"/>
              </w:rPr>
              <w:t>0.29</w:t>
            </w:r>
          </w:p>
        </w:tc>
        <w:tc>
          <w:tcPr>
            <w:tcW w:w="599" w:type="dxa"/>
            <w:vAlign w:val="center"/>
          </w:tcPr>
          <w:p w14:paraId="38034CDD" w14:textId="77777777" w:rsidR="008105F8" w:rsidRPr="00EC1913" w:rsidRDefault="008105F8" w:rsidP="00F54ACD">
            <w:pPr>
              <w:contextualSpacing/>
              <w:jc w:val="center"/>
              <w:rPr>
                <w:color w:val="000000"/>
                <w:sz w:val="20"/>
                <w:szCs w:val="18"/>
              </w:rPr>
            </w:pPr>
            <w:r w:rsidRPr="00EC1913">
              <w:rPr>
                <w:color w:val="333333"/>
                <w:sz w:val="20"/>
                <w:szCs w:val="18"/>
              </w:rPr>
              <w:t>0.25</w:t>
            </w:r>
          </w:p>
        </w:tc>
      </w:tr>
      <w:tr w:rsidR="008105F8" w:rsidRPr="00EC1913" w14:paraId="2E35E634" w14:textId="77777777" w:rsidTr="00F54ACD">
        <w:trPr>
          <w:trHeight w:val="151"/>
        </w:trPr>
        <w:tc>
          <w:tcPr>
            <w:tcW w:w="3904" w:type="dxa"/>
            <w:gridSpan w:val="2"/>
            <w:shd w:val="clear" w:color="auto" w:fill="auto"/>
            <w:vAlign w:val="center"/>
            <w:hideMark/>
          </w:tcPr>
          <w:p w14:paraId="6A7E2A59" w14:textId="77777777" w:rsidR="008105F8" w:rsidRPr="00EC1913" w:rsidRDefault="008105F8" w:rsidP="00F54ACD">
            <w:pPr>
              <w:contextualSpacing/>
              <w:rPr>
                <w:color w:val="000000"/>
                <w:sz w:val="20"/>
                <w:szCs w:val="18"/>
              </w:rPr>
            </w:pPr>
            <w:proofErr w:type="spellStart"/>
            <w:r w:rsidRPr="00EC1913">
              <w:rPr>
                <w:color w:val="000000"/>
                <w:sz w:val="20"/>
                <w:szCs w:val="18"/>
              </w:rPr>
              <w:t>WUP</w:t>
            </w:r>
            <w:proofErr w:type="spellEnd"/>
            <w:r w:rsidRPr="00EC1913">
              <w:rPr>
                <w:color w:val="000000"/>
                <w:sz w:val="20"/>
                <w:szCs w:val="18"/>
              </w:rPr>
              <w:t xml:space="preserve"> weeknight-weekend discrepancy</w:t>
            </w:r>
          </w:p>
        </w:tc>
        <w:tc>
          <w:tcPr>
            <w:tcW w:w="1066" w:type="dxa"/>
            <w:gridSpan w:val="2"/>
            <w:shd w:val="clear" w:color="000000" w:fill="FFFF00"/>
            <w:noWrap/>
            <w:vAlign w:val="center"/>
            <w:hideMark/>
          </w:tcPr>
          <w:p w14:paraId="052B85A8" w14:textId="77777777" w:rsidR="008105F8" w:rsidRPr="00EC1913" w:rsidRDefault="008105F8" w:rsidP="00F54ACD">
            <w:pPr>
              <w:contextualSpacing/>
              <w:jc w:val="center"/>
              <w:rPr>
                <w:color w:val="000000"/>
                <w:sz w:val="20"/>
                <w:szCs w:val="18"/>
              </w:rPr>
            </w:pPr>
            <w:r w:rsidRPr="00EC1913">
              <w:rPr>
                <w:color w:val="000000"/>
                <w:sz w:val="20"/>
                <w:szCs w:val="18"/>
              </w:rPr>
              <w:t>0.70</w:t>
            </w:r>
          </w:p>
        </w:tc>
        <w:tc>
          <w:tcPr>
            <w:tcW w:w="1185" w:type="dxa"/>
            <w:gridSpan w:val="2"/>
            <w:shd w:val="clear" w:color="000000" w:fill="FFFF00"/>
            <w:noWrap/>
            <w:vAlign w:val="center"/>
            <w:hideMark/>
          </w:tcPr>
          <w:p w14:paraId="71B33207" w14:textId="77777777" w:rsidR="008105F8" w:rsidRPr="00EC1913" w:rsidRDefault="008105F8" w:rsidP="00F54ACD">
            <w:pPr>
              <w:contextualSpacing/>
              <w:jc w:val="center"/>
              <w:rPr>
                <w:color w:val="000000"/>
                <w:sz w:val="20"/>
                <w:szCs w:val="18"/>
              </w:rPr>
            </w:pPr>
            <w:r w:rsidRPr="00EC1913">
              <w:rPr>
                <w:color w:val="000000"/>
                <w:sz w:val="20"/>
                <w:szCs w:val="18"/>
              </w:rPr>
              <w:t>0.29</w:t>
            </w:r>
          </w:p>
        </w:tc>
        <w:tc>
          <w:tcPr>
            <w:tcW w:w="948" w:type="dxa"/>
            <w:gridSpan w:val="2"/>
            <w:shd w:val="clear" w:color="000000" w:fill="FFFF00"/>
            <w:noWrap/>
            <w:vAlign w:val="center"/>
            <w:hideMark/>
          </w:tcPr>
          <w:p w14:paraId="029338FF" w14:textId="77777777" w:rsidR="008105F8" w:rsidRPr="00EC1913" w:rsidRDefault="008105F8" w:rsidP="00F54ACD">
            <w:pPr>
              <w:contextualSpacing/>
              <w:jc w:val="center"/>
              <w:rPr>
                <w:color w:val="000000"/>
                <w:sz w:val="20"/>
                <w:szCs w:val="18"/>
              </w:rPr>
            </w:pPr>
            <w:r w:rsidRPr="00EC1913">
              <w:rPr>
                <w:color w:val="000000"/>
                <w:sz w:val="20"/>
                <w:szCs w:val="18"/>
              </w:rPr>
              <w:t>0.02</w:t>
            </w:r>
          </w:p>
        </w:tc>
        <w:tc>
          <w:tcPr>
            <w:tcW w:w="948" w:type="dxa"/>
            <w:gridSpan w:val="2"/>
            <w:shd w:val="clear" w:color="000000" w:fill="D9E1F2"/>
            <w:noWrap/>
            <w:vAlign w:val="center"/>
            <w:hideMark/>
          </w:tcPr>
          <w:p w14:paraId="64FE4B40" w14:textId="77777777" w:rsidR="008105F8" w:rsidRPr="00EC1913" w:rsidRDefault="008105F8" w:rsidP="00F54ACD">
            <w:pPr>
              <w:contextualSpacing/>
              <w:jc w:val="center"/>
              <w:rPr>
                <w:color w:val="000000"/>
                <w:sz w:val="20"/>
                <w:szCs w:val="18"/>
              </w:rPr>
            </w:pPr>
            <w:r w:rsidRPr="00EC1913">
              <w:rPr>
                <w:color w:val="000000"/>
                <w:sz w:val="20"/>
                <w:szCs w:val="18"/>
              </w:rPr>
              <w:t>0.72</w:t>
            </w:r>
          </w:p>
        </w:tc>
        <w:tc>
          <w:tcPr>
            <w:tcW w:w="948" w:type="dxa"/>
            <w:gridSpan w:val="2"/>
            <w:shd w:val="clear" w:color="000000" w:fill="D9E1F2"/>
            <w:noWrap/>
            <w:vAlign w:val="center"/>
            <w:hideMark/>
          </w:tcPr>
          <w:p w14:paraId="0A99D46F" w14:textId="77777777" w:rsidR="008105F8" w:rsidRPr="00EC1913" w:rsidRDefault="008105F8" w:rsidP="00F54ACD">
            <w:pPr>
              <w:contextualSpacing/>
              <w:jc w:val="center"/>
              <w:rPr>
                <w:color w:val="000000"/>
                <w:sz w:val="20"/>
                <w:szCs w:val="18"/>
              </w:rPr>
            </w:pPr>
            <w:r w:rsidRPr="00EC1913">
              <w:rPr>
                <w:color w:val="000000"/>
                <w:sz w:val="20"/>
                <w:szCs w:val="18"/>
              </w:rPr>
              <w:t>0.29</w:t>
            </w:r>
          </w:p>
        </w:tc>
        <w:tc>
          <w:tcPr>
            <w:tcW w:w="948" w:type="dxa"/>
            <w:gridSpan w:val="2"/>
            <w:shd w:val="clear" w:color="000000" w:fill="D9E1F2"/>
            <w:noWrap/>
            <w:vAlign w:val="center"/>
            <w:hideMark/>
          </w:tcPr>
          <w:p w14:paraId="4A776C4F" w14:textId="77777777" w:rsidR="008105F8" w:rsidRPr="00EC1913" w:rsidRDefault="008105F8" w:rsidP="00F54ACD">
            <w:pPr>
              <w:contextualSpacing/>
              <w:jc w:val="center"/>
              <w:rPr>
                <w:color w:val="000000"/>
                <w:sz w:val="20"/>
                <w:szCs w:val="18"/>
              </w:rPr>
            </w:pPr>
            <w:r w:rsidRPr="00EC1913">
              <w:rPr>
                <w:color w:val="000000"/>
                <w:sz w:val="20"/>
                <w:szCs w:val="18"/>
              </w:rPr>
              <w:t>0.01</w:t>
            </w:r>
          </w:p>
        </w:tc>
        <w:tc>
          <w:tcPr>
            <w:tcW w:w="1066" w:type="dxa"/>
            <w:gridSpan w:val="2"/>
            <w:shd w:val="clear" w:color="auto" w:fill="auto"/>
            <w:noWrap/>
            <w:vAlign w:val="center"/>
            <w:hideMark/>
          </w:tcPr>
          <w:p w14:paraId="6282DF33" w14:textId="77777777" w:rsidR="008105F8" w:rsidRPr="00EC1913" w:rsidRDefault="008105F8" w:rsidP="00F54ACD">
            <w:pPr>
              <w:contextualSpacing/>
              <w:jc w:val="center"/>
              <w:rPr>
                <w:color w:val="000000"/>
                <w:sz w:val="20"/>
                <w:szCs w:val="18"/>
              </w:rPr>
            </w:pPr>
            <w:r w:rsidRPr="00EC1913">
              <w:rPr>
                <w:color w:val="000000"/>
                <w:sz w:val="20"/>
                <w:szCs w:val="18"/>
              </w:rPr>
              <w:t>0.02</w:t>
            </w:r>
          </w:p>
        </w:tc>
        <w:tc>
          <w:tcPr>
            <w:tcW w:w="948" w:type="dxa"/>
            <w:gridSpan w:val="2"/>
            <w:shd w:val="clear" w:color="auto" w:fill="auto"/>
            <w:noWrap/>
            <w:vAlign w:val="center"/>
            <w:hideMark/>
          </w:tcPr>
          <w:p w14:paraId="51B992D3" w14:textId="77777777" w:rsidR="008105F8" w:rsidRPr="00EC1913" w:rsidRDefault="008105F8" w:rsidP="00F54ACD">
            <w:pPr>
              <w:contextualSpacing/>
              <w:jc w:val="center"/>
              <w:rPr>
                <w:color w:val="000000"/>
                <w:sz w:val="20"/>
                <w:szCs w:val="18"/>
              </w:rPr>
            </w:pPr>
            <w:r w:rsidRPr="00EC1913">
              <w:rPr>
                <w:color w:val="000000"/>
                <w:sz w:val="20"/>
                <w:szCs w:val="18"/>
              </w:rPr>
              <w:t>0.29</w:t>
            </w:r>
          </w:p>
        </w:tc>
        <w:tc>
          <w:tcPr>
            <w:tcW w:w="599" w:type="dxa"/>
            <w:vAlign w:val="center"/>
          </w:tcPr>
          <w:p w14:paraId="574286B0" w14:textId="77777777" w:rsidR="008105F8" w:rsidRPr="00EC1913" w:rsidRDefault="008105F8" w:rsidP="00F54ACD">
            <w:pPr>
              <w:contextualSpacing/>
              <w:jc w:val="center"/>
              <w:rPr>
                <w:color w:val="000000"/>
                <w:sz w:val="20"/>
                <w:szCs w:val="18"/>
              </w:rPr>
            </w:pPr>
            <w:r w:rsidRPr="00EC1913">
              <w:rPr>
                <w:color w:val="333333"/>
                <w:sz w:val="20"/>
                <w:szCs w:val="18"/>
              </w:rPr>
              <w:t>0.95</w:t>
            </w:r>
          </w:p>
        </w:tc>
      </w:tr>
      <w:tr w:rsidR="008105F8" w:rsidRPr="00EC1913" w14:paraId="19573CE9" w14:textId="77777777" w:rsidTr="00F54ACD">
        <w:trPr>
          <w:trHeight w:val="137"/>
        </w:trPr>
        <w:tc>
          <w:tcPr>
            <w:tcW w:w="3904" w:type="dxa"/>
            <w:gridSpan w:val="2"/>
            <w:shd w:val="clear" w:color="auto" w:fill="auto"/>
            <w:vAlign w:val="center"/>
            <w:hideMark/>
          </w:tcPr>
          <w:p w14:paraId="64CD31AE" w14:textId="77777777" w:rsidR="008105F8" w:rsidRPr="00EC1913" w:rsidRDefault="008105F8" w:rsidP="00F54ACD">
            <w:pPr>
              <w:contextualSpacing/>
              <w:rPr>
                <w:color w:val="000000"/>
                <w:sz w:val="20"/>
                <w:szCs w:val="18"/>
              </w:rPr>
            </w:pPr>
            <w:r w:rsidRPr="00EC1913">
              <w:rPr>
                <w:color w:val="000000"/>
                <w:sz w:val="20"/>
                <w:szCs w:val="18"/>
              </w:rPr>
              <w:t>Sleepiness</w:t>
            </w:r>
          </w:p>
        </w:tc>
        <w:tc>
          <w:tcPr>
            <w:tcW w:w="1066" w:type="dxa"/>
            <w:gridSpan w:val="2"/>
            <w:shd w:val="clear" w:color="000000" w:fill="FFFF00"/>
            <w:noWrap/>
            <w:vAlign w:val="center"/>
            <w:hideMark/>
          </w:tcPr>
          <w:p w14:paraId="2EF7C36B" w14:textId="77777777" w:rsidR="008105F8" w:rsidRPr="00EC1913" w:rsidRDefault="008105F8" w:rsidP="00F54ACD">
            <w:pPr>
              <w:contextualSpacing/>
              <w:jc w:val="center"/>
              <w:rPr>
                <w:color w:val="000000"/>
                <w:sz w:val="20"/>
                <w:szCs w:val="18"/>
              </w:rPr>
            </w:pPr>
            <w:r w:rsidRPr="00EC1913">
              <w:rPr>
                <w:color w:val="000000"/>
                <w:sz w:val="20"/>
                <w:szCs w:val="18"/>
              </w:rPr>
              <w:t>-1.69</w:t>
            </w:r>
          </w:p>
        </w:tc>
        <w:tc>
          <w:tcPr>
            <w:tcW w:w="1185" w:type="dxa"/>
            <w:gridSpan w:val="2"/>
            <w:shd w:val="clear" w:color="000000" w:fill="FFFF00"/>
            <w:noWrap/>
            <w:vAlign w:val="center"/>
            <w:hideMark/>
          </w:tcPr>
          <w:p w14:paraId="7210A63A" w14:textId="77777777" w:rsidR="008105F8" w:rsidRPr="00EC1913" w:rsidRDefault="008105F8" w:rsidP="00F54ACD">
            <w:pPr>
              <w:contextualSpacing/>
              <w:jc w:val="center"/>
              <w:rPr>
                <w:color w:val="000000"/>
                <w:sz w:val="20"/>
                <w:szCs w:val="18"/>
              </w:rPr>
            </w:pPr>
            <w:r w:rsidRPr="00EC1913">
              <w:rPr>
                <w:color w:val="000000"/>
                <w:sz w:val="20"/>
                <w:szCs w:val="18"/>
              </w:rPr>
              <w:t>0.72</w:t>
            </w:r>
          </w:p>
        </w:tc>
        <w:tc>
          <w:tcPr>
            <w:tcW w:w="948" w:type="dxa"/>
            <w:gridSpan w:val="2"/>
            <w:shd w:val="clear" w:color="000000" w:fill="FFFF00"/>
            <w:noWrap/>
            <w:vAlign w:val="center"/>
            <w:hideMark/>
          </w:tcPr>
          <w:p w14:paraId="03C5EE6B" w14:textId="77777777" w:rsidR="008105F8" w:rsidRPr="00EC1913" w:rsidRDefault="008105F8" w:rsidP="00F54ACD">
            <w:pPr>
              <w:contextualSpacing/>
              <w:jc w:val="center"/>
              <w:rPr>
                <w:color w:val="000000"/>
                <w:sz w:val="20"/>
                <w:szCs w:val="18"/>
              </w:rPr>
            </w:pPr>
            <w:r w:rsidRPr="00EC1913">
              <w:rPr>
                <w:color w:val="000000"/>
                <w:sz w:val="20"/>
                <w:szCs w:val="18"/>
              </w:rPr>
              <w:t>0.02</w:t>
            </w:r>
          </w:p>
        </w:tc>
        <w:tc>
          <w:tcPr>
            <w:tcW w:w="948" w:type="dxa"/>
            <w:gridSpan w:val="2"/>
            <w:shd w:val="clear" w:color="auto" w:fill="auto"/>
            <w:noWrap/>
            <w:vAlign w:val="center"/>
            <w:hideMark/>
          </w:tcPr>
          <w:p w14:paraId="5B582F59" w14:textId="77777777" w:rsidR="008105F8" w:rsidRPr="00EC1913" w:rsidRDefault="008105F8" w:rsidP="00F54ACD">
            <w:pPr>
              <w:contextualSpacing/>
              <w:jc w:val="center"/>
              <w:rPr>
                <w:color w:val="000000"/>
                <w:sz w:val="20"/>
                <w:szCs w:val="18"/>
              </w:rPr>
            </w:pPr>
            <w:r w:rsidRPr="00EC1913">
              <w:rPr>
                <w:color w:val="000000"/>
                <w:sz w:val="20"/>
                <w:szCs w:val="18"/>
              </w:rPr>
              <w:t>-1.08</w:t>
            </w:r>
          </w:p>
        </w:tc>
        <w:tc>
          <w:tcPr>
            <w:tcW w:w="948" w:type="dxa"/>
            <w:gridSpan w:val="2"/>
            <w:shd w:val="clear" w:color="auto" w:fill="auto"/>
            <w:noWrap/>
            <w:vAlign w:val="center"/>
            <w:hideMark/>
          </w:tcPr>
          <w:p w14:paraId="611D572D" w14:textId="77777777" w:rsidR="008105F8" w:rsidRPr="00EC1913" w:rsidRDefault="008105F8" w:rsidP="00F54ACD">
            <w:pPr>
              <w:contextualSpacing/>
              <w:jc w:val="center"/>
              <w:rPr>
                <w:color w:val="000000"/>
                <w:sz w:val="20"/>
                <w:szCs w:val="18"/>
              </w:rPr>
            </w:pPr>
            <w:r w:rsidRPr="00EC1913">
              <w:rPr>
                <w:color w:val="000000"/>
                <w:sz w:val="20"/>
                <w:szCs w:val="18"/>
              </w:rPr>
              <w:t>0.73</w:t>
            </w:r>
          </w:p>
        </w:tc>
        <w:tc>
          <w:tcPr>
            <w:tcW w:w="948" w:type="dxa"/>
            <w:gridSpan w:val="2"/>
            <w:shd w:val="clear" w:color="auto" w:fill="auto"/>
            <w:noWrap/>
            <w:vAlign w:val="center"/>
            <w:hideMark/>
          </w:tcPr>
          <w:p w14:paraId="3DA63E20" w14:textId="77777777" w:rsidR="008105F8" w:rsidRPr="00EC1913" w:rsidRDefault="008105F8" w:rsidP="00F54ACD">
            <w:pPr>
              <w:contextualSpacing/>
              <w:jc w:val="center"/>
              <w:rPr>
                <w:color w:val="000000"/>
                <w:sz w:val="20"/>
                <w:szCs w:val="18"/>
              </w:rPr>
            </w:pPr>
            <w:r w:rsidRPr="00EC1913">
              <w:rPr>
                <w:color w:val="000000"/>
                <w:sz w:val="20"/>
                <w:szCs w:val="18"/>
              </w:rPr>
              <w:t>0.14</w:t>
            </w:r>
          </w:p>
        </w:tc>
        <w:tc>
          <w:tcPr>
            <w:tcW w:w="1066" w:type="dxa"/>
            <w:gridSpan w:val="2"/>
            <w:shd w:val="clear" w:color="auto" w:fill="auto"/>
            <w:noWrap/>
            <w:vAlign w:val="center"/>
            <w:hideMark/>
          </w:tcPr>
          <w:p w14:paraId="2DAA373B" w14:textId="77777777" w:rsidR="008105F8" w:rsidRPr="00EC1913" w:rsidRDefault="008105F8" w:rsidP="00F54ACD">
            <w:pPr>
              <w:contextualSpacing/>
              <w:jc w:val="center"/>
              <w:rPr>
                <w:color w:val="000000"/>
                <w:sz w:val="20"/>
                <w:szCs w:val="18"/>
              </w:rPr>
            </w:pPr>
            <w:r w:rsidRPr="00EC1913">
              <w:rPr>
                <w:color w:val="000000"/>
                <w:sz w:val="20"/>
                <w:szCs w:val="18"/>
              </w:rPr>
              <w:t>0.61</w:t>
            </w:r>
          </w:p>
        </w:tc>
        <w:tc>
          <w:tcPr>
            <w:tcW w:w="948" w:type="dxa"/>
            <w:gridSpan w:val="2"/>
            <w:shd w:val="clear" w:color="auto" w:fill="auto"/>
            <w:noWrap/>
            <w:vAlign w:val="center"/>
            <w:hideMark/>
          </w:tcPr>
          <w:p w14:paraId="76159198" w14:textId="77777777" w:rsidR="008105F8" w:rsidRPr="00EC1913" w:rsidRDefault="008105F8" w:rsidP="00F54ACD">
            <w:pPr>
              <w:contextualSpacing/>
              <w:jc w:val="center"/>
              <w:rPr>
                <w:color w:val="000000"/>
                <w:sz w:val="20"/>
                <w:szCs w:val="18"/>
              </w:rPr>
            </w:pPr>
            <w:r w:rsidRPr="00EC1913">
              <w:rPr>
                <w:color w:val="000000"/>
                <w:sz w:val="20"/>
                <w:szCs w:val="18"/>
              </w:rPr>
              <w:t>0.76</w:t>
            </w:r>
          </w:p>
        </w:tc>
        <w:tc>
          <w:tcPr>
            <w:tcW w:w="599" w:type="dxa"/>
            <w:vAlign w:val="center"/>
          </w:tcPr>
          <w:p w14:paraId="347F7925" w14:textId="77777777" w:rsidR="008105F8" w:rsidRPr="00EC1913" w:rsidRDefault="008105F8" w:rsidP="00F54ACD">
            <w:pPr>
              <w:contextualSpacing/>
              <w:jc w:val="center"/>
              <w:rPr>
                <w:color w:val="000000"/>
                <w:sz w:val="20"/>
                <w:szCs w:val="18"/>
              </w:rPr>
            </w:pPr>
            <w:r w:rsidRPr="00EC1913">
              <w:rPr>
                <w:color w:val="333333"/>
                <w:sz w:val="20"/>
                <w:szCs w:val="18"/>
              </w:rPr>
              <w:t>0.43</w:t>
            </w:r>
          </w:p>
        </w:tc>
      </w:tr>
      <w:tr w:rsidR="008105F8" w:rsidRPr="00EC1913" w14:paraId="0958599C" w14:textId="77777777" w:rsidTr="00F54ACD">
        <w:trPr>
          <w:trHeight w:val="59"/>
        </w:trPr>
        <w:tc>
          <w:tcPr>
            <w:tcW w:w="3904" w:type="dxa"/>
            <w:gridSpan w:val="2"/>
            <w:shd w:val="clear" w:color="auto" w:fill="auto"/>
            <w:vAlign w:val="center"/>
            <w:hideMark/>
          </w:tcPr>
          <w:p w14:paraId="42C88086" w14:textId="77777777" w:rsidR="008105F8" w:rsidRPr="00EC1913" w:rsidRDefault="008105F8" w:rsidP="00F54ACD">
            <w:pPr>
              <w:contextualSpacing/>
              <w:rPr>
                <w:color w:val="000000"/>
                <w:sz w:val="20"/>
                <w:szCs w:val="18"/>
              </w:rPr>
            </w:pPr>
            <w:proofErr w:type="spellStart"/>
            <w:r w:rsidRPr="00EC1913">
              <w:rPr>
                <w:color w:val="000000"/>
                <w:sz w:val="20"/>
                <w:szCs w:val="18"/>
              </w:rPr>
              <w:t>PSQI</w:t>
            </w:r>
            <w:proofErr w:type="spellEnd"/>
          </w:p>
        </w:tc>
        <w:tc>
          <w:tcPr>
            <w:tcW w:w="1066" w:type="dxa"/>
            <w:gridSpan w:val="2"/>
            <w:shd w:val="clear" w:color="000000" w:fill="FFFF00"/>
            <w:noWrap/>
            <w:vAlign w:val="center"/>
            <w:hideMark/>
          </w:tcPr>
          <w:p w14:paraId="20F77244" w14:textId="77777777" w:rsidR="008105F8" w:rsidRPr="00EC1913" w:rsidRDefault="008105F8" w:rsidP="00F54ACD">
            <w:pPr>
              <w:contextualSpacing/>
              <w:jc w:val="center"/>
              <w:rPr>
                <w:color w:val="000000"/>
                <w:sz w:val="20"/>
                <w:szCs w:val="18"/>
              </w:rPr>
            </w:pPr>
            <w:r w:rsidRPr="00EC1913">
              <w:rPr>
                <w:color w:val="000000"/>
                <w:sz w:val="20"/>
                <w:szCs w:val="18"/>
              </w:rPr>
              <w:t>-0.99</w:t>
            </w:r>
          </w:p>
        </w:tc>
        <w:tc>
          <w:tcPr>
            <w:tcW w:w="1185" w:type="dxa"/>
            <w:gridSpan w:val="2"/>
            <w:shd w:val="clear" w:color="000000" w:fill="FFFF00"/>
            <w:noWrap/>
            <w:vAlign w:val="center"/>
            <w:hideMark/>
          </w:tcPr>
          <w:p w14:paraId="4FE76F85" w14:textId="77777777" w:rsidR="008105F8" w:rsidRPr="00EC1913" w:rsidRDefault="008105F8" w:rsidP="00F54ACD">
            <w:pPr>
              <w:contextualSpacing/>
              <w:jc w:val="center"/>
              <w:rPr>
                <w:color w:val="000000"/>
                <w:sz w:val="20"/>
                <w:szCs w:val="18"/>
              </w:rPr>
            </w:pPr>
            <w:r w:rsidRPr="00EC1913">
              <w:rPr>
                <w:color w:val="000000"/>
                <w:sz w:val="20"/>
                <w:szCs w:val="18"/>
              </w:rPr>
              <w:t>0.47</w:t>
            </w:r>
          </w:p>
        </w:tc>
        <w:tc>
          <w:tcPr>
            <w:tcW w:w="948" w:type="dxa"/>
            <w:gridSpan w:val="2"/>
            <w:shd w:val="clear" w:color="000000" w:fill="FFFF00"/>
            <w:noWrap/>
            <w:vAlign w:val="center"/>
            <w:hideMark/>
          </w:tcPr>
          <w:p w14:paraId="7CAE32D4" w14:textId="77777777" w:rsidR="008105F8" w:rsidRPr="00EC1913" w:rsidRDefault="008105F8" w:rsidP="00F54ACD">
            <w:pPr>
              <w:contextualSpacing/>
              <w:jc w:val="center"/>
              <w:rPr>
                <w:color w:val="000000"/>
                <w:sz w:val="20"/>
                <w:szCs w:val="18"/>
              </w:rPr>
            </w:pPr>
            <w:r w:rsidRPr="00EC1913">
              <w:rPr>
                <w:color w:val="000000"/>
                <w:sz w:val="20"/>
                <w:szCs w:val="18"/>
              </w:rPr>
              <w:t>0.04</w:t>
            </w:r>
          </w:p>
        </w:tc>
        <w:tc>
          <w:tcPr>
            <w:tcW w:w="948" w:type="dxa"/>
            <w:gridSpan w:val="2"/>
            <w:shd w:val="clear" w:color="000000" w:fill="D9E1F2"/>
            <w:noWrap/>
            <w:vAlign w:val="center"/>
            <w:hideMark/>
          </w:tcPr>
          <w:p w14:paraId="41E0F656" w14:textId="77777777" w:rsidR="008105F8" w:rsidRPr="00EC1913" w:rsidRDefault="008105F8" w:rsidP="00F54ACD">
            <w:pPr>
              <w:contextualSpacing/>
              <w:jc w:val="center"/>
              <w:rPr>
                <w:color w:val="000000"/>
                <w:sz w:val="20"/>
                <w:szCs w:val="18"/>
              </w:rPr>
            </w:pPr>
            <w:r w:rsidRPr="00EC1913">
              <w:rPr>
                <w:color w:val="000000"/>
                <w:sz w:val="20"/>
                <w:szCs w:val="18"/>
              </w:rPr>
              <w:t>-1.09</w:t>
            </w:r>
          </w:p>
        </w:tc>
        <w:tc>
          <w:tcPr>
            <w:tcW w:w="948" w:type="dxa"/>
            <w:gridSpan w:val="2"/>
            <w:shd w:val="clear" w:color="000000" w:fill="D9E1F2"/>
            <w:noWrap/>
            <w:vAlign w:val="center"/>
            <w:hideMark/>
          </w:tcPr>
          <w:p w14:paraId="6E571CE1" w14:textId="77777777" w:rsidR="008105F8" w:rsidRPr="00EC1913" w:rsidRDefault="008105F8" w:rsidP="00F54ACD">
            <w:pPr>
              <w:contextualSpacing/>
              <w:jc w:val="center"/>
              <w:rPr>
                <w:color w:val="000000"/>
                <w:sz w:val="20"/>
                <w:szCs w:val="18"/>
              </w:rPr>
            </w:pPr>
            <w:r w:rsidRPr="00EC1913">
              <w:rPr>
                <w:color w:val="000000"/>
                <w:sz w:val="20"/>
                <w:szCs w:val="18"/>
              </w:rPr>
              <w:t>0.48</w:t>
            </w:r>
          </w:p>
        </w:tc>
        <w:tc>
          <w:tcPr>
            <w:tcW w:w="948" w:type="dxa"/>
            <w:gridSpan w:val="2"/>
            <w:shd w:val="clear" w:color="000000" w:fill="D9E1F2"/>
            <w:noWrap/>
            <w:vAlign w:val="center"/>
            <w:hideMark/>
          </w:tcPr>
          <w:p w14:paraId="1EFBC333" w14:textId="77777777" w:rsidR="008105F8" w:rsidRPr="00EC1913" w:rsidRDefault="008105F8" w:rsidP="00F54ACD">
            <w:pPr>
              <w:contextualSpacing/>
              <w:jc w:val="center"/>
              <w:rPr>
                <w:color w:val="000000"/>
                <w:sz w:val="20"/>
                <w:szCs w:val="18"/>
              </w:rPr>
            </w:pPr>
            <w:r w:rsidRPr="00EC1913">
              <w:rPr>
                <w:color w:val="000000"/>
                <w:sz w:val="20"/>
                <w:szCs w:val="18"/>
              </w:rPr>
              <w:t>0.02</w:t>
            </w:r>
          </w:p>
        </w:tc>
        <w:tc>
          <w:tcPr>
            <w:tcW w:w="1066" w:type="dxa"/>
            <w:gridSpan w:val="2"/>
            <w:shd w:val="clear" w:color="auto" w:fill="auto"/>
            <w:noWrap/>
            <w:vAlign w:val="center"/>
            <w:hideMark/>
          </w:tcPr>
          <w:p w14:paraId="3B7C3EE3" w14:textId="77777777" w:rsidR="008105F8" w:rsidRPr="00EC1913" w:rsidRDefault="008105F8" w:rsidP="00F54ACD">
            <w:pPr>
              <w:contextualSpacing/>
              <w:jc w:val="center"/>
              <w:rPr>
                <w:color w:val="000000"/>
                <w:sz w:val="20"/>
                <w:szCs w:val="18"/>
              </w:rPr>
            </w:pPr>
            <w:r w:rsidRPr="00EC1913">
              <w:rPr>
                <w:color w:val="000000"/>
                <w:sz w:val="20"/>
                <w:szCs w:val="18"/>
              </w:rPr>
              <w:t>-0.10</w:t>
            </w:r>
          </w:p>
        </w:tc>
        <w:tc>
          <w:tcPr>
            <w:tcW w:w="948" w:type="dxa"/>
            <w:gridSpan w:val="2"/>
            <w:shd w:val="clear" w:color="auto" w:fill="auto"/>
            <w:noWrap/>
            <w:vAlign w:val="center"/>
            <w:hideMark/>
          </w:tcPr>
          <w:p w14:paraId="28856F9F" w14:textId="77777777" w:rsidR="008105F8" w:rsidRPr="00EC1913" w:rsidRDefault="008105F8" w:rsidP="00F54ACD">
            <w:pPr>
              <w:contextualSpacing/>
              <w:jc w:val="center"/>
              <w:rPr>
                <w:color w:val="000000"/>
                <w:sz w:val="20"/>
                <w:szCs w:val="18"/>
              </w:rPr>
            </w:pPr>
            <w:r w:rsidRPr="00EC1913">
              <w:rPr>
                <w:color w:val="000000"/>
                <w:sz w:val="20"/>
                <w:szCs w:val="18"/>
              </w:rPr>
              <w:t>0.49</w:t>
            </w:r>
          </w:p>
        </w:tc>
        <w:tc>
          <w:tcPr>
            <w:tcW w:w="599" w:type="dxa"/>
            <w:vAlign w:val="center"/>
          </w:tcPr>
          <w:p w14:paraId="2217E27B" w14:textId="77777777" w:rsidR="008105F8" w:rsidRPr="00EC1913" w:rsidRDefault="008105F8" w:rsidP="00F54ACD">
            <w:pPr>
              <w:contextualSpacing/>
              <w:jc w:val="center"/>
              <w:rPr>
                <w:color w:val="000000"/>
                <w:sz w:val="20"/>
                <w:szCs w:val="18"/>
              </w:rPr>
            </w:pPr>
            <w:r w:rsidRPr="00EC1913">
              <w:rPr>
                <w:color w:val="333333"/>
                <w:sz w:val="20"/>
                <w:szCs w:val="18"/>
              </w:rPr>
              <w:t>0.84</w:t>
            </w:r>
          </w:p>
        </w:tc>
      </w:tr>
      <w:tr w:rsidR="008105F8" w:rsidRPr="00EC1913" w14:paraId="1C9615F7" w14:textId="77777777" w:rsidTr="00F54ACD">
        <w:trPr>
          <w:trHeight w:val="59"/>
        </w:trPr>
        <w:tc>
          <w:tcPr>
            <w:tcW w:w="3904" w:type="dxa"/>
            <w:gridSpan w:val="2"/>
            <w:tcBorders>
              <w:bottom w:val="nil"/>
            </w:tcBorders>
            <w:shd w:val="clear" w:color="auto" w:fill="auto"/>
            <w:vAlign w:val="center"/>
            <w:hideMark/>
          </w:tcPr>
          <w:p w14:paraId="1D726FBE" w14:textId="77777777" w:rsidR="008105F8" w:rsidRPr="00EC1913" w:rsidRDefault="008105F8" w:rsidP="00F54ACD">
            <w:pPr>
              <w:contextualSpacing/>
              <w:rPr>
                <w:color w:val="000000"/>
                <w:sz w:val="20"/>
                <w:szCs w:val="18"/>
              </w:rPr>
            </w:pPr>
            <w:r w:rsidRPr="00EC1913">
              <w:rPr>
                <w:color w:val="000000"/>
                <w:sz w:val="20"/>
                <w:szCs w:val="18"/>
              </w:rPr>
              <w:t>CBCL Sleep Composite</w:t>
            </w:r>
          </w:p>
        </w:tc>
        <w:tc>
          <w:tcPr>
            <w:tcW w:w="1066" w:type="dxa"/>
            <w:gridSpan w:val="2"/>
            <w:tcBorders>
              <w:bottom w:val="nil"/>
            </w:tcBorders>
            <w:shd w:val="clear" w:color="000000" w:fill="FFFF00"/>
            <w:noWrap/>
            <w:vAlign w:val="center"/>
            <w:hideMark/>
          </w:tcPr>
          <w:p w14:paraId="4A359D18" w14:textId="77777777" w:rsidR="008105F8" w:rsidRPr="00EC1913" w:rsidRDefault="008105F8" w:rsidP="00F54ACD">
            <w:pPr>
              <w:contextualSpacing/>
              <w:jc w:val="center"/>
              <w:rPr>
                <w:color w:val="000000"/>
                <w:sz w:val="20"/>
                <w:szCs w:val="18"/>
              </w:rPr>
            </w:pPr>
            <w:r w:rsidRPr="00EC1913">
              <w:rPr>
                <w:color w:val="000000"/>
                <w:sz w:val="20"/>
                <w:szCs w:val="18"/>
              </w:rPr>
              <w:t>-0.76</w:t>
            </w:r>
          </w:p>
        </w:tc>
        <w:tc>
          <w:tcPr>
            <w:tcW w:w="1185" w:type="dxa"/>
            <w:gridSpan w:val="2"/>
            <w:tcBorders>
              <w:bottom w:val="nil"/>
            </w:tcBorders>
            <w:shd w:val="clear" w:color="000000" w:fill="FFFF00"/>
            <w:noWrap/>
            <w:vAlign w:val="center"/>
            <w:hideMark/>
          </w:tcPr>
          <w:p w14:paraId="05D89018" w14:textId="77777777" w:rsidR="008105F8" w:rsidRPr="00EC1913" w:rsidRDefault="008105F8" w:rsidP="00F54ACD">
            <w:pPr>
              <w:contextualSpacing/>
              <w:jc w:val="center"/>
              <w:rPr>
                <w:color w:val="000000"/>
                <w:sz w:val="20"/>
                <w:szCs w:val="18"/>
              </w:rPr>
            </w:pPr>
            <w:r w:rsidRPr="00EC1913">
              <w:rPr>
                <w:color w:val="000000"/>
                <w:sz w:val="20"/>
                <w:szCs w:val="18"/>
              </w:rPr>
              <w:t>0.29</w:t>
            </w:r>
          </w:p>
        </w:tc>
        <w:tc>
          <w:tcPr>
            <w:tcW w:w="948" w:type="dxa"/>
            <w:gridSpan w:val="2"/>
            <w:tcBorders>
              <w:bottom w:val="nil"/>
            </w:tcBorders>
            <w:shd w:val="clear" w:color="000000" w:fill="FFFF00"/>
            <w:noWrap/>
            <w:vAlign w:val="center"/>
            <w:hideMark/>
          </w:tcPr>
          <w:p w14:paraId="601C8B2F" w14:textId="77777777" w:rsidR="008105F8" w:rsidRPr="00EC1913" w:rsidRDefault="008105F8" w:rsidP="00F54ACD">
            <w:pPr>
              <w:contextualSpacing/>
              <w:jc w:val="center"/>
              <w:rPr>
                <w:color w:val="000000"/>
                <w:sz w:val="20"/>
                <w:szCs w:val="18"/>
              </w:rPr>
            </w:pPr>
            <w:r w:rsidRPr="00EC1913">
              <w:rPr>
                <w:color w:val="000000"/>
                <w:sz w:val="20"/>
                <w:szCs w:val="18"/>
              </w:rPr>
              <w:t>0.01</w:t>
            </w:r>
          </w:p>
        </w:tc>
        <w:tc>
          <w:tcPr>
            <w:tcW w:w="948" w:type="dxa"/>
            <w:gridSpan w:val="2"/>
            <w:tcBorders>
              <w:bottom w:val="nil"/>
            </w:tcBorders>
            <w:shd w:val="clear" w:color="auto" w:fill="auto"/>
            <w:noWrap/>
            <w:vAlign w:val="center"/>
            <w:hideMark/>
          </w:tcPr>
          <w:p w14:paraId="42147931" w14:textId="77777777" w:rsidR="008105F8" w:rsidRPr="00EC1913" w:rsidRDefault="008105F8" w:rsidP="00F54ACD">
            <w:pPr>
              <w:contextualSpacing/>
              <w:jc w:val="center"/>
              <w:rPr>
                <w:color w:val="000000"/>
                <w:sz w:val="20"/>
                <w:szCs w:val="18"/>
              </w:rPr>
            </w:pPr>
            <w:r w:rsidRPr="00EC1913">
              <w:rPr>
                <w:color w:val="000000"/>
                <w:sz w:val="20"/>
                <w:szCs w:val="18"/>
              </w:rPr>
              <w:t>-0.06</w:t>
            </w:r>
          </w:p>
        </w:tc>
        <w:tc>
          <w:tcPr>
            <w:tcW w:w="948" w:type="dxa"/>
            <w:gridSpan w:val="2"/>
            <w:tcBorders>
              <w:bottom w:val="nil"/>
            </w:tcBorders>
            <w:shd w:val="clear" w:color="auto" w:fill="auto"/>
            <w:noWrap/>
            <w:vAlign w:val="center"/>
            <w:hideMark/>
          </w:tcPr>
          <w:p w14:paraId="267A34F4" w14:textId="77777777" w:rsidR="008105F8" w:rsidRPr="00EC1913" w:rsidRDefault="008105F8" w:rsidP="00F54ACD">
            <w:pPr>
              <w:contextualSpacing/>
              <w:jc w:val="center"/>
              <w:rPr>
                <w:color w:val="000000"/>
                <w:sz w:val="20"/>
                <w:szCs w:val="18"/>
              </w:rPr>
            </w:pPr>
            <w:r w:rsidRPr="00EC1913">
              <w:rPr>
                <w:color w:val="000000"/>
                <w:sz w:val="20"/>
                <w:szCs w:val="18"/>
              </w:rPr>
              <w:t>0.30</w:t>
            </w:r>
          </w:p>
        </w:tc>
        <w:tc>
          <w:tcPr>
            <w:tcW w:w="948" w:type="dxa"/>
            <w:gridSpan w:val="2"/>
            <w:tcBorders>
              <w:bottom w:val="nil"/>
            </w:tcBorders>
            <w:shd w:val="clear" w:color="auto" w:fill="auto"/>
            <w:noWrap/>
            <w:vAlign w:val="center"/>
            <w:hideMark/>
          </w:tcPr>
          <w:p w14:paraId="394E3A8D" w14:textId="77777777" w:rsidR="008105F8" w:rsidRPr="00EC1913" w:rsidRDefault="008105F8" w:rsidP="00F54ACD">
            <w:pPr>
              <w:contextualSpacing/>
              <w:jc w:val="center"/>
              <w:rPr>
                <w:color w:val="000000"/>
                <w:sz w:val="20"/>
                <w:szCs w:val="18"/>
              </w:rPr>
            </w:pPr>
            <w:r w:rsidRPr="00EC1913">
              <w:rPr>
                <w:color w:val="000000"/>
                <w:sz w:val="20"/>
                <w:szCs w:val="18"/>
              </w:rPr>
              <w:t>0.85</w:t>
            </w:r>
          </w:p>
        </w:tc>
        <w:tc>
          <w:tcPr>
            <w:tcW w:w="1066" w:type="dxa"/>
            <w:gridSpan w:val="2"/>
            <w:tcBorders>
              <w:bottom w:val="nil"/>
            </w:tcBorders>
            <w:shd w:val="clear" w:color="auto" w:fill="D9E2F3"/>
            <w:noWrap/>
            <w:vAlign w:val="center"/>
            <w:hideMark/>
          </w:tcPr>
          <w:p w14:paraId="0928F8C3" w14:textId="77777777" w:rsidR="008105F8" w:rsidRPr="00EC1913" w:rsidRDefault="008105F8" w:rsidP="00F54ACD">
            <w:pPr>
              <w:contextualSpacing/>
              <w:jc w:val="center"/>
              <w:rPr>
                <w:color w:val="000000"/>
                <w:sz w:val="20"/>
                <w:szCs w:val="18"/>
              </w:rPr>
            </w:pPr>
            <w:r w:rsidRPr="00EC1913">
              <w:rPr>
                <w:color w:val="000000"/>
                <w:sz w:val="20"/>
                <w:szCs w:val="18"/>
              </w:rPr>
              <w:t>0.70</w:t>
            </w:r>
          </w:p>
        </w:tc>
        <w:tc>
          <w:tcPr>
            <w:tcW w:w="948" w:type="dxa"/>
            <w:gridSpan w:val="2"/>
            <w:tcBorders>
              <w:bottom w:val="nil"/>
            </w:tcBorders>
            <w:shd w:val="clear" w:color="auto" w:fill="D9E2F3"/>
            <w:noWrap/>
            <w:vAlign w:val="center"/>
            <w:hideMark/>
          </w:tcPr>
          <w:p w14:paraId="03DBF389" w14:textId="77777777" w:rsidR="008105F8" w:rsidRPr="00EC1913" w:rsidRDefault="008105F8" w:rsidP="00F54ACD">
            <w:pPr>
              <w:contextualSpacing/>
              <w:jc w:val="center"/>
              <w:rPr>
                <w:color w:val="000000"/>
                <w:sz w:val="20"/>
                <w:szCs w:val="18"/>
              </w:rPr>
            </w:pPr>
            <w:r w:rsidRPr="00EC1913">
              <w:rPr>
                <w:color w:val="000000"/>
                <w:sz w:val="20"/>
                <w:szCs w:val="18"/>
              </w:rPr>
              <w:t>0.30</w:t>
            </w:r>
          </w:p>
        </w:tc>
        <w:tc>
          <w:tcPr>
            <w:tcW w:w="599" w:type="dxa"/>
            <w:tcBorders>
              <w:bottom w:val="nil"/>
            </w:tcBorders>
            <w:shd w:val="clear" w:color="auto" w:fill="D9E2F3"/>
            <w:vAlign w:val="center"/>
          </w:tcPr>
          <w:p w14:paraId="281A8612" w14:textId="77777777" w:rsidR="008105F8" w:rsidRPr="00EC1913" w:rsidRDefault="008105F8" w:rsidP="00F54ACD">
            <w:pPr>
              <w:contextualSpacing/>
              <w:jc w:val="center"/>
              <w:rPr>
                <w:color w:val="000000"/>
                <w:sz w:val="20"/>
                <w:szCs w:val="18"/>
              </w:rPr>
            </w:pPr>
            <w:r w:rsidRPr="00EC1913">
              <w:rPr>
                <w:color w:val="333333"/>
                <w:sz w:val="20"/>
                <w:szCs w:val="18"/>
              </w:rPr>
              <w:t>0.02</w:t>
            </w:r>
          </w:p>
        </w:tc>
      </w:tr>
      <w:tr w:rsidR="008105F8" w:rsidRPr="00EC1913" w14:paraId="4A93F92C" w14:textId="77777777" w:rsidTr="00F54ACD">
        <w:trPr>
          <w:trHeight w:val="166"/>
        </w:trPr>
        <w:tc>
          <w:tcPr>
            <w:tcW w:w="12560" w:type="dxa"/>
            <w:gridSpan w:val="19"/>
            <w:tcBorders>
              <w:top w:val="nil"/>
              <w:bottom w:val="nil"/>
            </w:tcBorders>
            <w:shd w:val="clear" w:color="auto" w:fill="auto"/>
            <w:vAlign w:val="center"/>
          </w:tcPr>
          <w:p w14:paraId="44D56BC3" w14:textId="77777777" w:rsidR="008105F8" w:rsidRPr="00EC1913" w:rsidRDefault="008105F8" w:rsidP="00F54ACD">
            <w:pPr>
              <w:contextualSpacing/>
              <w:rPr>
                <w:color w:val="000000"/>
                <w:sz w:val="20"/>
                <w:szCs w:val="20"/>
                <w:u w:val="single"/>
              </w:rPr>
            </w:pPr>
          </w:p>
        </w:tc>
      </w:tr>
      <w:tr w:rsidR="008105F8" w:rsidRPr="00EC1913" w14:paraId="67BE218E" w14:textId="77777777" w:rsidTr="00F54ACD">
        <w:trPr>
          <w:trHeight w:val="166"/>
        </w:trPr>
        <w:tc>
          <w:tcPr>
            <w:tcW w:w="12560" w:type="dxa"/>
            <w:gridSpan w:val="19"/>
            <w:tcBorders>
              <w:top w:val="nil"/>
            </w:tcBorders>
            <w:shd w:val="clear" w:color="auto" w:fill="auto"/>
            <w:vAlign w:val="center"/>
            <w:hideMark/>
          </w:tcPr>
          <w:p w14:paraId="29CAE4F4" w14:textId="77777777" w:rsidR="008105F8" w:rsidRPr="00EC1913" w:rsidRDefault="008105F8" w:rsidP="00F54ACD">
            <w:pPr>
              <w:contextualSpacing/>
              <w:rPr>
                <w:sz w:val="20"/>
                <w:szCs w:val="20"/>
              </w:rPr>
            </w:pPr>
            <w:r w:rsidRPr="00EC1913">
              <w:rPr>
                <w:color w:val="000000"/>
                <w:sz w:val="20"/>
                <w:szCs w:val="20"/>
                <w:u w:val="single"/>
              </w:rPr>
              <w:t>Youth Self-Report Composite Risk Score</w:t>
            </w:r>
            <w:r w:rsidRPr="00EC1913">
              <w:rPr>
                <w:color w:val="000000"/>
                <w:sz w:val="20"/>
                <w:szCs w:val="20"/>
              </w:rPr>
              <w:t>*</w:t>
            </w:r>
          </w:p>
        </w:tc>
      </w:tr>
      <w:tr w:rsidR="008105F8" w:rsidRPr="00EC1913" w14:paraId="4D120F52" w14:textId="77777777" w:rsidTr="00F54ACD">
        <w:trPr>
          <w:trHeight w:val="166"/>
        </w:trPr>
        <w:tc>
          <w:tcPr>
            <w:tcW w:w="3702" w:type="dxa"/>
            <w:shd w:val="clear" w:color="auto" w:fill="auto"/>
            <w:vAlign w:val="center"/>
            <w:hideMark/>
          </w:tcPr>
          <w:p w14:paraId="041A3847" w14:textId="77777777" w:rsidR="008105F8" w:rsidRPr="00EC1913" w:rsidRDefault="008105F8" w:rsidP="00F54ACD">
            <w:pPr>
              <w:contextualSpacing/>
              <w:rPr>
                <w:color w:val="000000"/>
                <w:sz w:val="20"/>
                <w:szCs w:val="20"/>
              </w:rPr>
            </w:pPr>
            <w:r w:rsidRPr="00EC1913">
              <w:rPr>
                <w:i/>
                <w:iCs/>
                <w:color w:val="000000"/>
                <w:sz w:val="20"/>
                <w:szCs w:val="20"/>
              </w:rPr>
              <w:t>Emotional health:</w:t>
            </w:r>
          </w:p>
        </w:tc>
        <w:tc>
          <w:tcPr>
            <w:tcW w:w="1120" w:type="dxa"/>
            <w:gridSpan w:val="2"/>
            <w:shd w:val="clear" w:color="auto" w:fill="auto"/>
            <w:noWrap/>
            <w:vAlign w:val="bottom"/>
            <w:hideMark/>
          </w:tcPr>
          <w:p w14:paraId="7CEDC0A6" w14:textId="77777777" w:rsidR="008105F8" w:rsidRPr="00EC1913" w:rsidRDefault="008105F8" w:rsidP="00F54ACD">
            <w:pPr>
              <w:contextualSpacing/>
              <w:rPr>
                <w:color w:val="000000"/>
                <w:sz w:val="20"/>
                <w:szCs w:val="20"/>
              </w:rPr>
            </w:pPr>
          </w:p>
        </w:tc>
        <w:tc>
          <w:tcPr>
            <w:tcW w:w="956" w:type="dxa"/>
            <w:gridSpan w:val="2"/>
            <w:shd w:val="clear" w:color="auto" w:fill="auto"/>
            <w:noWrap/>
            <w:vAlign w:val="bottom"/>
            <w:hideMark/>
          </w:tcPr>
          <w:p w14:paraId="48049DBC" w14:textId="77777777" w:rsidR="008105F8" w:rsidRPr="00EC1913" w:rsidRDefault="008105F8" w:rsidP="00F54ACD">
            <w:pPr>
              <w:contextualSpacing/>
              <w:rPr>
                <w:sz w:val="20"/>
                <w:szCs w:val="20"/>
              </w:rPr>
            </w:pPr>
          </w:p>
        </w:tc>
        <w:tc>
          <w:tcPr>
            <w:tcW w:w="1008" w:type="dxa"/>
            <w:gridSpan w:val="2"/>
            <w:shd w:val="clear" w:color="auto" w:fill="auto"/>
            <w:noWrap/>
            <w:vAlign w:val="bottom"/>
            <w:hideMark/>
          </w:tcPr>
          <w:p w14:paraId="742411D5" w14:textId="77777777" w:rsidR="008105F8" w:rsidRPr="00EC1913" w:rsidRDefault="008105F8" w:rsidP="00F54ACD">
            <w:pPr>
              <w:contextualSpacing/>
              <w:rPr>
                <w:sz w:val="20"/>
                <w:szCs w:val="20"/>
              </w:rPr>
            </w:pPr>
          </w:p>
        </w:tc>
        <w:tc>
          <w:tcPr>
            <w:tcW w:w="1052" w:type="dxa"/>
            <w:gridSpan w:val="2"/>
            <w:shd w:val="clear" w:color="auto" w:fill="auto"/>
            <w:noWrap/>
            <w:vAlign w:val="bottom"/>
            <w:hideMark/>
          </w:tcPr>
          <w:p w14:paraId="26CCFEBC" w14:textId="77777777" w:rsidR="008105F8" w:rsidRPr="00EC1913" w:rsidRDefault="008105F8" w:rsidP="00F54ACD">
            <w:pPr>
              <w:contextualSpacing/>
              <w:rPr>
                <w:sz w:val="20"/>
                <w:szCs w:val="20"/>
              </w:rPr>
            </w:pPr>
          </w:p>
        </w:tc>
        <w:tc>
          <w:tcPr>
            <w:tcW w:w="978" w:type="dxa"/>
            <w:gridSpan w:val="2"/>
            <w:shd w:val="clear" w:color="auto" w:fill="auto"/>
            <w:noWrap/>
            <w:vAlign w:val="bottom"/>
            <w:hideMark/>
          </w:tcPr>
          <w:p w14:paraId="21552A92" w14:textId="77777777" w:rsidR="008105F8" w:rsidRPr="00EC1913" w:rsidRDefault="008105F8" w:rsidP="00F54ACD">
            <w:pPr>
              <w:contextualSpacing/>
              <w:rPr>
                <w:sz w:val="20"/>
                <w:szCs w:val="20"/>
              </w:rPr>
            </w:pPr>
          </w:p>
        </w:tc>
        <w:tc>
          <w:tcPr>
            <w:tcW w:w="851" w:type="dxa"/>
            <w:gridSpan w:val="2"/>
            <w:shd w:val="clear" w:color="auto" w:fill="auto"/>
            <w:noWrap/>
            <w:vAlign w:val="bottom"/>
            <w:hideMark/>
          </w:tcPr>
          <w:p w14:paraId="5B4EE653" w14:textId="77777777" w:rsidR="008105F8" w:rsidRPr="00EC1913" w:rsidRDefault="008105F8" w:rsidP="00F54ACD">
            <w:pPr>
              <w:contextualSpacing/>
              <w:rPr>
                <w:sz w:val="20"/>
                <w:szCs w:val="20"/>
              </w:rPr>
            </w:pPr>
          </w:p>
        </w:tc>
        <w:tc>
          <w:tcPr>
            <w:tcW w:w="974" w:type="dxa"/>
            <w:gridSpan w:val="2"/>
            <w:shd w:val="clear" w:color="auto" w:fill="auto"/>
            <w:noWrap/>
            <w:vAlign w:val="center"/>
            <w:hideMark/>
          </w:tcPr>
          <w:p w14:paraId="7CE6DC55" w14:textId="77777777" w:rsidR="008105F8" w:rsidRPr="00EC1913" w:rsidRDefault="008105F8" w:rsidP="00F54ACD">
            <w:pPr>
              <w:contextualSpacing/>
              <w:rPr>
                <w:sz w:val="20"/>
                <w:szCs w:val="20"/>
              </w:rPr>
            </w:pPr>
          </w:p>
        </w:tc>
        <w:tc>
          <w:tcPr>
            <w:tcW w:w="905" w:type="dxa"/>
            <w:gridSpan w:val="2"/>
            <w:shd w:val="clear" w:color="auto" w:fill="auto"/>
            <w:noWrap/>
            <w:vAlign w:val="center"/>
            <w:hideMark/>
          </w:tcPr>
          <w:p w14:paraId="3F9FB572" w14:textId="77777777" w:rsidR="008105F8" w:rsidRPr="00EC1913" w:rsidRDefault="008105F8" w:rsidP="00F54ACD">
            <w:pPr>
              <w:contextualSpacing/>
              <w:jc w:val="center"/>
              <w:rPr>
                <w:sz w:val="20"/>
                <w:szCs w:val="20"/>
              </w:rPr>
            </w:pPr>
          </w:p>
        </w:tc>
        <w:tc>
          <w:tcPr>
            <w:tcW w:w="1014" w:type="dxa"/>
            <w:gridSpan w:val="2"/>
            <w:shd w:val="clear" w:color="auto" w:fill="auto"/>
            <w:noWrap/>
            <w:vAlign w:val="center"/>
            <w:hideMark/>
          </w:tcPr>
          <w:p w14:paraId="6D00A6F6" w14:textId="77777777" w:rsidR="008105F8" w:rsidRPr="00EC1913" w:rsidRDefault="008105F8" w:rsidP="00F54ACD">
            <w:pPr>
              <w:contextualSpacing/>
              <w:jc w:val="center"/>
              <w:rPr>
                <w:sz w:val="20"/>
                <w:szCs w:val="20"/>
              </w:rPr>
            </w:pPr>
          </w:p>
        </w:tc>
      </w:tr>
      <w:tr w:rsidR="008105F8" w:rsidRPr="00EC1913" w14:paraId="5D3D86DA" w14:textId="77777777" w:rsidTr="00F54ACD">
        <w:trPr>
          <w:trHeight w:val="166"/>
        </w:trPr>
        <w:tc>
          <w:tcPr>
            <w:tcW w:w="3702" w:type="dxa"/>
            <w:shd w:val="clear" w:color="auto" w:fill="auto"/>
            <w:vAlign w:val="center"/>
            <w:hideMark/>
          </w:tcPr>
          <w:p w14:paraId="48E2A29E" w14:textId="77777777" w:rsidR="008105F8" w:rsidRPr="00EC1913" w:rsidRDefault="008105F8" w:rsidP="00F54ACD">
            <w:pPr>
              <w:contextualSpacing/>
              <w:rPr>
                <w:color w:val="000000"/>
                <w:sz w:val="20"/>
                <w:szCs w:val="20"/>
              </w:rPr>
            </w:pPr>
            <w:r w:rsidRPr="00EC1913">
              <w:rPr>
                <w:color w:val="000000"/>
                <w:sz w:val="20"/>
                <w:szCs w:val="20"/>
              </w:rPr>
              <w:t xml:space="preserve">   </w:t>
            </w:r>
            <w:proofErr w:type="spellStart"/>
            <w:r w:rsidRPr="00EC1913">
              <w:rPr>
                <w:color w:val="000000"/>
                <w:sz w:val="20"/>
                <w:szCs w:val="20"/>
              </w:rPr>
              <w:t>CDRS</w:t>
            </w:r>
            <w:proofErr w:type="spellEnd"/>
          </w:p>
        </w:tc>
        <w:tc>
          <w:tcPr>
            <w:tcW w:w="1120" w:type="dxa"/>
            <w:gridSpan w:val="2"/>
            <w:shd w:val="clear" w:color="auto" w:fill="auto"/>
            <w:noWrap/>
            <w:vAlign w:val="center"/>
            <w:hideMark/>
          </w:tcPr>
          <w:p w14:paraId="39855B78" w14:textId="77777777" w:rsidR="008105F8" w:rsidRPr="00EC1913" w:rsidRDefault="008105F8" w:rsidP="00F54ACD">
            <w:pPr>
              <w:contextualSpacing/>
              <w:jc w:val="center"/>
              <w:rPr>
                <w:color w:val="000000"/>
                <w:sz w:val="20"/>
                <w:szCs w:val="20"/>
              </w:rPr>
            </w:pPr>
            <w:r w:rsidRPr="00EC1913">
              <w:rPr>
                <w:color w:val="000000"/>
                <w:sz w:val="20"/>
                <w:szCs w:val="20"/>
              </w:rPr>
              <w:t>-0.54</w:t>
            </w:r>
          </w:p>
        </w:tc>
        <w:tc>
          <w:tcPr>
            <w:tcW w:w="956" w:type="dxa"/>
            <w:gridSpan w:val="2"/>
            <w:shd w:val="clear" w:color="auto" w:fill="auto"/>
            <w:noWrap/>
            <w:vAlign w:val="center"/>
            <w:hideMark/>
          </w:tcPr>
          <w:p w14:paraId="4C12DCCA" w14:textId="77777777" w:rsidR="008105F8" w:rsidRPr="00EC1913" w:rsidRDefault="008105F8" w:rsidP="00F54ACD">
            <w:pPr>
              <w:contextualSpacing/>
              <w:jc w:val="center"/>
              <w:rPr>
                <w:color w:val="000000"/>
                <w:sz w:val="20"/>
                <w:szCs w:val="20"/>
              </w:rPr>
            </w:pPr>
            <w:r w:rsidRPr="00EC1913">
              <w:rPr>
                <w:color w:val="000000"/>
                <w:sz w:val="20"/>
                <w:szCs w:val="20"/>
              </w:rPr>
              <w:t>1.35</w:t>
            </w:r>
          </w:p>
        </w:tc>
        <w:tc>
          <w:tcPr>
            <w:tcW w:w="1008" w:type="dxa"/>
            <w:gridSpan w:val="2"/>
            <w:shd w:val="clear" w:color="auto" w:fill="auto"/>
            <w:noWrap/>
            <w:vAlign w:val="center"/>
            <w:hideMark/>
          </w:tcPr>
          <w:p w14:paraId="0AAD1531" w14:textId="77777777" w:rsidR="008105F8" w:rsidRPr="00EC1913" w:rsidRDefault="008105F8" w:rsidP="00F54ACD">
            <w:pPr>
              <w:contextualSpacing/>
              <w:jc w:val="center"/>
              <w:rPr>
                <w:color w:val="000000"/>
                <w:sz w:val="20"/>
                <w:szCs w:val="20"/>
              </w:rPr>
            </w:pPr>
            <w:r w:rsidRPr="00EC1913">
              <w:rPr>
                <w:color w:val="000000"/>
                <w:sz w:val="20"/>
                <w:szCs w:val="20"/>
              </w:rPr>
              <w:t>0.69</w:t>
            </w:r>
          </w:p>
        </w:tc>
        <w:tc>
          <w:tcPr>
            <w:tcW w:w="1052" w:type="dxa"/>
            <w:gridSpan w:val="2"/>
            <w:shd w:val="clear" w:color="auto" w:fill="auto"/>
            <w:noWrap/>
            <w:vAlign w:val="center"/>
            <w:hideMark/>
          </w:tcPr>
          <w:p w14:paraId="2D12AA2E" w14:textId="77777777" w:rsidR="008105F8" w:rsidRPr="00EC1913" w:rsidRDefault="008105F8" w:rsidP="00F54ACD">
            <w:pPr>
              <w:contextualSpacing/>
              <w:jc w:val="center"/>
              <w:rPr>
                <w:color w:val="000000"/>
                <w:sz w:val="20"/>
                <w:szCs w:val="20"/>
              </w:rPr>
            </w:pPr>
            <w:r w:rsidRPr="00EC1913">
              <w:rPr>
                <w:color w:val="000000"/>
                <w:sz w:val="20"/>
                <w:szCs w:val="20"/>
              </w:rPr>
              <w:t>-1.22</w:t>
            </w:r>
          </w:p>
        </w:tc>
        <w:tc>
          <w:tcPr>
            <w:tcW w:w="978" w:type="dxa"/>
            <w:gridSpan w:val="2"/>
            <w:shd w:val="clear" w:color="auto" w:fill="auto"/>
            <w:noWrap/>
            <w:vAlign w:val="center"/>
            <w:hideMark/>
          </w:tcPr>
          <w:p w14:paraId="40177516" w14:textId="77777777" w:rsidR="008105F8" w:rsidRPr="00EC1913" w:rsidRDefault="008105F8" w:rsidP="00F54ACD">
            <w:pPr>
              <w:contextualSpacing/>
              <w:jc w:val="center"/>
              <w:rPr>
                <w:color w:val="000000"/>
                <w:sz w:val="20"/>
                <w:szCs w:val="20"/>
              </w:rPr>
            </w:pPr>
            <w:r w:rsidRPr="00EC1913">
              <w:rPr>
                <w:color w:val="000000"/>
                <w:sz w:val="20"/>
                <w:szCs w:val="20"/>
              </w:rPr>
              <w:t>1.36</w:t>
            </w:r>
          </w:p>
        </w:tc>
        <w:tc>
          <w:tcPr>
            <w:tcW w:w="851" w:type="dxa"/>
            <w:gridSpan w:val="2"/>
            <w:shd w:val="clear" w:color="auto" w:fill="auto"/>
            <w:noWrap/>
            <w:vAlign w:val="center"/>
            <w:hideMark/>
          </w:tcPr>
          <w:p w14:paraId="5EF3A6AE" w14:textId="77777777" w:rsidR="008105F8" w:rsidRPr="00EC1913" w:rsidRDefault="008105F8" w:rsidP="00F54ACD">
            <w:pPr>
              <w:contextualSpacing/>
              <w:jc w:val="center"/>
              <w:rPr>
                <w:color w:val="000000"/>
                <w:sz w:val="20"/>
                <w:szCs w:val="20"/>
              </w:rPr>
            </w:pPr>
            <w:r w:rsidRPr="00EC1913">
              <w:rPr>
                <w:color w:val="000000"/>
                <w:sz w:val="20"/>
                <w:szCs w:val="20"/>
              </w:rPr>
              <w:t>0.37</w:t>
            </w:r>
          </w:p>
        </w:tc>
        <w:tc>
          <w:tcPr>
            <w:tcW w:w="974" w:type="dxa"/>
            <w:gridSpan w:val="2"/>
            <w:shd w:val="clear" w:color="auto" w:fill="auto"/>
            <w:noWrap/>
            <w:vAlign w:val="center"/>
            <w:hideMark/>
          </w:tcPr>
          <w:p w14:paraId="444E4B4F" w14:textId="77777777" w:rsidR="008105F8" w:rsidRPr="00EC1913" w:rsidRDefault="008105F8" w:rsidP="00F54ACD">
            <w:pPr>
              <w:contextualSpacing/>
              <w:jc w:val="center"/>
              <w:rPr>
                <w:color w:val="000000"/>
                <w:sz w:val="20"/>
                <w:szCs w:val="20"/>
              </w:rPr>
            </w:pPr>
            <w:r w:rsidRPr="00EC1913">
              <w:rPr>
                <w:color w:val="000000"/>
                <w:sz w:val="20"/>
                <w:szCs w:val="20"/>
              </w:rPr>
              <w:t>-0.68</w:t>
            </w:r>
          </w:p>
        </w:tc>
        <w:tc>
          <w:tcPr>
            <w:tcW w:w="905" w:type="dxa"/>
            <w:gridSpan w:val="2"/>
            <w:shd w:val="clear" w:color="auto" w:fill="auto"/>
            <w:noWrap/>
            <w:vAlign w:val="center"/>
            <w:hideMark/>
          </w:tcPr>
          <w:p w14:paraId="0AABF756" w14:textId="77777777" w:rsidR="008105F8" w:rsidRPr="00EC1913" w:rsidRDefault="008105F8" w:rsidP="00F54ACD">
            <w:pPr>
              <w:contextualSpacing/>
              <w:jc w:val="center"/>
              <w:rPr>
                <w:color w:val="000000"/>
                <w:sz w:val="20"/>
                <w:szCs w:val="20"/>
              </w:rPr>
            </w:pPr>
            <w:r w:rsidRPr="00EC1913">
              <w:rPr>
                <w:color w:val="000000"/>
                <w:sz w:val="20"/>
                <w:szCs w:val="20"/>
              </w:rPr>
              <w:t>1.38</w:t>
            </w:r>
          </w:p>
        </w:tc>
        <w:tc>
          <w:tcPr>
            <w:tcW w:w="1014" w:type="dxa"/>
            <w:gridSpan w:val="2"/>
            <w:shd w:val="clear" w:color="auto" w:fill="auto"/>
            <w:noWrap/>
            <w:vAlign w:val="center"/>
            <w:hideMark/>
          </w:tcPr>
          <w:p w14:paraId="023C455C" w14:textId="77777777" w:rsidR="008105F8" w:rsidRPr="00EC1913" w:rsidRDefault="008105F8" w:rsidP="00F54ACD">
            <w:pPr>
              <w:contextualSpacing/>
              <w:jc w:val="center"/>
              <w:rPr>
                <w:color w:val="333333"/>
                <w:sz w:val="20"/>
                <w:szCs w:val="20"/>
              </w:rPr>
            </w:pPr>
            <w:r w:rsidRPr="00EC1913">
              <w:rPr>
                <w:color w:val="333333"/>
                <w:sz w:val="20"/>
                <w:szCs w:val="20"/>
              </w:rPr>
              <w:t>0.64</w:t>
            </w:r>
          </w:p>
        </w:tc>
      </w:tr>
      <w:tr w:rsidR="008105F8" w:rsidRPr="00EC1913" w14:paraId="6730E1B8" w14:textId="77777777" w:rsidTr="00F54ACD">
        <w:trPr>
          <w:trHeight w:val="166"/>
        </w:trPr>
        <w:tc>
          <w:tcPr>
            <w:tcW w:w="3702" w:type="dxa"/>
            <w:shd w:val="clear" w:color="auto" w:fill="auto"/>
            <w:vAlign w:val="center"/>
            <w:hideMark/>
          </w:tcPr>
          <w:p w14:paraId="1C6B4E63" w14:textId="77777777" w:rsidR="008105F8" w:rsidRPr="00EC1913" w:rsidRDefault="008105F8" w:rsidP="00F54ACD">
            <w:pPr>
              <w:contextualSpacing/>
              <w:rPr>
                <w:color w:val="000000"/>
                <w:sz w:val="20"/>
                <w:szCs w:val="20"/>
              </w:rPr>
            </w:pPr>
            <w:r w:rsidRPr="00EC1913">
              <w:rPr>
                <w:color w:val="000000"/>
                <w:sz w:val="20"/>
                <w:szCs w:val="20"/>
              </w:rPr>
              <w:t xml:space="preserve">   </w:t>
            </w:r>
            <w:proofErr w:type="spellStart"/>
            <w:r w:rsidRPr="00EC1913">
              <w:rPr>
                <w:color w:val="000000"/>
                <w:sz w:val="20"/>
                <w:szCs w:val="20"/>
              </w:rPr>
              <w:t>MASC</w:t>
            </w:r>
            <w:proofErr w:type="spellEnd"/>
          </w:p>
        </w:tc>
        <w:tc>
          <w:tcPr>
            <w:tcW w:w="1120" w:type="dxa"/>
            <w:gridSpan w:val="2"/>
            <w:shd w:val="clear" w:color="auto" w:fill="auto"/>
            <w:noWrap/>
            <w:vAlign w:val="center"/>
            <w:hideMark/>
          </w:tcPr>
          <w:p w14:paraId="5BAAF9BD" w14:textId="77777777" w:rsidR="008105F8" w:rsidRPr="00EC1913" w:rsidRDefault="008105F8" w:rsidP="00F54ACD">
            <w:pPr>
              <w:contextualSpacing/>
              <w:jc w:val="center"/>
              <w:rPr>
                <w:color w:val="000000"/>
                <w:sz w:val="20"/>
                <w:szCs w:val="20"/>
              </w:rPr>
            </w:pPr>
            <w:r w:rsidRPr="00EC1913">
              <w:rPr>
                <w:color w:val="000000"/>
                <w:sz w:val="20"/>
                <w:szCs w:val="20"/>
              </w:rPr>
              <w:t>-0.89</w:t>
            </w:r>
          </w:p>
        </w:tc>
        <w:tc>
          <w:tcPr>
            <w:tcW w:w="956" w:type="dxa"/>
            <w:gridSpan w:val="2"/>
            <w:shd w:val="clear" w:color="auto" w:fill="auto"/>
            <w:noWrap/>
            <w:vAlign w:val="center"/>
            <w:hideMark/>
          </w:tcPr>
          <w:p w14:paraId="493BB654" w14:textId="77777777" w:rsidR="008105F8" w:rsidRPr="00EC1913" w:rsidRDefault="008105F8" w:rsidP="00F54ACD">
            <w:pPr>
              <w:contextualSpacing/>
              <w:jc w:val="center"/>
              <w:rPr>
                <w:color w:val="000000"/>
                <w:sz w:val="20"/>
                <w:szCs w:val="20"/>
              </w:rPr>
            </w:pPr>
            <w:r w:rsidRPr="00EC1913">
              <w:rPr>
                <w:color w:val="000000"/>
                <w:sz w:val="20"/>
                <w:szCs w:val="20"/>
              </w:rPr>
              <w:t>2.13</w:t>
            </w:r>
          </w:p>
        </w:tc>
        <w:tc>
          <w:tcPr>
            <w:tcW w:w="1008" w:type="dxa"/>
            <w:gridSpan w:val="2"/>
            <w:shd w:val="clear" w:color="auto" w:fill="auto"/>
            <w:noWrap/>
            <w:vAlign w:val="center"/>
            <w:hideMark/>
          </w:tcPr>
          <w:p w14:paraId="12CE9939" w14:textId="77777777" w:rsidR="008105F8" w:rsidRPr="00EC1913" w:rsidRDefault="008105F8" w:rsidP="00F54ACD">
            <w:pPr>
              <w:contextualSpacing/>
              <w:jc w:val="center"/>
              <w:rPr>
                <w:color w:val="000000"/>
                <w:sz w:val="20"/>
                <w:szCs w:val="20"/>
              </w:rPr>
            </w:pPr>
            <w:r w:rsidRPr="00EC1913">
              <w:rPr>
                <w:color w:val="000000"/>
                <w:sz w:val="20"/>
                <w:szCs w:val="20"/>
              </w:rPr>
              <w:t>0.68</w:t>
            </w:r>
          </w:p>
        </w:tc>
        <w:tc>
          <w:tcPr>
            <w:tcW w:w="1052" w:type="dxa"/>
            <w:gridSpan w:val="2"/>
            <w:shd w:val="clear" w:color="auto" w:fill="auto"/>
            <w:noWrap/>
            <w:vAlign w:val="center"/>
            <w:hideMark/>
          </w:tcPr>
          <w:p w14:paraId="1AD8D7FB" w14:textId="77777777" w:rsidR="008105F8" w:rsidRPr="00EC1913" w:rsidRDefault="008105F8" w:rsidP="00F54ACD">
            <w:pPr>
              <w:contextualSpacing/>
              <w:jc w:val="center"/>
              <w:rPr>
                <w:color w:val="000000"/>
                <w:sz w:val="20"/>
                <w:szCs w:val="20"/>
              </w:rPr>
            </w:pPr>
            <w:r w:rsidRPr="00EC1913">
              <w:rPr>
                <w:color w:val="000000"/>
                <w:sz w:val="20"/>
                <w:szCs w:val="20"/>
              </w:rPr>
              <w:t>1.41</w:t>
            </w:r>
          </w:p>
        </w:tc>
        <w:tc>
          <w:tcPr>
            <w:tcW w:w="978" w:type="dxa"/>
            <w:gridSpan w:val="2"/>
            <w:shd w:val="clear" w:color="auto" w:fill="auto"/>
            <w:noWrap/>
            <w:vAlign w:val="center"/>
            <w:hideMark/>
          </w:tcPr>
          <w:p w14:paraId="0BE27B79" w14:textId="77777777" w:rsidR="008105F8" w:rsidRPr="00EC1913" w:rsidRDefault="008105F8" w:rsidP="00F54ACD">
            <w:pPr>
              <w:contextualSpacing/>
              <w:jc w:val="center"/>
              <w:rPr>
                <w:color w:val="000000"/>
                <w:sz w:val="20"/>
                <w:szCs w:val="20"/>
              </w:rPr>
            </w:pPr>
            <w:r w:rsidRPr="00EC1913">
              <w:rPr>
                <w:color w:val="000000"/>
                <w:sz w:val="20"/>
                <w:szCs w:val="20"/>
              </w:rPr>
              <w:t>2.18</w:t>
            </w:r>
          </w:p>
        </w:tc>
        <w:tc>
          <w:tcPr>
            <w:tcW w:w="851" w:type="dxa"/>
            <w:gridSpan w:val="2"/>
            <w:shd w:val="clear" w:color="auto" w:fill="auto"/>
            <w:noWrap/>
            <w:vAlign w:val="center"/>
            <w:hideMark/>
          </w:tcPr>
          <w:p w14:paraId="0AA788C8" w14:textId="77777777" w:rsidR="008105F8" w:rsidRPr="00EC1913" w:rsidRDefault="008105F8" w:rsidP="00F54ACD">
            <w:pPr>
              <w:contextualSpacing/>
              <w:jc w:val="center"/>
              <w:rPr>
                <w:color w:val="000000"/>
                <w:sz w:val="20"/>
                <w:szCs w:val="20"/>
              </w:rPr>
            </w:pPr>
            <w:r w:rsidRPr="00EC1913">
              <w:rPr>
                <w:color w:val="000000"/>
                <w:sz w:val="20"/>
                <w:szCs w:val="20"/>
              </w:rPr>
              <w:t>0.52</w:t>
            </w:r>
          </w:p>
        </w:tc>
        <w:tc>
          <w:tcPr>
            <w:tcW w:w="974" w:type="dxa"/>
            <w:gridSpan w:val="2"/>
            <w:shd w:val="clear" w:color="auto" w:fill="auto"/>
            <w:noWrap/>
            <w:vAlign w:val="center"/>
            <w:hideMark/>
          </w:tcPr>
          <w:p w14:paraId="5837207E" w14:textId="77777777" w:rsidR="008105F8" w:rsidRPr="00EC1913" w:rsidRDefault="008105F8" w:rsidP="00F54ACD">
            <w:pPr>
              <w:contextualSpacing/>
              <w:jc w:val="center"/>
              <w:rPr>
                <w:color w:val="000000"/>
                <w:sz w:val="20"/>
                <w:szCs w:val="20"/>
              </w:rPr>
            </w:pPr>
            <w:r w:rsidRPr="00EC1913">
              <w:rPr>
                <w:color w:val="000000"/>
                <w:sz w:val="20"/>
                <w:szCs w:val="20"/>
              </w:rPr>
              <w:t>2.29</w:t>
            </w:r>
          </w:p>
        </w:tc>
        <w:tc>
          <w:tcPr>
            <w:tcW w:w="905" w:type="dxa"/>
            <w:gridSpan w:val="2"/>
            <w:shd w:val="clear" w:color="auto" w:fill="auto"/>
            <w:noWrap/>
            <w:vAlign w:val="center"/>
            <w:hideMark/>
          </w:tcPr>
          <w:p w14:paraId="55E678AF" w14:textId="77777777" w:rsidR="008105F8" w:rsidRPr="00EC1913" w:rsidRDefault="008105F8" w:rsidP="00F54ACD">
            <w:pPr>
              <w:contextualSpacing/>
              <w:jc w:val="center"/>
              <w:rPr>
                <w:color w:val="000000"/>
                <w:sz w:val="20"/>
                <w:szCs w:val="20"/>
              </w:rPr>
            </w:pPr>
            <w:r w:rsidRPr="00EC1913">
              <w:rPr>
                <w:color w:val="000000"/>
                <w:sz w:val="20"/>
                <w:szCs w:val="20"/>
              </w:rPr>
              <w:t>2.20</w:t>
            </w:r>
          </w:p>
        </w:tc>
        <w:tc>
          <w:tcPr>
            <w:tcW w:w="1014" w:type="dxa"/>
            <w:gridSpan w:val="2"/>
            <w:shd w:val="clear" w:color="auto" w:fill="auto"/>
            <w:noWrap/>
            <w:vAlign w:val="center"/>
            <w:hideMark/>
          </w:tcPr>
          <w:p w14:paraId="05B0B588" w14:textId="77777777" w:rsidR="008105F8" w:rsidRPr="00EC1913" w:rsidRDefault="008105F8" w:rsidP="00F54ACD">
            <w:pPr>
              <w:contextualSpacing/>
              <w:jc w:val="center"/>
              <w:rPr>
                <w:color w:val="333333"/>
                <w:sz w:val="20"/>
                <w:szCs w:val="20"/>
              </w:rPr>
            </w:pPr>
            <w:r w:rsidRPr="00EC1913">
              <w:rPr>
                <w:color w:val="333333"/>
                <w:sz w:val="20"/>
                <w:szCs w:val="20"/>
              </w:rPr>
              <w:t>0.30</w:t>
            </w:r>
          </w:p>
        </w:tc>
      </w:tr>
      <w:tr w:rsidR="008105F8" w:rsidRPr="00EC1913" w14:paraId="70221074" w14:textId="77777777" w:rsidTr="00F54ACD">
        <w:trPr>
          <w:trHeight w:val="166"/>
        </w:trPr>
        <w:tc>
          <w:tcPr>
            <w:tcW w:w="3702" w:type="dxa"/>
            <w:shd w:val="clear" w:color="auto" w:fill="auto"/>
            <w:vAlign w:val="center"/>
            <w:hideMark/>
          </w:tcPr>
          <w:p w14:paraId="59503C57" w14:textId="77777777" w:rsidR="008105F8" w:rsidRPr="00EC1913" w:rsidRDefault="008105F8" w:rsidP="00F54ACD">
            <w:pPr>
              <w:contextualSpacing/>
              <w:rPr>
                <w:color w:val="000000"/>
                <w:sz w:val="20"/>
                <w:szCs w:val="20"/>
              </w:rPr>
            </w:pPr>
            <w:r w:rsidRPr="00EC1913">
              <w:rPr>
                <w:color w:val="000000"/>
                <w:sz w:val="20"/>
                <w:szCs w:val="20"/>
              </w:rPr>
              <w:t xml:space="preserve">   Composite*</w:t>
            </w:r>
          </w:p>
        </w:tc>
        <w:tc>
          <w:tcPr>
            <w:tcW w:w="1120" w:type="dxa"/>
            <w:gridSpan w:val="2"/>
            <w:shd w:val="clear" w:color="auto" w:fill="auto"/>
            <w:noWrap/>
            <w:vAlign w:val="center"/>
            <w:hideMark/>
          </w:tcPr>
          <w:p w14:paraId="7627B00A" w14:textId="77777777" w:rsidR="008105F8" w:rsidRPr="00EC1913" w:rsidRDefault="008105F8" w:rsidP="00F54ACD">
            <w:pPr>
              <w:contextualSpacing/>
              <w:jc w:val="center"/>
              <w:rPr>
                <w:color w:val="000000"/>
                <w:sz w:val="20"/>
                <w:szCs w:val="20"/>
              </w:rPr>
            </w:pPr>
            <w:r w:rsidRPr="00EC1913">
              <w:rPr>
                <w:color w:val="000000"/>
                <w:sz w:val="20"/>
                <w:szCs w:val="20"/>
              </w:rPr>
              <w:t>-0.01</w:t>
            </w:r>
          </w:p>
        </w:tc>
        <w:tc>
          <w:tcPr>
            <w:tcW w:w="956" w:type="dxa"/>
            <w:gridSpan w:val="2"/>
            <w:shd w:val="clear" w:color="auto" w:fill="auto"/>
            <w:noWrap/>
            <w:vAlign w:val="center"/>
            <w:hideMark/>
          </w:tcPr>
          <w:p w14:paraId="6B99790D" w14:textId="77777777" w:rsidR="008105F8" w:rsidRPr="00EC1913" w:rsidRDefault="008105F8" w:rsidP="00F54ACD">
            <w:pPr>
              <w:contextualSpacing/>
              <w:jc w:val="center"/>
              <w:rPr>
                <w:color w:val="000000"/>
                <w:sz w:val="20"/>
                <w:szCs w:val="20"/>
              </w:rPr>
            </w:pPr>
            <w:r w:rsidRPr="00EC1913">
              <w:rPr>
                <w:color w:val="000000"/>
                <w:sz w:val="20"/>
                <w:szCs w:val="20"/>
              </w:rPr>
              <w:t>0.10</w:t>
            </w:r>
          </w:p>
        </w:tc>
        <w:tc>
          <w:tcPr>
            <w:tcW w:w="1008" w:type="dxa"/>
            <w:gridSpan w:val="2"/>
            <w:shd w:val="clear" w:color="auto" w:fill="auto"/>
            <w:noWrap/>
            <w:vAlign w:val="center"/>
            <w:hideMark/>
          </w:tcPr>
          <w:p w14:paraId="79C5C6A7" w14:textId="77777777" w:rsidR="008105F8" w:rsidRPr="00EC1913" w:rsidRDefault="008105F8" w:rsidP="00F54ACD">
            <w:pPr>
              <w:contextualSpacing/>
              <w:jc w:val="center"/>
              <w:rPr>
                <w:color w:val="000000"/>
                <w:sz w:val="20"/>
                <w:szCs w:val="20"/>
              </w:rPr>
            </w:pPr>
            <w:r w:rsidRPr="00EC1913">
              <w:rPr>
                <w:color w:val="000000"/>
                <w:sz w:val="20"/>
                <w:szCs w:val="20"/>
              </w:rPr>
              <w:t>0.90</w:t>
            </w:r>
          </w:p>
        </w:tc>
        <w:tc>
          <w:tcPr>
            <w:tcW w:w="1052" w:type="dxa"/>
            <w:gridSpan w:val="2"/>
            <w:shd w:val="clear" w:color="auto" w:fill="auto"/>
            <w:noWrap/>
            <w:vAlign w:val="center"/>
            <w:hideMark/>
          </w:tcPr>
          <w:p w14:paraId="3362FA44" w14:textId="77777777" w:rsidR="008105F8" w:rsidRPr="00EC1913" w:rsidRDefault="008105F8" w:rsidP="00F54ACD">
            <w:pPr>
              <w:contextualSpacing/>
              <w:jc w:val="center"/>
              <w:rPr>
                <w:color w:val="000000"/>
                <w:sz w:val="20"/>
                <w:szCs w:val="20"/>
              </w:rPr>
            </w:pPr>
            <w:r w:rsidRPr="00EC1913">
              <w:rPr>
                <w:color w:val="000000"/>
                <w:sz w:val="20"/>
                <w:szCs w:val="20"/>
              </w:rPr>
              <w:t>-0.02</w:t>
            </w:r>
          </w:p>
        </w:tc>
        <w:tc>
          <w:tcPr>
            <w:tcW w:w="978" w:type="dxa"/>
            <w:gridSpan w:val="2"/>
            <w:shd w:val="clear" w:color="auto" w:fill="auto"/>
            <w:noWrap/>
            <w:vAlign w:val="center"/>
            <w:hideMark/>
          </w:tcPr>
          <w:p w14:paraId="7727D772" w14:textId="77777777" w:rsidR="008105F8" w:rsidRPr="00EC1913" w:rsidRDefault="008105F8" w:rsidP="00F54ACD">
            <w:pPr>
              <w:contextualSpacing/>
              <w:jc w:val="center"/>
              <w:rPr>
                <w:color w:val="000000"/>
                <w:sz w:val="20"/>
                <w:szCs w:val="20"/>
              </w:rPr>
            </w:pPr>
            <w:r w:rsidRPr="00EC1913">
              <w:rPr>
                <w:color w:val="000000"/>
                <w:sz w:val="20"/>
                <w:szCs w:val="20"/>
              </w:rPr>
              <w:t>0.10</w:t>
            </w:r>
          </w:p>
        </w:tc>
        <w:tc>
          <w:tcPr>
            <w:tcW w:w="851" w:type="dxa"/>
            <w:gridSpan w:val="2"/>
            <w:shd w:val="clear" w:color="auto" w:fill="auto"/>
            <w:noWrap/>
            <w:vAlign w:val="center"/>
            <w:hideMark/>
          </w:tcPr>
          <w:p w14:paraId="4E811AF6" w14:textId="77777777" w:rsidR="008105F8" w:rsidRPr="00EC1913" w:rsidRDefault="008105F8" w:rsidP="00F54ACD">
            <w:pPr>
              <w:contextualSpacing/>
              <w:jc w:val="center"/>
              <w:rPr>
                <w:color w:val="000000"/>
                <w:sz w:val="20"/>
                <w:szCs w:val="20"/>
              </w:rPr>
            </w:pPr>
            <w:r w:rsidRPr="00EC1913">
              <w:rPr>
                <w:color w:val="000000"/>
                <w:sz w:val="20"/>
                <w:szCs w:val="20"/>
              </w:rPr>
              <w:t>0.82</w:t>
            </w:r>
          </w:p>
        </w:tc>
        <w:tc>
          <w:tcPr>
            <w:tcW w:w="974" w:type="dxa"/>
            <w:gridSpan w:val="2"/>
            <w:shd w:val="clear" w:color="auto" w:fill="auto"/>
            <w:noWrap/>
            <w:vAlign w:val="center"/>
            <w:hideMark/>
          </w:tcPr>
          <w:p w14:paraId="49F43498" w14:textId="77777777" w:rsidR="008105F8" w:rsidRPr="00EC1913" w:rsidRDefault="008105F8" w:rsidP="00F54ACD">
            <w:pPr>
              <w:contextualSpacing/>
              <w:jc w:val="center"/>
              <w:rPr>
                <w:color w:val="000000"/>
                <w:sz w:val="20"/>
                <w:szCs w:val="20"/>
              </w:rPr>
            </w:pPr>
            <w:r w:rsidRPr="00EC1913">
              <w:rPr>
                <w:color w:val="000000"/>
                <w:sz w:val="20"/>
                <w:szCs w:val="20"/>
              </w:rPr>
              <w:t>-0.01</w:t>
            </w:r>
          </w:p>
        </w:tc>
        <w:tc>
          <w:tcPr>
            <w:tcW w:w="905" w:type="dxa"/>
            <w:gridSpan w:val="2"/>
            <w:shd w:val="clear" w:color="auto" w:fill="auto"/>
            <w:noWrap/>
            <w:vAlign w:val="center"/>
            <w:hideMark/>
          </w:tcPr>
          <w:p w14:paraId="38929445" w14:textId="77777777" w:rsidR="008105F8" w:rsidRPr="00EC1913" w:rsidRDefault="008105F8" w:rsidP="00F54ACD">
            <w:pPr>
              <w:contextualSpacing/>
              <w:jc w:val="center"/>
              <w:rPr>
                <w:color w:val="000000"/>
                <w:sz w:val="20"/>
                <w:szCs w:val="20"/>
              </w:rPr>
            </w:pPr>
            <w:r w:rsidRPr="00EC1913">
              <w:rPr>
                <w:color w:val="000000"/>
                <w:sz w:val="20"/>
                <w:szCs w:val="20"/>
              </w:rPr>
              <w:t>0.10</w:t>
            </w:r>
          </w:p>
        </w:tc>
        <w:tc>
          <w:tcPr>
            <w:tcW w:w="1014" w:type="dxa"/>
            <w:gridSpan w:val="2"/>
            <w:shd w:val="clear" w:color="auto" w:fill="auto"/>
            <w:noWrap/>
            <w:vAlign w:val="center"/>
            <w:hideMark/>
          </w:tcPr>
          <w:p w14:paraId="6A4EE7DE" w14:textId="77777777" w:rsidR="008105F8" w:rsidRPr="00EC1913" w:rsidRDefault="008105F8" w:rsidP="00F54ACD">
            <w:pPr>
              <w:contextualSpacing/>
              <w:jc w:val="center"/>
              <w:rPr>
                <w:color w:val="333333"/>
                <w:sz w:val="20"/>
                <w:szCs w:val="20"/>
              </w:rPr>
            </w:pPr>
            <w:r w:rsidRPr="00EC1913">
              <w:rPr>
                <w:color w:val="333333"/>
                <w:sz w:val="20"/>
                <w:szCs w:val="20"/>
              </w:rPr>
              <w:t>0.92</w:t>
            </w:r>
          </w:p>
        </w:tc>
      </w:tr>
      <w:tr w:rsidR="008105F8" w:rsidRPr="00EC1913" w14:paraId="5CDDE06C" w14:textId="77777777" w:rsidTr="00F54ACD">
        <w:trPr>
          <w:trHeight w:val="166"/>
        </w:trPr>
        <w:tc>
          <w:tcPr>
            <w:tcW w:w="3702" w:type="dxa"/>
            <w:shd w:val="clear" w:color="auto" w:fill="auto"/>
            <w:vAlign w:val="center"/>
            <w:hideMark/>
          </w:tcPr>
          <w:p w14:paraId="65DE260D" w14:textId="77777777" w:rsidR="008105F8" w:rsidRPr="00EC1913" w:rsidRDefault="008105F8" w:rsidP="00F54ACD">
            <w:pPr>
              <w:contextualSpacing/>
              <w:rPr>
                <w:color w:val="000000"/>
                <w:sz w:val="20"/>
                <w:szCs w:val="20"/>
              </w:rPr>
            </w:pPr>
            <w:r w:rsidRPr="00EC1913">
              <w:rPr>
                <w:i/>
                <w:iCs/>
                <w:color w:val="000000"/>
                <w:sz w:val="20"/>
                <w:szCs w:val="20"/>
              </w:rPr>
              <w:t>Cognitive health:</w:t>
            </w:r>
          </w:p>
        </w:tc>
        <w:tc>
          <w:tcPr>
            <w:tcW w:w="1120" w:type="dxa"/>
            <w:gridSpan w:val="2"/>
            <w:shd w:val="clear" w:color="auto" w:fill="auto"/>
            <w:noWrap/>
            <w:vAlign w:val="bottom"/>
            <w:hideMark/>
          </w:tcPr>
          <w:p w14:paraId="1666C0EE" w14:textId="77777777" w:rsidR="008105F8" w:rsidRPr="00EC1913" w:rsidRDefault="008105F8" w:rsidP="00F54ACD">
            <w:pPr>
              <w:contextualSpacing/>
              <w:rPr>
                <w:color w:val="000000"/>
                <w:sz w:val="20"/>
                <w:szCs w:val="20"/>
              </w:rPr>
            </w:pPr>
          </w:p>
        </w:tc>
        <w:tc>
          <w:tcPr>
            <w:tcW w:w="956" w:type="dxa"/>
            <w:gridSpan w:val="2"/>
            <w:shd w:val="clear" w:color="auto" w:fill="auto"/>
            <w:noWrap/>
            <w:vAlign w:val="bottom"/>
            <w:hideMark/>
          </w:tcPr>
          <w:p w14:paraId="7F0415C4" w14:textId="77777777" w:rsidR="008105F8" w:rsidRPr="00EC1913" w:rsidRDefault="008105F8" w:rsidP="00F54ACD">
            <w:pPr>
              <w:contextualSpacing/>
              <w:rPr>
                <w:sz w:val="20"/>
                <w:szCs w:val="20"/>
              </w:rPr>
            </w:pPr>
          </w:p>
        </w:tc>
        <w:tc>
          <w:tcPr>
            <w:tcW w:w="1008" w:type="dxa"/>
            <w:gridSpan w:val="2"/>
            <w:shd w:val="clear" w:color="auto" w:fill="auto"/>
            <w:noWrap/>
            <w:vAlign w:val="bottom"/>
            <w:hideMark/>
          </w:tcPr>
          <w:p w14:paraId="5AC3FFF4" w14:textId="77777777" w:rsidR="008105F8" w:rsidRPr="00EC1913" w:rsidRDefault="008105F8" w:rsidP="00F54ACD">
            <w:pPr>
              <w:contextualSpacing/>
              <w:rPr>
                <w:sz w:val="20"/>
                <w:szCs w:val="20"/>
              </w:rPr>
            </w:pPr>
          </w:p>
        </w:tc>
        <w:tc>
          <w:tcPr>
            <w:tcW w:w="1052" w:type="dxa"/>
            <w:gridSpan w:val="2"/>
            <w:shd w:val="clear" w:color="auto" w:fill="auto"/>
            <w:noWrap/>
            <w:vAlign w:val="bottom"/>
            <w:hideMark/>
          </w:tcPr>
          <w:p w14:paraId="2C3F284E" w14:textId="77777777" w:rsidR="008105F8" w:rsidRPr="00EC1913" w:rsidRDefault="008105F8" w:rsidP="00F54ACD">
            <w:pPr>
              <w:contextualSpacing/>
              <w:rPr>
                <w:sz w:val="20"/>
                <w:szCs w:val="20"/>
              </w:rPr>
            </w:pPr>
          </w:p>
        </w:tc>
        <w:tc>
          <w:tcPr>
            <w:tcW w:w="978" w:type="dxa"/>
            <w:gridSpan w:val="2"/>
            <w:shd w:val="clear" w:color="auto" w:fill="auto"/>
            <w:noWrap/>
            <w:vAlign w:val="bottom"/>
            <w:hideMark/>
          </w:tcPr>
          <w:p w14:paraId="0DFA0B0F" w14:textId="77777777" w:rsidR="008105F8" w:rsidRPr="00EC1913" w:rsidRDefault="008105F8" w:rsidP="00F54ACD">
            <w:pPr>
              <w:contextualSpacing/>
              <w:rPr>
                <w:sz w:val="20"/>
                <w:szCs w:val="20"/>
              </w:rPr>
            </w:pPr>
          </w:p>
        </w:tc>
        <w:tc>
          <w:tcPr>
            <w:tcW w:w="851" w:type="dxa"/>
            <w:gridSpan w:val="2"/>
            <w:shd w:val="clear" w:color="auto" w:fill="auto"/>
            <w:noWrap/>
            <w:vAlign w:val="bottom"/>
            <w:hideMark/>
          </w:tcPr>
          <w:p w14:paraId="4C87064E" w14:textId="77777777" w:rsidR="008105F8" w:rsidRPr="00EC1913" w:rsidRDefault="008105F8" w:rsidP="00F54ACD">
            <w:pPr>
              <w:contextualSpacing/>
              <w:rPr>
                <w:sz w:val="20"/>
                <w:szCs w:val="20"/>
              </w:rPr>
            </w:pPr>
          </w:p>
        </w:tc>
        <w:tc>
          <w:tcPr>
            <w:tcW w:w="974" w:type="dxa"/>
            <w:gridSpan w:val="2"/>
            <w:shd w:val="clear" w:color="auto" w:fill="auto"/>
            <w:noWrap/>
            <w:vAlign w:val="center"/>
            <w:hideMark/>
          </w:tcPr>
          <w:p w14:paraId="7309BF97" w14:textId="77777777" w:rsidR="008105F8" w:rsidRPr="00EC1913" w:rsidRDefault="008105F8" w:rsidP="00F54ACD">
            <w:pPr>
              <w:contextualSpacing/>
              <w:rPr>
                <w:sz w:val="20"/>
                <w:szCs w:val="20"/>
              </w:rPr>
            </w:pPr>
          </w:p>
        </w:tc>
        <w:tc>
          <w:tcPr>
            <w:tcW w:w="905" w:type="dxa"/>
            <w:gridSpan w:val="2"/>
            <w:shd w:val="clear" w:color="auto" w:fill="auto"/>
            <w:noWrap/>
            <w:vAlign w:val="center"/>
            <w:hideMark/>
          </w:tcPr>
          <w:p w14:paraId="5807FB37" w14:textId="77777777" w:rsidR="008105F8" w:rsidRPr="00EC1913" w:rsidRDefault="008105F8" w:rsidP="00F54ACD">
            <w:pPr>
              <w:contextualSpacing/>
              <w:jc w:val="center"/>
              <w:rPr>
                <w:sz w:val="20"/>
                <w:szCs w:val="20"/>
              </w:rPr>
            </w:pPr>
          </w:p>
        </w:tc>
        <w:tc>
          <w:tcPr>
            <w:tcW w:w="1014" w:type="dxa"/>
            <w:gridSpan w:val="2"/>
            <w:shd w:val="clear" w:color="auto" w:fill="auto"/>
            <w:noWrap/>
            <w:vAlign w:val="center"/>
            <w:hideMark/>
          </w:tcPr>
          <w:p w14:paraId="453D5475" w14:textId="77777777" w:rsidR="008105F8" w:rsidRPr="00EC1913" w:rsidRDefault="008105F8" w:rsidP="00F54ACD">
            <w:pPr>
              <w:contextualSpacing/>
              <w:jc w:val="center"/>
              <w:rPr>
                <w:sz w:val="20"/>
                <w:szCs w:val="20"/>
              </w:rPr>
            </w:pPr>
          </w:p>
        </w:tc>
      </w:tr>
      <w:tr w:rsidR="008105F8" w:rsidRPr="00EC1913" w14:paraId="16104E28" w14:textId="77777777" w:rsidTr="00F54ACD">
        <w:trPr>
          <w:trHeight w:val="166"/>
        </w:trPr>
        <w:tc>
          <w:tcPr>
            <w:tcW w:w="3702" w:type="dxa"/>
            <w:shd w:val="clear" w:color="auto" w:fill="auto"/>
            <w:vAlign w:val="center"/>
            <w:hideMark/>
          </w:tcPr>
          <w:p w14:paraId="46F779DB" w14:textId="77777777" w:rsidR="008105F8" w:rsidRPr="00EC1913" w:rsidRDefault="008105F8" w:rsidP="00F54ACD">
            <w:pPr>
              <w:contextualSpacing/>
              <w:rPr>
                <w:color w:val="000000"/>
                <w:sz w:val="20"/>
                <w:szCs w:val="20"/>
              </w:rPr>
            </w:pPr>
            <w:r w:rsidRPr="00EC1913">
              <w:rPr>
                <w:color w:val="000000"/>
                <w:sz w:val="20"/>
                <w:szCs w:val="20"/>
              </w:rPr>
              <w:t xml:space="preserve">   ACS</w:t>
            </w:r>
          </w:p>
        </w:tc>
        <w:tc>
          <w:tcPr>
            <w:tcW w:w="1120" w:type="dxa"/>
            <w:gridSpan w:val="2"/>
            <w:shd w:val="clear" w:color="auto" w:fill="auto"/>
            <w:noWrap/>
            <w:vAlign w:val="center"/>
            <w:hideMark/>
          </w:tcPr>
          <w:p w14:paraId="1F0AB29C" w14:textId="77777777" w:rsidR="008105F8" w:rsidRPr="00EC1913" w:rsidRDefault="008105F8" w:rsidP="00F54ACD">
            <w:pPr>
              <w:contextualSpacing/>
              <w:jc w:val="center"/>
              <w:rPr>
                <w:color w:val="000000"/>
                <w:sz w:val="20"/>
                <w:szCs w:val="20"/>
              </w:rPr>
            </w:pPr>
            <w:r w:rsidRPr="00EC1913">
              <w:rPr>
                <w:color w:val="000000"/>
                <w:sz w:val="20"/>
                <w:szCs w:val="20"/>
              </w:rPr>
              <w:t>1.28</w:t>
            </w:r>
          </w:p>
        </w:tc>
        <w:tc>
          <w:tcPr>
            <w:tcW w:w="956" w:type="dxa"/>
            <w:gridSpan w:val="2"/>
            <w:shd w:val="clear" w:color="auto" w:fill="auto"/>
            <w:noWrap/>
            <w:vAlign w:val="center"/>
            <w:hideMark/>
          </w:tcPr>
          <w:p w14:paraId="7872BB4C" w14:textId="77777777" w:rsidR="008105F8" w:rsidRPr="00EC1913" w:rsidRDefault="008105F8" w:rsidP="00F54ACD">
            <w:pPr>
              <w:contextualSpacing/>
              <w:jc w:val="center"/>
              <w:rPr>
                <w:color w:val="000000"/>
                <w:sz w:val="20"/>
                <w:szCs w:val="20"/>
              </w:rPr>
            </w:pPr>
            <w:r w:rsidRPr="00EC1913">
              <w:rPr>
                <w:color w:val="000000"/>
                <w:sz w:val="20"/>
                <w:szCs w:val="20"/>
              </w:rPr>
              <w:t>1.15</w:t>
            </w:r>
          </w:p>
        </w:tc>
        <w:tc>
          <w:tcPr>
            <w:tcW w:w="1008" w:type="dxa"/>
            <w:gridSpan w:val="2"/>
            <w:shd w:val="clear" w:color="auto" w:fill="auto"/>
            <w:noWrap/>
            <w:vAlign w:val="center"/>
            <w:hideMark/>
          </w:tcPr>
          <w:p w14:paraId="64884E64" w14:textId="77777777" w:rsidR="008105F8" w:rsidRPr="00EC1913" w:rsidRDefault="008105F8" w:rsidP="00F54ACD">
            <w:pPr>
              <w:contextualSpacing/>
              <w:jc w:val="center"/>
              <w:rPr>
                <w:color w:val="000000"/>
                <w:sz w:val="20"/>
                <w:szCs w:val="20"/>
              </w:rPr>
            </w:pPr>
            <w:r w:rsidRPr="00EC1913">
              <w:rPr>
                <w:color w:val="000000"/>
                <w:sz w:val="20"/>
                <w:szCs w:val="20"/>
              </w:rPr>
              <w:t>0.27</w:t>
            </w:r>
          </w:p>
        </w:tc>
        <w:tc>
          <w:tcPr>
            <w:tcW w:w="1052" w:type="dxa"/>
            <w:gridSpan w:val="2"/>
            <w:shd w:val="clear" w:color="auto" w:fill="auto"/>
            <w:noWrap/>
            <w:vAlign w:val="center"/>
            <w:hideMark/>
          </w:tcPr>
          <w:p w14:paraId="5C342EDD" w14:textId="77777777" w:rsidR="008105F8" w:rsidRPr="00EC1913" w:rsidRDefault="008105F8" w:rsidP="00F54ACD">
            <w:pPr>
              <w:contextualSpacing/>
              <w:jc w:val="center"/>
              <w:rPr>
                <w:color w:val="000000"/>
                <w:sz w:val="20"/>
                <w:szCs w:val="20"/>
              </w:rPr>
            </w:pPr>
            <w:r w:rsidRPr="00EC1913">
              <w:rPr>
                <w:color w:val="000000"/>
                <w:sz w:val="20"/>
                <w:szCs w:val="20"/>
              </w:rPr>
              <w:t>-1.31</w:t>
            </w:r>
          </w:p>
        </w:tc>
        <w:tc>
          <w:tcPr>
            <w:tcW w:w="978" w:type="dxa"/>
            <w:gridSpan w:val="2"/>
            <w:shd w:val="clear" w:color="auto" w:fill="auto"/>
            <w:noWrap/>
            <w:vAlign w:val="center"/>
            <w:hideMark/>
          </w:tcPr>
          <w:p w14:paraId="58F6BAA3" w14:textId="77777777" w:rsidR="008105F8" w:rsidRPr="00EC1913" w:rsidRDefault="008105F8" w:rsidP="00F54ACD">
            <w:pPr>
              <w:contextualSpacing/>
              <w:jc w:val="center"/>
              <w:rPr>
                <w:color w:val="000000"/>
                <w:sz w:val="20"/>
                <w:szCs w:val="20"/>
              </w:rPr>
            </w:pPr>
            <w:r w:rsidRPr="00EC1913">
              <w:rPr>
                <w:color w:val="000000"/>
                <w:sz w:val="20"/>
                <w:szCs w:val="20"/>
              </w:rPr>
              <w:t>1.17</w:t>
            </w:r>
          </w:p>
        </w:tc>
        <w:tc>
          <w:tcPr>
            <w:tcW w:w="851" w:type="dxa"/>
            <w:gridSpan w:val="2"/>
            <w:shd w:val="clear" w:color="auto" w:fill="auto"/>
            <w:noWrap/>
            <w:vAlign w:val="center"/>
            <w:hideMark/>
          </w:tcPr>
          <w:p w14:paraId="0C62DDB4" w14:textId="77777777" w:rsidR="008105F8" w:rsidRPr="00EC1913" w:rsidRDefault="008105F8" w:rsidP="00F54ACD">
            <w:pPr>
              <w:contextualSpacing/>
              <w:jc w:val="center"/>
              <w:rPr>
                <w:color w:val="000000"/>
                <w:sz w:val="20"/>
                <w:szCs w:val="20"/>
              </w:rPr>
            </w:pPr>
            <w:r w:rsidRPr="00EC1913">
              <w:rPr>
                <w:color w:val="000000"/>
                <w:sz w:val="20"/>
                <w:szCs w:val="20"/>
              </w:rPr>
              <w:t>0.26</w:t>
            </w:r>
          </w:p>
        </w:tc>
        <w:tc>
          <w:tcPr>
            <w:tcW w:w="974" w:type="dxa"/>
            <w:gridSpan w:val="2"/>
            <w:shd w:val="clear" w:color="000000" w:fill="FFFF00"/>
            <w:noWrap/>
            <w:vAlign w:val="center"/>
            <w:hideMark/>
          </w:tcPr>
          <w:p w14:paraId="47DFF7BD" w14:textId="77777777" w:rsidR="008105F8" w:rsidRPr="00EC1913" w:rsidRDefault="008105F8" w:rsidP="00F54ACD">
            <w:pPr>
              <w:contextualSpacing/>
              <w:jc w:val="center"/>
              <w:rPr>
                <w:color w:val="000000"/>
                <w:sz w:val="20"/>
                <w:szCs w:val="20"/>
                <w:highlight w:val="yellow"/>
              </w:rPr>
            </w:pPr>
            <w:r w:rsidRPr="00EC1913">
              <w:rPr>
                <w:color w:val="000000"/>
                <w:sz w:val="20"/>
                <w:szCs w:val="20"/>
                <w:highlight w:val="yellow"/>
              </w:rPr>
              <w:t>-2.59</w:t>
            </w:r>
          </w:p>
        </w:tc>
        <w:tc>
          <w:tcPr>
            <w:tcW w:w="905" w:type="dxa"/>
            <w:gridSpan w:val="2"/>
            <w:shd w:val="clear" w:color="000000" w:fill="FFFF00"/>
            <w:noWrap/>
            <w:vAlign w:val="center"/>
            <w:hideMark/>
          </w:tcPr>
          <w:p w14:paraId="762FF416" w14:textId="77777777" w:rsidR="008105F8" w:rsidRPr="00EC1913" w:rsidRDefault="008105F8" w:rsidP="00F54ACD">
            <w:pPr>
              <w:contextualSpacing/>
              <w:jc w:val="center"/>
              <w:rPr>
                <w:color w:val="000000"/>
                <w:sz w:val="20"/>
                <w:szCs w:val="20"/>
                <w:highlight w:val="yellow"/>
              </w:rPr>
            </w:pPr>
            <w:r w:rsidRPr="00EC1913">
              <w:rPr>
                <w:color w:val="000000"/>
                <w:sz w:val="20"/>
                <w:szCs w:val="20"/>
                <w:highlight w:val="yellow"/>
              </w:rPr>
              <w:t>1.20</w:t>
            </w:r>
          </w:p>
        </w:tc>
        <w:tc>
          <w:tcPr>
            <w:tcW w:w="1014" w:type="dxa"/>
            <w:gridSpan w:val="2"/>
            <w:shd w:val="clear" w:color="auto" w:fill="auto"/>
            <w:noWrap/>
            <w:vAlign w:val="center"/>
            <w:hideMark/>
          </w:tcPr>
          <w:p w14:paraId="28B3D572" w14:textId="77777777" w:rsidR="008105F8" w:rsidRPr="00EC1913" w:rsidRDefault="008105F8" w:rsidP="00F54ACD">
            <w:pPr>
              <w:contextualSpacing/>
              <w:jc w:val="center"/>
              <w:rPr>
                <w:color w:val="333333"/>
                <w:sz w:val="20"/>
                <w:szCs w:val="20"/>
                <w:highlight w:val="yellow"/>
              </w:rPr>
            </w:pPr>
            <w:r w:rsidRPr="00EC1913">
              <w:rPr>
                <w:color w:val="333333"/>
                <w:sz w:val="20"/>
                <w:szCs w:val="20"/>
                <w:highlight w:val="yellow"/>
              </w:rPr>
              <w:t>0.03</w:t>
            </w:r>
          </w:p>
        </w:tc>
      </w:tr>
      <w:tr w:rsidR="008105F8" w:rsidRPr="00EC1913" w14:paraId="6BBD4ADC" w14:textId="77777777" w:rsidTr="00F54ACD">
        <w:trPr>
          <w:trHeight w:val="166"/>
        </w:trPr>
        <w:tc>
          <w:tcPr>
            <w:tcW w:w="3702" w:type="dxa"/>
            <w:shd w:val="clear" w:color="auto" w:fill="auto"/>
            <w:vAlign w:val="center"/>
            <w:hideMark/>
          </w:tcPr>
          <w:p w14:paraId="0A9322E9" w14:textId="77777777" w:rsidR="008105F8" w:rsidRPr="00EC1913" w:rsidRDefault="008105F8" w:rsidP="00F54ACD">
            <w:pPr>
              <w:contextualSpacing/>
              <w:rPr>
                <w:color w:val="000000"/>
                <w:sz w:val="20"/>
                <w:szCs w:val="20"/>
              </w:rPr>
            </w:pPr>
            <w:r w:rsidRPr="00EC1913">
              <w:rPr>
                <w:color w:val="000000"/>
                <w:sz w:val="20"/>
                <w:szCs w:val="20"/>
              </w:rPr>
              <w:t xml:space="preserve">   </w:t>
            </w:r>
            <w:proofErr w:type="spellStart"/>
            <w:r w:rsidRPr="00EC1913">
              <w:rPr>
                <w:color w:val="000000"/>
                <w:sz w:val="20"/>
                <w:szCs w:val="20"/>
              </w:rPr>
              <w:t>YSAS</w:t>
            </w:r>
            <w:proofErr w:type="spellEnd"/>
            <w:r w:rsidRPr="00EC1913">
              <w:rPr>
                <w:color w:val="000000"/>
                <w:sz w:val="20"/>
                <w:szCs w:val="20"/>
              </w:rPr>
              <w:t xml:space="preserve"> (school/cognitive)</w:t>
            </w:r>
          </w:p>
        </w:tc>
        <w:tc>
          <w:tcPr>
            <w:tcW w:w="1120" w:type="dxa"/>
            <w:gridSpan w:val="2"/>
            <w:shd w:val="clear" w:color="auto" w:fill="auto"/>
            <w:noWrap/>
            <w:vAlign w:val="center"/>
            <w:hideMark/>
          </w:tcPr>
          <w:p w14:paraId="49AEF7F8" w14:textId="77777777" w:rsidR="008105F8" w:rsidRPr="00EC1913" w:rsidRDefault="008105F8" w:rsidP="00F54ACD">
            <w:pPr>
              <w:contextualSpacing/>
              <w:jc w:val="center"/>
              <w:rPr>
                <w:color w:val="000000"/>
                <w:sz w:val="20"/>
                <w:szCs w:val="20"/>
              </w:rPr>
            </w:pPr>
            <w:r w:rsidRPr="00EC1913">
              <w:rPr>
                <w:color w:val="000000"/>
                <w:sz w:val="20"/>
                <w:szCs w:val="20"/>
              </w:rPr>
              <w:t>-0.55</w:t>
            </w:r>
          </w:p>
        </w:tc>
        <w:tc>
          <w:tcPr>
            <w:tcW w:w="956" w:type="dxa"/>
            <w:gridSpan w:val="2"/>
            <w:shd w:val="clear" w:color="auto" w:fill="auto"/>
            <w:noWrap/>
            <w:vAlign w:val="center"/>
            <w:hideMark/>
          </w:tcPr>
          <w:p w14:paraId="586BCF31" w14:textId="77777777" w:rsidR="008105F8" w:rsidRPr="00EC1913" w:rsidRDefault="008105F8" w:rsidP="00F54ACD">
            <w:pPr>
              <w:contextualSpacing/>
              <w:jc w:val="center"/>
              <w:rPr>
                <w:color w:val="000000"/>
                <w:sz w:val="20"/>
                <w:szCs w:val="20"/>
              </w:rPr>
            </w:pPr>
            <w:r w:rsidRPr="00EC1913">
              <w:rPr>
                <w:color w:val="000000"/>
                <w:sz w:val="20"/>
                <w:szCs w:val="20"/>
              </w:rPr>
              <w:t>0.59</w:t>
            </w:r>
          </w:p>
        </w:tc>
        <w:tc>
          <w:tcPr>
            <w:tcW w:w="1008" w:type="dxa"/>
            <w:gridSpan w:val="2"/>
            <w:shd w:val="clear" w:color="auto" w:fill="auto"/>
            <w:noWrap/>
            <w:vAlign w:val="center"/>
            <w:hideMark/>
          </w:tcPr>
          <w:p w14:paraId="3AF86C6F" w14:textId="77777777" w:rsidR="008105F8" w:rsidRPr="00EC1913" w:rsidRDefault="008105F8" w:rsidP="00F54ACD">
            <w:pPr>
              <w:contextualSpacing/>
              <w:jc w:val="center"/>
              <w:rPr>
                <w:color w:val="000000"/>
                <w:sz w:val="20"/>
                <w:szCs w:val="20"/>
              </w:rPr>
            </w:pPr>
            <w:r w:rsidRPr="00EC1913">
              <w:rPr>
                <w:color w:val="000000"/>
                <w:sz w:val="20"/>
                <w:szCs w:val="20"/>
              </w:rPr>
              <w:t>0.35</w:t>
            </w:r>
          </w:p>
        </w:tc>
        <w:tc>
          <w:tcPr>
            <w:tcW w:w="1052" w:type="dxa"/>
            <w:gridSpan w:val="2"/>
            <w:shd w:val="clear" w:color="auto" w:fill="auto"/>
            <w:noWrap/>
            <w:vAlign w:val="center"/>
            <w:hideMark/>
          </w:tcPr>
          <w:p w14:paraId="6764ABCC" w14:textId="77777777" w:rsidR="008105F8" w:rsidRPr="00EC1913" w:rsidRDefault="008105F8" w:rsidP="00F54ACD">
            <w:pPr>
              <w:contextualSpacing/>
              <w:jc w:val="center"/>
              <w:rPr>
                <w:color w:val="000000"/>
                <w:sz w:val="20"/>
                <w:szCs w:val="20"/>
              </w:rPr>
            </w:pPr>
            <w:r w:rsidRPr="00EC1913">
              <w:rPr>
                <w:color w:val="000000"/>
                <w:sz w:val="20"/>
                <w:szCs w:val="20"/>
              </w:rPr>
              <w:t>-0.27</w:t>
            </w:r>
          </w:p>
        </w:tc>
        <w:tc>
          <w:tcPr>
            <w:tcW w:w="978" w:type="dxa"/>
            <w:gridSpan w:val="2"/>
            <w:shd w:val="clear" w:color="auto" w:fill="auto"/>
            <w:noWrap/>
            <w:vAlign w:val="center"/>
            <w:hideMark/>
          </w:tcPr>
          <w:p w14:paraId="1C1FAA45" w14:textId="77777777" w:rsidR="008105F8" w:rsidRPr="00EC1913" w:rsidRDefault="008105F8" w:rsidP="00F54ACD">
            <w:pPr>
              <w:contextualSpacing/>
              <w:jc w:val="center"/>
              <w:rPr>
                <w:color w:val="000000"/>
                <w:sz w:val="20"/>
                <w:szCs w:val="20"/>
              </w:rPr>
            </w:pPr>
            <w:r w:rsidRPr="00EC1913">
              <w:rPr>
                <w:color w:val="000000"/>
                <w:sz w:val="20"/>
                <w:szCs w:val="20"/>
              </w:rPr>
              <w:t>0.60</w:t>
            </w:r>
          </w:p>
        </w:tc>
        <w:tc>
          <w:tcPr>
            <w:tcW w:w="851" w:type="dxa"/>
            <w:gridSpan w:val="2"/>
            <w:shd w:val="clear" w:color="auto" w:fill="auto"/>
            <w:noWrap/>
            <w:vAlign w:val="center"/>
            <w:hideMark/>
          </w:tcPr>
          <w:p w14:paraId="05D3E7E5" w14:textId="77777777" w:rsidR="008105F8" w:rsidRPr="00EC1913" w:rsidRDefault="008105F8" w:rsidP="00F54ACD">
            <w:pPr>
              <w:contextualSpacing/>
              <w:jc w:val="center"/>
              <w:rPr>
                <w:color w:val="000000"/>
                <w:sz w:val="20"/>
                <w:szCs w:val="20"/>
              </w:rPr>
            </w:pPr>
            <w:r w:rsidRPr="00EC1913">
              <w:rPr>
                <w:color w:val="000000"/>
                <w:sz w:val="20"/>
                <w:szCs w:val="20"/>
              </w:rPr>
              <w:t>0.65</w:t>
            </w:r>
          </w:p>
        </w:tc>
        <w:tc>
          <w:tcPr>
            <w:tcW w:w="974" w:type="dxa"/>
            <w:gridSpan w:val="2"/>
            <w:shd w:val="clear" w:color="auto" w:fill="auto"/>
            <w:noWrap/>
            <w:vAlign w:val="center"/>
            <w:hideMark/>
          </w:tcPr>
          <w:p w14:paraId="2D73F2F7" w14:textId="77777777" w:rsidR="008105F8" w:rsidRPr="00EC1913" w:rsidRDefault="008105F8" w:rsidP="00F54ACD">
            <w:pPr>
              <w:contextualSpacing/>
              <w:jc w:val="center"/>
              <w:rPr>
                <w:color w:val="000000"/>
                <w:sz w:val="20"/>
                <w:szCs w:val="20"/>
              </w:rPr>
            </w:pPr>
            <w:r w:rsidRPr="00EC1913">
              <w:rPr>
                <w:color w:val="000000"/>
                <w:sz w:val="20"/>
                <w:szCs w:val="20"/>
              </w:rPr>
              <w:t>0.28</w:t>
            </w:r>
          </w:p>
        </w:tc>
        <w:tc>
          <w:tcPr>
            <w:tcW w:w="905" w:type="dxa"/>
            <w:gridSpan w:val="2"/>
            <w:shd w:val="clear" w:color="auto" w:fill="auto"/>
            <w:noWrap/>
            <w:vAlign w:val="center"/>
            <w:hideMark/>
          </w:tcPr>
          <w:p w14:paraId="543CBF1A" w14:textId="77777777" w:rsidR="008105F8" w:rsidRPr="00EC1913" w:rsidRDefault="008105F8" w:rsidP="00F54ACD">
            <w:pPr>
              <w:contextualSpacing/>
              <w:jc w:val="center"/>
              <w:rPr>
                <w:color w:val="000000"/>
                <w:sz w:val="20"/>
                <w:szCs w:val="20"/>
              </w:rPr>
            </w:pPr>
            <w:r w:rsidRPr="00EC1913">
              <w:rPr>
                <w:color w:val="000000"/>
                <w:sz w:val="20"/>
                <w:szCs w:val="20"/>
              </w:rPr>
              <w:t>0.62</w:t>
            </w:r>
          </w:p>
        </w:tc>
        <w:tc>
          <w:tcPr>
            <w:tcW w:w="1014" w:type="dxa"/>
            <w:gridSpan w:val="2"/>
            <w:shd w:val="clear" w:color="auto" w:fill="auto"/>
            <w:noWrap/>
            <w:vAlign w:val="center"/>
            <w:hideMark/>
          </w:tcPr>
          <w:p w14:paraId="397C2C53" w14:textId="77777777" w:rsidR="008105F8" w:rsidRPr="00EC1913" w:rsidRDefault="008105F8" w:rsidP="00F54ACD">
            <w:pPr>
              <w:contextualSpacing/>
              <w:jc w:val="center"/>
              <w:rPr>
                <w:color w:val="333333"/>
                <w:sz w:val="20"/>
                <w:szCs w:val="20"/>
              </w:rPr>
            </w:pPr>
            <w:r w:rsidRPr="00EC1913">
              <w:rPr>
                <w:color w:val="333333"/>
                <w:sz w:val="20"/>
                <w:szCs w:val="20"/>
              </w:rPr>
              <w:t>0.67</w:t>
            </w:r>
          </w:p>
        </w:tc>
      </w:tr>
      <w:tr w:rsidR="008105F8" w:rsidRPr="00EC1913" w14:paraId="60619D28" w14:textId="77777777" w:rsidTr="00F54ACD">
        <w:trPr>
          <w:trHeight w:val="166"/>
        </w:trPr>
        <w:tc>
          <w:tcPr>
            <w:tcW w:w="3702" w:type="dxa"/>
            <w:shd w:val="clear" w:color="auto" w:fill="auto"/>
            <w:vAlign w:val="center"/>
            <w:hideMark/>
          </w:tcPr>
          <w:p w14:paraId="57EDCA8A" w14:textId="77777777" w:rsidR="008105F8" w:rsidRPr="00EC1913" w:rsidRDefault="008105F8" w:rsidP="00F54ACD">
            <w:pPr>
              <w:contextualSpacing/>
              <w:rPr>
                <w:color w:val="000000"/>
                <w:sz w:val="20"/>
                <w:szCs w:val="20"/>
              </w:rPr>
            </w:pPr>
            <w:r w:rsidRPr="00EC1913">
              <w:rPr>
                <w:color w:val="000000"/>
                <w:sz w:val="20"/>
                <w:szCs w:val="20"/>
              </w:rPr>
              <w:t xml:space="preserve">   Composite*</w:t>
            </w:r>
          </w:p>
        </w:tc>
        <w:tc>
          <w:tcPr>
            <w:tcW w:w="1120" w:type="dxa"/>
            <w:gridSpan w:val="2"/>
            <w:shd w:val="clear" w:color="auto" w:fill="auto"/>
            <w:noWrap/>
            <w:vAlign w:val="center"/>
            <w:hideMark/>
          </w:tcPr>
          <w:p w14:paraId="587FEA45" w14:textId="77777777" w:rsidR="008105F8" w:rsidRPr="00EC1913" w:rsidRDefault="008105F8" w:rsidP="00F54ACD">
            <w:pPr>
              <w:contextualSpacing/>
              <w:jc w:val="center"/>
              <w:rPr>
                <w:color w:val="000000"/>
                <w:sz w:val="20"/>
                <w:szCs w:val="20"/>
              </w:rPr>
            </w:pPr>
            <w:r w:rsidRPr="00EC1913">
              <w:rPr>
                <w:color w:val="000000"/>
                <w:sz w:val="20"/>
                <w:szCs w:val="20"/>
              </w:rPr>
              <w:t>-0.16</w:t>
            </w:r>
          </w:p>
        </w:tc>
        <w:tc>
          <w:tcPr>
            <w:tcW w:w="956" w:type="dxa"/>
            <w:gridSpan w:val="2"/>
            <w:shd w:val="clear" w:color="auto" w:fill="auto"/>
            <w:noWrap/>
            <w:vAlign w:val="center"/>
            <w:hideMark/>
          </w:tcPr>
          <w:p w14:paraId="3E4B469D" w14:textId="77777777" w:rsidR="008105F8" w:rsidRPr="00EC1913" w:rsidRDefault="008105F8" w:rsidP="00F54ACD">
            <w:pPr>
              <w:contextualSpacing/>
              <w:jc w:val="center"/>
              <w:rPr>
                <w:color w:val="000000"/>
                <w:sz w:val="20"/>
                <w:szCs w:val="20"/>
              </w:rPr>
            </w:pPr>
            <w:r w:rsidRPr="00EC1913">
              <w:rPr>
                <w:color w:val="000000"/>
                <w:sz w:val="20"/>
                <w:szCs w:val="20"/>
              </w:rPr>
              <w:t>0.12</w:t>
            </w:r>
          </w:p>
        </w:tc>
        <w:tc>
          <w:tcPr>
            <w:tcW w:w="1008" w:type="dxa"/>
            <w:gridSpan w:val="2"/>
            <w:shd w:val="clear" w:color="auto" w:fill="auto"/>
            <w:noWrap/>
            <w:vAlign w:val="center"/>
            <w:hideMark/>
          </w:tcPr>
          <w:p w14:paraId="68E0BDF0" w14:textId="77777777" w:rsidR="008105F8" w:rsidRPr="00EC1913" w:rsidRDefault="008105F8" w:rsidP="00F54ACD">
            <w:pPr>
              <w:contextualSpacing/>
              <w:jc w:val="center"/>
              <w:rPr>
                <w:color w:val="000000"/>
                <w:sz w:val="20"/>
                <w:szCs w:val="20"/>
              </w:rPr>
            </w:pPr>
            <w:r w:rsidRPr="00EC1913">
              <w:rPr>
                <w:color w:val="000000"/>
                <w:sz w:val="20"/>
                <w:szCs w:val="20"/>
              </w:rPr>
              <w:t>0.17</w:t>
            </w:r>
          </w:p>
        </w:tc>
        <w:tc>
          <w:tcPr>
            <w:tcW w:w="1052" w:type="dxa"/>
            <w:gridSpan w:val="2"/>
            <w:shd w:val="clear" w:color="auto" w:fill="auto"/>
            <w:noWrap/>
            <w:vAlign w:val="center"/>
            <w:hideMark/>
          </w:tcPr>
          <w:p w14:paraId="10E39647" w14:textId="77777777" w:rsidR="008105F8" w:rsidRPr="00EC1913" w:rsidRDefault="008105F8" w:rsidP="00F54ACD">
            <w:pPr>
              <w:contextualSpacing/>
              <w:jc w:val="center"/>
              <w:rPr>
                <w:color w:val="000000"/>
                <w:sz w:val="20"/>
                <w:szCs w:val="20"/>
              </w:rPr>
            </w:pPr>
            <w:r w:rsidRPr="00EC1913">
              <w:rPr>
                <w:color w:val="000000"/>
                <w:sz w:val="20"/>
                <w:szCs w:val="20"/>
              </w:rPr>
              <w:t>0.01</w:t>
            </w:r>
          </w:p>
        </w:tc>
        <w:tc>
          <w:tcPr>
            <w:tcW w:w="978" w:type="dxa"/>
            <w:gridSpan w:val="2"/>
            <w:shd w:val="clear" w:color="auto" w:fill="auto"/>
            <w:noWrap/>
            <w:vAlign w:val="center"/>
            <w:hideMark/>
          </w:tcPr>
          <w:p w14:paraId="0608DF76" w14:textId="77777777" w:rsidR="008105F8" w:rsidRPr="00EC1913" w:rsidRDefault="008105F8" w:rsidP="00F54ACD">
            <w:pPr>
              <w:contextualSpacing/>
              <w:jc w:val="center"/>
              <w:rPr>
                <w:color w:val="000000"/>
                <w:sz w:val="20"/>
                <w:szCs w:val="20"/>
              </w:rPr>
            </w:pPr>
            <w:r w:rsidRPr="00EC1913">
              <w:rPr>
                <w:color w:val="000000"/>
                <w:sz w:val="20"/>
                <w:szCs w:val="20"/>
              </w:rPr>
              <w:t>0.12</w:t>
            </w:r>
          </w:p>
        </w:tc>
        <w:tc>
          <w:tcPr>
            <w:tcW w:w="851" w:type="dxa"/>
            <w:gridSpan w:val="2"/>
            <w:shd w:val="clear" w:color="auto" w:fill="auto"/>
            <w:noWrap/>
            <w:vAlign w:val="center"/>
            <w:hideMark/>
          </w:tcPr>
          <w:p w14:paraId="1D717827" w14:textId="77777777" w:rsidR="008105F8" w:rsidRPr="00EC1913" w:rsidRDefault="008105F8" w:rsidP="00F54ACD">
            <w:pPr>
              <w:contextualSpacing/>
              <w:jc w:val="center"/>
              <w:rPr>
                <w:color w:val="000000"/>
                <w:sz w:val="20"/>
                <w:szCs w:val="20"/>
              </w:rPr>
            </w:pPr>
            <w:r w:rsidRPr="00EC1913">
              <w:rPr>
                <w:color w:val="000000"/>
                <w:sz w:val="20"/>
                <w:szCs w:val="20"/>
              </w:rPr>
              <w:t>0.92</w:t>
            </w:r>
          </w:p>
        </w:tc>
        <w:tc>
          <w:tcPr>
            <w:tcW w:w="974" w:type="dxa"/>
            <w:gridSpan w:val="2"/>
            <w:shd w:val="clear" w:color="auto" w:fill="auto"/>
            <w:noWrap/>
            <w:vAlign w:val="center"/>
            <w:hideMark/>
          </w:tcPr>
          <w:p w14:paraId="251B322F" w14:textId="77777777" w:rsidR="008105F8" w:rsidRPr="00EC1913" w:rsidRDefault="008105F8" w:rsidP="00F54ACD">
            <w:pPr>
              <w:contextualSpacing/>
              <w:jc w:val="center"/>
              <w:rPr>
                <w:color w:val="000000"/>
                <w:sz w:val="20"/>
                <w:szCs w:val="20"/>
              </w:rPr>
            </w:pPr>
            <w:r w:rsidRPr="00EC1913">
              <w:rPr>
                <w:color w:val="000000"/>
                <w:sz w:val="20"/>
                <w:szCs w:val="20"/>
              </w:rPr>
              <w:t>0.17</w:t>
            </w:r>
          </w:p>
        </w:tc>
        <w:tc>
          <w:tcPr>
            <w:tcW w:w="905" w:type="dxa"/>
            <w:gridSpan w:val="2"/>
            <w:shd w:val="clear" w:color="auto" w:fill="auto"/>
            <w:noWrap/>
            <w:vAlign w:val="center"/>
            <w:hideMark/>
          </w:tcPr>
          <w:p w14:paraId="1F60E987" w14:textId="77777777" w:rsidR="008105F8" w:rsidRPr="00EC1913" w:rsidRDefault="008105F8" w:rsidP="00F54ACD">
            <w:pPr>
              <w:contextualSpacing/>
              <w:jc w:val="center"/>
              <w:rPr>
                <w:color w:val="000000"/>
                <w:sz w:val="20"/>
                <w:szCs w:val="20"/>
              </w:rPr>
            </w:pPr>
            <w:r w:rsidRPr="00EC1913">
              <w:rPr>
                <w:color w:val="000000"/>
                <w:sz w:val="20"/>
                <w:szCs w:val="20"/>
              </w:rPr>
              <w:t>0.13</w:t>
            </w:r>
          </w:p>
        </w:tc>
        <w:tc>
          <w:tcPr>
            <w:tcW w:w="1014" w:type="dxa"/>
            <w:gridSpan w:val="2"/>
            <w:shd w:val="clear" w:color="auto" w:fill="auto"/>
            <w:noWrap/>
            <w:vAlign w:val="center"/>
            <w:hideMark/>
          </w:tcPr>
          <w:p w14:paraId="63EB9936" w14:textId="77777777" w:rsidR="008105F8" w:rsidRPr="00EC1913" w:rsidRDefault="008105F8" w:rsidP="00F54ACD">
            <w:pPr>
              <w:contextualSpacing/>
              <w:jc w:val="center"/>
              <w:rPr>
                <w:color w:val="333333"/>
                <w:sz w:val="20"/>
                <w:szCs w:val="20"/>
              </w:rPr>
            </w:pPr>
            <w:r w:rsidRPr="00EC1913">
              <w:rPr>
                <w:color w:val="333333"/>
                <w:sz w:val="20"/>
                <w:szCs w:val="20"/>
              </w:rPr>
              <w:t>0.16</w:t>
            </w:r>
          </w:p>
        </w:tc>
      </w:tr>
      <w:tr w:rsidR="008105F8" w:rsidRPr="00EC1913" w14:paraId="17BFA065" w14:textId="77777777" w:rsidTr="00F54ACD">
        <w:trPr>
          <w:trHeight w:val="166"/>
        </w:trPr>
        <w:tc>
          <w:tcPr>
            <w:tcW w:w="3702" w:type="dxa"/>
            <w:shd w:val="clear" w:color="auto" w:fill="auto"/>
            <w:vAlign w:val="center"/>
            <w:hideMark/>
          </w:tcPr>
          <w:p w14:paraId="1BD700FE" w14:textId="77777777" w:rsidR="008105F8" w:rsidRPr="00EC1913" w:rsidRDefault="008105F8" w:rsidP="00F54ACD">
            <w:pPr>
              <w:contextualSpacing/>
              <w:rPr>
                <w:i/>
                <w:iCs/>
                <w:color w:val="000000"/>
                <w:sz w:val="20"/>
                <w:szCs w:val="20"/>
              </w:rPr>
            </w:pPr>
            <w:r w:rsidRPr="00EC1913">
              <w:rPr>
                <w:i/>
                <w:iCs/>
                <w:color w:val="000000"/>
                <w:sz w:val="20"/>
                <w:szCs w:val="20"/>
              </w:rPr>
              <w:t>Behavioral health:</w:t>
            </w:r>
          </w:p>
        </w:tc>
        <w:tc>
          <w:tcPr>
            <w:tcW w:w="1120" w:type="dxa"/>
            <w:gridSpan w:val="2"/>
            <w:shd w:val="clear" w:color="auto" w:fill="auto"/>
            <w:noWrap/>
            <w:vAlign w:val="bottom"/>
            <w:hideMark/>
          </w:tcPr>
          <w:p w14:paraId="224DD49C" w14:textId="77777777" w:rsidR="008105F8" w:rsidRPr="00EC1913" w:rsidRDefault="008105F8" w:rsidP="00F54ACD">
            <w:pPr>
              <w:contextualSpacing/>
              <w:rPr>
                <w:i/>
                <w:iCs/>
                <w:color w:val="000000"/>
                <w:sz w:val="20"/>
                <w:szCs w:val="20"/>
              </w:rPr>
            </w:pPr>
          </w:p>
        </w:tc>
        <w:tc>
          <w:tcPr>
            <w:tcW w:w="956" w:type="dxa"/>
            <w:gridSpan w:val="2"/>
            <w:shd w:val="clear" w:color="auto" w:fill="auto"/>
            <w:noWrap/>
            <w:vAlign w:val="bottom"/>
            <w:hideMark/>
          </w:tcPr>
          <w:p w14:paraId="1EE23153" w14:textId="77777777" w:rsidR="008105F8" w:rsidRPr="00EC1913" w:rsidRDefault="008105F8" w:rsidP="00F54ACD">
            <w:pPr>
              <w:contextualSpacing/>
              <w:rPr>
                <w:sz w:val="20"/>
                <w:szCs w:val="20"/>
              </w:rPr>
            </w:pPr>
          </w:p>
        </w:tc>
        <w:tc>
          <w:tcPr>
            <w:tcW w:w="1008" w:type="dxa"/>
            <w:gridSpan w:val="2"/>
            <w:shd w:val="clear" w:color="auto" w:fill="auto"/>
            <w:noWrap/>
            <w:vAlign w:val="bottom"/>
            <w:hideMark/>
          </w:tcPr>
          <w:p w14:paraId="668B1005" w14:textId="77777777" w:rsidR="008105F8" w:rsidRPr="00EC1913" w:rsidRDefault="008105F8" w:rsidP="00F54ACD">
            <w:pPr>
              <w:contextualSpacing/>
              <w:rPr>
                <w:sz w:val="20"/>
                <w:szCs w:val="20"/>
              </w:rPr>
            </w:pPr>
          </w:p>
        </w:tc>
        <w:tc>
          <w:tcPr>
            <w:tcW w:w="1052" w:type="dxa"/>
            <w:gridSpan w:val="2"/>
            <w:shd w:val="clear" w:color="auto" w:fill="auto"/>
            <w:noWrap/>
            <w:vAlign w:val="bottom"/>
            <w:hideMark/>
          </w:tcPr>
          <w:p w14:paraId="7FF28BF8" w14:textId="77777777" w:rsidR="008105F8" w:rsidRPr="00EC1913" w:rsidRDefault="008105F8" w:rsidP="00F54ACD">
            <w:pPr>
              <w:contextualSpacing/>
              <w:rPr>
                <w:sz w:val="20"/>
                <w:szCs w:val="20"/>
              </w:rPr>
            </w:pPr>
          </w:p>
        </w:tc>
        <w:tc>
          <w:tcPr>
            <w:tcW w:w="978" w:type="dxa"/>
            <w:gridSpan w:val="2"/>
            <w:shd w:val="clear" w:color="auto" w:fill="auto"/>
            <w:noWrap/>
            <w:vAlign w:val="bottom"/>
            <w:hideMark/>
          </w:tcPr>
          <w:p w14:paraId="16F0A87A" w14:textId="77777777" w:rsidR="008105F8" w:rsidRPr="00EC1913" w:rsidRDefault="008105F8" w:rsidP="00F54ACD">
            <w:pPr>
              <w:contextualSpacing/>
              <w:rPr>
                <w:sz w:val="20"/>
                <w:szCs w:val="20"/>
              </w:rPr>
            </w:pPr>
          </w:p>
        </w:tc>
        <w:tc>
          <w:tcPr>
            <w:tcW w:w="851" w:type="dxa"/>
            <w:gridSpan w:val="2"/>
            <w:shd w:val="clear" w:color="auto" w:fill="auto"/>
            <w:noWrap/>
            <w:vAlign w:val="bottom"/>
            <w:hideMark/>
          </w:tcPr>
          <w:p w14:paraId="297BFBB5" w14:textId="77777777" w:rsidR="008105F8" w:rsidRPr="00EC1913" w:rsidRDefault="008105F8" w:rsidP="00F54ACD">
            <w:pPr>
              <w:contextualSpacing/>
              <w:rPr>
                <w:sz w:val="20"/>
                <w:szCs w:val="20"/>
              </w:rPr>
            </w:pPr>
          </w:p>
        </w:tc>
        <w:tc>
          <w:tcPr>
            <w:tcW w:w="974" w:type="dxa"/>
            <w:gridSpan w:val="2"/>
            <w:shd w:val="clear" w:color="auto" w:fill="auto"/>
            <w:noWrap/>
            <w:vAlign w:val="center"/>
            <w:hideMark/>
          </w:tcPr>
          <w:p w14:paraId="147408C0" w14:textId="77777777" w:rsidR="008105F8" w:rsidRPr="00EC1913" w:rsidRDefault="008105F8" w:rsidP="00F54ACD">
            <w:pPr>
              <w:contextualSpacing/>
              <w:rPr>
                <w:sz w:val="20"/>
                <w:szCs w:val="20"/>
              </w:rPr>
            </w:pPr>
          </w:p>
        </w:tc>
        <w:tc>
          <w:tcPr>
            <w:tcW w:w="905" w:type="dxa"/>
            <w:gridSpan w:val="2"/>
            <w:shd w:val="clear" w:color="auto" w:fill="auto"/>
            <w:noWrap/>
            <w:vAlign w:val="center"/>
            <w:hideMark/>
          </w:tcPr>
          <w:p w14:paraId="428077DB" w14:textId="77777777" w:rsidR="008105F8" w:rsidRPr="00EC1913" w:rsidRDefault="008105F8" w:rsidP="00F54ACD">
            <w:pPr>
              <w:contextualSpacing/>
              <w:jc w:val="center"/>
              <w:rPr>
                <w:sz w:val="20"/>
                <w:szCs w:val="20"/>
              </w:rPr>
            </w:pPr>
          </w:p>
        </w:tc>
        <w:tc>
          <w:tcPr>
            <w:tcW w:w="1014" w:type="dxa"/>
            <w:gridSpan w:val="2"/>
            <w:shd w:val="clear" w:color="auto" w:fill="auto"/>
            <w:noWrap/>
            <w:vAlign w:val="center"/>
            <w:hideMark/>
          </w:tcPr>
          <w:p w14:paraId="5582D8AF" w14:textId="77777777" w:rsidR="008105F8" w:rsidRPr="00EC1913" w:rsidRDefault="008105F8" w:rsidP="00F54ACD">
            <w:pPr>
              <w:contextualSpacing/>
              <w:jc w:val="center"/>
              <w:rPr>
                <w:sz w:val="20"/>
                <w:szCs w:val="20"/>
              </w:rPr>
            </w:pPr>
          </w:p>
        </w:tc>
      </w:tr>
      <w:tr w:rsidR="008105F8" w:rsidRPr="00EC1913" w14:paraId="65EEC887" w14:textId="77777777" w:rsidTr="00F54ACD">
        <w:trPr>
          <w:trHeight w:val="166"/>
        </w:trPr>
        <w:tc>
          <w:tcPr>
            <w:tcW w:w="3702" w:type="dxa"/>
            <w:shd w:val="clear" w:color="auto" w:fill="auto"/>
            <w:vAlign w:val="center"/>
            <w:hideMark/>
          </w:tcPr>
          <w:p w14:paraId="2D790EF8" w14:textId="77777777" w:rsidR="008105F8" w:rsidRPr="00EC1913" w:rsidRDefault="008105F8" w:rsidP="00F54ACD">
            <w:pPr>
              <w:contextualSpacing/>
              <w:rPr>
                <w:color w:val="000000"/>
                <w:sz w:val="20"/>
                <w:szCs w:val="20"/>
              </w:rPr>
            </w:pPr>
            <w:r w:rsidRPr="00EC1913">
              <w:rPr>
                <w:color w:val="000000"/>
                <w:sz w:val="20"/>
                <w:szCs w:val="20"/>
              </w:rPr>
              <w:t xml:space="preserve">   Sensation Seeking Scale</w:t>
            </w:r>
          </w:p>
        </w:tc>
        <w:tc>
          <w:tcPr>
            <w:tcW w:w="1120" w:type="dxa"/>
            <w:gridSpan w:val="2"/>
            <w:shd w:val="clear" w:color="auto" w:fill="auto"/>
            <w:noWrap/>
            <w:vAlign w:val="center"/>
            <w:hideMark/>
          </w:tcPr>
          <w:p w14:paraId="1840167D" w14:textId="77777777" w:rsidR="008105F8" w:rsidRPr="00EC1913" w:rsidRDefault="008105F8" w:rsidP="00F54ACD">
            <w:pPr>
              <w:contextualSpacing/>
              <w:jc w:val="center"/>
              <w:rPr>
                <w:color w:val="000000"/>
                <w:sz w:val="20"/>
                <w:szCs w:val="20"/>
              </w:rPr>
            </w:pPr>
            <w:r w:rsidRPr="00EC1913">
              <w:rPr>
                <w:color w:val="000000"/>
                <w:sz w:val="20"/>
                <w:szCs w:val="20"/>
              </w:rPr>
              <w:t>-0.64</w:t>
            </w:r>
          </w:p>
        </w:tc>
        <w:tc>
          <w:tcPr>
            <w:tcW w:w="956" w:type="dxa"/>
            <w:gridSpan w:val="2"/>
            <w:shd w:val="clear" w:color="auto" w:fill="auto"/>
            <w:noWrap/>
            <w:vAlign w:val="center"/>
            <w:hideMark/>
          </w:tcPr>
          <w:p w14:paraId="6DAB7D71" w14:textId="77777777" w:rsidR="008105F8" w:rsidRPr="00EC1913" w:rsidRDefault="008105F8" w:rsidP="00F54ACD">
            <w:pPr>
              <w:contextualSpacing/>
              <w:jc w:val="center"/>
              <w:rPr>
                <w:color w:val="000000"/>
                <w:sz w:val="20"/>
                <w:szCs w:val="20"/>
              </w:rPr>
            </w:pPr>
            <w:r w:rsidRPr="00EC1913">
              <w:rPr>
                <w:color w:val="000000"/>
                <w:sz w:val="20"/>
                <w:szCs w:val="20"/>
              </w:rPr>
              <w:t>0.69</w:t>
            </w:r>
          </w:p>
        </w:tc>
        <w:tc>
          <w:tcPr>
            <w:tcW w:w="1008" w:type="dxa"/>
            <w:gridSpan w:val="2"/>
            <w:shd w:val="clear" w:color="auto" w:fill="auto"/>
            <w:noWrap/>
            <w:vAlign w:val="center"/>
            <w:hideMark/>
          </w:tcPr>
          <w:p w14:paraId="66F8558E" w14:textId="77777777" w:rsidR="008105F8" w:rsidRPr="00EC1913" w:rsidRDefault="008105F8" w:rsidP="00F54ACD">
            <w:pPr>
              <w:contextualSpacing/>
              <w:jc w:val="center"/>
              <w:rPr>
                <w:color w:val="000000"/>
                <w:sz w:val="20"/>
                <w:szCs w:val="20"/>
              </w:rPr>
            </w:pPr>
            <w:r w:rsidRPr="00EC1913">
              <w:rPr>
                <w:color w:val="000000"/>
                <w:sz w:val="20"/>
                <w:szCs w:val="20"/>
              </w:rPr>
              <w:t>0.35</w:t>
            </w:r>
          </w:p>
        </w:tc>
        <w:tc>
          <w:tcPr>
            <w:tcW w:w="1052" w:type="dxa"/>
            <w:gridSpan w:val="2"/>
            <w:shd w:val="clear" w:color="auto" w:fill="auto"/>
            <w:noWrap/>
            <w:vAlign w:val="center"/>
            <w:hideMark/>
          </w:tcPr>
          <w:p w14:paraId="5FF70C04" w14:textId="77777777" w:rsidR="008105F8" w:rsidRPr="00EC1913" w:rsidRDefault="008105F8" w:rsidP="00F54ACD">
            <w:pPr>
              <w:contextualSpacing/>
              <w:jc w:val="center"/>
              <w:rPr>
                <w:color w:val="000000"/>
                <w:sz w:val="20"/>
                <w:szCs w:val="20"/>
              </w:rPr>
            </w:pPr>
            <w:r w:rsidRPr="00EC1913">
              <w:rPr>
                <w:color w:val="000000"/>
                <w:sz w:val="20"/>
                <w:szCs w:val="20"/>
              </w:rPr>
              <w:t>-0.26</w:t>
            </w:r>
          </w:p>
        </w:tc>
        <w:tc>
          <w:tcPr>
            <w:tcW w:w="978" w:type="dxa"/>
            <w:gridSpan w:val="2"/>
            <w:shd w:val="clear" w:color="auto" w:fill="auto"/>
            <w:noWrap/>
            <w:vAlign w:val="center"/>
            <w:hideMark/>
          </w:tcPr>
          <w:p w14:paraId="2394D0B8" w14:textId="77777777" w:rsidR="008105F8" w:rsidRPr="00EC1913" w:rsidRDefault="008105F8" w:rsidP="00F54ACD">
            <w:pPr>
              <w:contextualSpacing/>
              <w:jc w:val="center"/>
              <w:rPr>
                <w:color w:val="000000"/>
                <w:sz w:val="20"/>
                <w:szCs w:val="20"/>
              </w:rPr>
            </w:pPr>
            <w:r w:rsidRPr="00EC1913">
              <w:rPr>
                <w:color w:val="000000"/>
                <w:sz w:val="20"/>
                <w:szCs w:val="20"/>
              </w:rPr>
              <w:t>0.70</w:t>
            </w:r>
          </w:p>
        </w:tc>
        <w:tc>
          <w:tcPr>
            <w:tcW w:w="851" w:type="dxa"/>
            <w:gridSpan w:val="2"/>
            <w:shd w:val="clear" w:color="auto" w:fill="auto"/>
            <w:noWrap/>
            <w:vAlign w:val="center"/>
            <w:hideMark/>
          </w:tcPr>
          <w:p w14:paraId="1F17DF77" w14:textId="77777777" w:rsidR="008105F8" w:rsidRPr="00EC1913" w:rsidRDefault="008105F8" w:rsidP="00F54ACD">
            <w:pPr>
              <w:contextualSpacing/>
              <w:jc w:val="center"/>
              <w:rPr>
                <w:color w:val="000000"/>
                <w:sz w:val="20"/>
                <w:szCs w:val="20"/>
              </w:rPr>
            </w:pPr>
            <w:r w:rsidRPr="00EC1913">
              <w:rPr>
                <w:color w:val="000000"/>
                <w:sz w:val="20"/>
                <w:szCs w:val="20"/>
              </w:rPr>
              <w:t>0.71</w:t>
            </w:r>
          </w:p>
        </w:tc>
        <w:tc>
          <w:tcPr>
            <w:tcW w:w="974" w:type="dxa"/>
            <w:gridSpan w:val="2"/>
            <w:shd w:val="clear" w:color="auto" w:fill="auto"/>
            <w:noWrap/>
            <w:vAlign w:val="center"/>
            <w:hideMark/>
          </w:tcPr>
          <w:p w14:paraId="71E489AE" w14:textId="77777777" w:rsidR="008105F8" w:rsidRPr="00EC1913" w:rsidRDefault="008105F8" w:rsidP="00F54ACD">
            <w:pPr>
              <w:contextualSpacing/>
              <w:jc w:val="center"/>
              <w:rPr>
                <w:color w:val="000000"/>
                <w:sz w:val="20"/>
                <w:szCs w:val="20"/>
              </w:rPr>
            </w:pPr>
            <w:r w:rsidRPr="00EC1913">
              <w:rPr>
                <w:color w:val="000000"/>
                <w:sz w:val="20"/>
                <w:szCs w:val="20"/>
              </w:rPr>
              <w:t>0.38</w:t>
            </w:r>
          </w:p>
        </w:tc>
        <w:tc>
          <w:tcPr>
            <w:tcW w:w="905" w:type="dxa"/>
            <w:gridSpan w:val="2"/>
            <w:shd w:val="clear" w:color="auto" w:fill="auto"/>
            <w:noWrap/>
            <w:vAlign w:val="center"/>
            <w:hideMark/>
          </w:tcPr>
          <w:p w14:paraId="6782D3EA" w14:textId="77777777" w:rsidR="008105F8" w:rsidRPr="00EC1913" w:rsidRDefault="008105F8" w:rsidP="00F54ACD">
            <w:pPr>
              <w:contextualSpacing/>
              <w:jc w:val="center"/>
              <w:rPr>
                <w:color w:val="000000"/>
                <w:sz w:val="20"/>
                <w:szCs w:val="20"/>
              </w:rPr>
            </w:pPr>
            <w:r w:rsidRPr="00EC1913">
              <w:rPr>
                <w:color w:val="000000"/>
                <w:sz w:val="20"/>
                <w:szCs w:val="20"/>
              </w:rPr>
              <w:t>0.72</w:t>
            </w:r>
          </w:p>
        </w:tc>
        <w:tc>
          <w:tcPr>
            <w:tcW w:w="1014" w:type="dxa"/>
            <w:gridSpan w:val="2"/>
            <w:shd w:val="clear" w:color="auto" w:fill="auto"/>
            <w:noWrap/>
            <w:vAlign w:val="center"/>
            <w:hideMark/>
          </w:tcPr>
          <w:p w14:paraId="2108B404" w14:textId="77777777" w:rsidR="008105F8" w:rsidRPr="00EC1913" w:rsidRDefault="008105F8" w:rsidP="00F54ACD">
            <w:pPr>
              <w:contextualSpacing/>
              <w:jc w:val="center"/>
              <w:rPr>
                <w:color w:val="333333"/>
                <w:sz w:val="20"/>
                <w:szCs w:val="20"/>
              </w:rPr>
            </w:pPr>
            <w:r w:rsidRPr="00EC1913">
              <w:rPr>
                <w:color w:val="333333"/>
                <w:sz w:val="20"/>
                <w:szCs w:val="20"/>
              </w:rPr>
              <w:t>0.61</w:t>
            </w:r>
          </w:p>
        </w:tc>
      </w:tr>
      <w:tr w:rsidR="008105F8" w:rsidRPr="00EC1913" w14:paraId="0107316E" w14:textId="77777777" w:rsidTr="00F54ACD">
        <w:trPr>
          <w:trHeight w:val="166"/>
        </w:trPr>
        <w:tc>
          <w:tcPr>
            <w:tcW w:w="3702" w:type="dxa"/>
            <w:shd w:val="clear" w:color="auto" w:fill="auto"/>
            <w:vAlign w:val="center"/>
            <w:hideMark/>
          </w:tcPr>
          <w:p w14:paraId="148FE366" w14:textId="77777777" w:rsidR="008105F8" w:rsidRPr="00EC1913" w:rsidRDefault="008105F8" w:rsidP="00F54ACD">
            <w:pPr>
              <w:contextualSpacing/>
              <w:rPr>
                <w:color w:val="000000"/>
                <w:sz w:val="20"/>
                <w:szCs w:val="20"/>
              </w:rPr>
            </w:pPr>
            <w:r w:rsidRPr="00EC1913">
              <w:rPr>
                <w:color w:val="000000"/>
                <w:sz w:val="20"/>
                <w:szCs w:val="20"/>
              </w:rPr>
              <w:t xml:space="preserve">   Alcohol and Substance Use</w:t>
            </w:r>
          </w:p>
        </w:tc>
        <w:tc>
          <w:tcPr>
            <w:tcW w:w="1120" w:type="dxa"/>
            <w:gridSpan w:val="2"/>
            <w:shd w:val="clear" w:color="auto" w:fill="auto"/>
            <w:noWrap/>
            <w:vAlign w:val="center"/>
            <w:hideMark/>
          </w:tcPr>
          <w:p w14:paraId="6F13794C" w14:textId="77777777" w:rsidR="008105F8" w:rsidRPr="00EC1913" w:rsidRDefault="008105F8" w:rsidP="00F54ACD">
            <w:pPr>
              <w:contextualSpacing/>
              <w:jc w:val="center"/>
              <w:rPr>
                <w:color w:val="000000"/>
                <w:sz w:val="20"/>
                <w:szCs w:val="20"/>
              </w:rPr>
            </w:pPr>
            <w:r w:rsidRPr="00EC1913">
              <w:rPr>
                <w:color w:val="000000"/>
                <w:sz w:val="20"/>
                <w:szCs w:val="20"/>
              </w:rPr>
              <w:t>-0.03</w:t>
            </w:r>
          </w:p>
        </w:tc>
        <w:tc>
          <w:tcPr>
            <w:tcW w:w="956" w:type="dxa"/>
            <w:gridSpan w:val="2"/>
            <w:shd w:val="clear" w:color="auto" w:fill="auto"/>
            <w:noWrap/>
            <w:vAlign w:val="center"/>
            <w:hideMark/>
          </w:tcPr>
          <w:p w14:paraId="5921501E" w14:textId="77777777" w:rsidR="008105F8" w:rsidRPr="00EC1913" w:rsidRDefault="008105F8" w:rsidP="00F54ACD">
            <w:pPr>
              <w:contextualSpacing/>
              <w:jc w:val="center"/>
              <w:rPr>
                <w:color w:val="000000"/>
                <w:sz w:val="20"/>
                <w:szCs w:val="20"/>
              </w:rPr>
            </w:pPr>
            <w:r w:rsidRPr="00EC1913">
              <w:rPr>
                <w:color w:val="000000"/>
                <w:sz w:val="20"/>
                <w:szCs w:val="20"/>
              </w:rPr>
              <w:t>0.62</w:t>
            </w:r>
          </w:p>
        </w:tc>
        <w:tc>
          <w:tcPr>
            <w:tcW w:w="1008" w:type="dxa"/>
            <w:gridSpan w:val="2"/>
            <w:shd w:val="clear" w:color="auto" w:fill="auto"/>
            <w:noWrap/>
            <w:vAlign w:val="center"/>
            <w:hideMark/>
          </w:tcPr>
          <w:p w14:paraId="6E0B844F" w14:textId="77777777" w:rsidR="008105F8" w:rsidRPr="00EC1913" w:rsidRDefault="008105F8" w:rsidP="00F54ACD">
            <w:pPr>
              <w:contextualSpacing/>
              <w:jc w:val="center"/>
              <w:rPr>
                <w:color w:val="000000"/>
                <w:sz w:val="20"/>
                <w:szCs w:val="20"/>
              </w:rPr>
            </w:pPr>
            <w:r w:rsidRPr="00EC1913">
              <w:rPr>
                <w:color w:val="000000"/>
                <w:sz w:val="20"/>
                <w:szCs w:val="20"/>
              </w:rPr>
              <w:t>0.96</w:t>
            </w:r>
          </w:p>
        </w:tc>
        <w:tc>
          <w:tcPr>
            <w:tcW w:w="1052" w:type="dxa"/>
            <w:gridSpan w:val="2"/>
            <w:shd w:val="clear" w:color="auto" w:fill="auto"/>
            <w:noWrap/>
            <w:vAlign w:val="center"/>
            <w:hideMark/>
          </w:tcPr>
          <w:p w14:paraId="4ADFBCBD" w14:textId="77777777" w:rsidR="008105F8" w:rsidRPr="00EC1913" w:rsidRDefault="008105F8" w:rsidP="00F54ACD">
            <w:pPr>
              <w:contextualSpacing/>
              <w:jc w:val="center"/>
              <w:rPr>
                <w:color w:val="000000"/>
                <w:sz w:val="20"/>
                <w:szCs w:val="20"/>
              </w:rPr>
            </w:pPr>
            <w:r w:rsidRPr="00EC1913">
              <w:rPr>
                <w:color w:val="000000"/>
                <w:sz w:val="20"/>
                <w:szCs w:val="20"/>
              </w:rPr>
              <w:t>0.50</w:t>
            </w:r>
          </w:p>
        </w:tc>
        <w:tc>
          <w:tcPr>
            <w:tcW w:w="978" w:type="dxa"/>
            <w:gridSpan w:val="2"/>
            <w:shd w:val="clear" w:color="auto" w:fill="auto"/>
            <w:noWrap/>
            <w:vAlign w:val="center"/>
            <w:hideMark/>
          </w:tcPr>
          <w:p w14:paraId="04588A30" w14:textId="77777777" w:rsidR="008105F8" w:rsidRPr="00EC1913" w:rsidRDefault="008105F8" w:rsidP="00F54ACD">
            <w:pPr>
              <w:contextualSpacing/>
              <w:jc w:val="center"/>
              <w:rPr>
                <w:color w:val="000000"/>
                <w:sz w:val="20"/>
                <w:szCs w:val="20"/>
              </w:rPr>
            </w:pPr>
            <w:r w:rsidRPr="00EC1913">
              <w:rPr>
                <w:color w:val="000000"/>
                <w:sz w:val="20"/>
                <w:szCs w:val="20"/>
              </w:rPr>
              <w:t>0.64</w:t>
            </w:r>
          </w:p>
        </w:tc>
        <w:tc>
          <w:tcPr>
            <w:tcW w:w="851" w:type="dxa"/>
            <w:gridSpan w:val="2"/>
            <w:shd w:val="clear" w:color="auto" w:fill="auto"/>
            <w:noWrap/>
            <w:vAlign w:val="center"/>
            <w:hideMark/>
          </w:tcPr>
          <w:p w14:paraId="53B9F9A6" w14:textId="77777777" w:rsidR="008105F8" w:rsidRPr="00EC1913" w:rsidRDefault="008105F8" w:rsidP="00F54ACD">
            <w:pPr>
              <w:contextualSpacing/>
              <w:jc w:val="center"/>
              <w:rPr>
                <w:color w:val="000000"/>
                <w:sz w:val="20"/>
                <w:szCs w:val="20"/>
              </w:rPr>
            </w:pPr>
            <w:r w:rsidRPr="00EC1913">
              <w:rPr>
                <w:color w:val="000000"/>
                <w:sz w:val="20"/>
                <w:szCs w:val="20"/>
              </w:rPr>
              <w:t>0.43</w:t>
            </w:r>
          </w:p>
        </w:tc>
        <w:tc>
          <w:tcPr>
            <w:tcW w:w="974" w:type="dxa"/>
            <w:gridSpan w:val="2"/>
            <w:shd w:val="clear" w:color="auto" w:fill="auto"/>
            <w:noWrap/>
            <w:vAlign w:val="center"/>
            <w:hideMark/>
          </w:tcPr>
          <w:p w14:paraId="20AB4793" w14:textId="77777777" w:rsidR="008105F8" w:rsidRPr="00EC1913" w:rsidRDefault="008105F8" w:rsidP="00F54ACD">
            <w:pPr>
              <w:contextualSpacing/>
              <w:jc w:val="center"/>
              <w:rPr>
                <w:color w:val="000000"/>
                <w:sz w:val="20"/>
                <w:szCs w:val="20"/>
              </w:rPr>
            </w:pPr>
            <w:r w:rsidRPr="00EC1913">
              <w:rPr>
                <w:color w:val="000000"/>
                <w:sz w:val="20"/>
                <w:szCs w:val="20"/>
              </w:rPr>
              <w:t>0.53</w:t>
            </w:r>
          </w:p>
        </w:tc>
        <w:tc>
          <w:tcPr>
            <w:tcW w:w="905" w:type="dxa"/>
            <w:gridSpan w:val="2"/>
            <w:shd w:val="clear" w:color="auto" w:fill="auto"/>
            <w:noWrap/>
            <w:vAlign w:val="center"/>
            <w:hideMark/>
          </w:tcPr>
          <w:p w14:paraId="65E585F3" w14:textId="77777777" w:rsidR="008105F8" w:rsidRPr="00EC1913" w:rsidRDefault="008105F8" w:rsidP="00F54ACD">
            <w:pPr>
              <w:contextualSpacing/>
              <w:jc w:val="center"/>
              <w:rPr>
                <w:color w:val="000000"/>
                <w:sz w:val="20"/>
                <w:szCs w:val="20"/>
              </w:rPr>
            </w:pPr>
            <w:r w:rsidRPr="00EC1913">
              <w:rPr>
                <w:color w:val="000000"/>
                <w:sz w:val="20"/>
                <w:szCs w:val="20"/>
              </w:rPr>
              <w:t>0.65</w:t>
            </w:r>
          </w:p>
        </w:tc>
        <w:tc>
          <w:tcPr>
            <w:tcW w:w="1014" w:type="dxa"/>
            <w:gridSpan w:val="2"/>
            <w:shd w:val="clear" w:color="auto" w:fill="auto"/>
            <w:noWrap/>
            <w:vAlign w:val="center"/>
            <w:hideMark/>
          </w:tcPr>
          <w:p w14:paraId="3150BA48" w14:textId="77777777" w:rsidR="008105F8" w:rsidRPr="00EC1913" w:rsidRDefault="008105F8" w:rsidP="00F54ACD">
            <w:pPr>
              <w:contextualSpacing/>
              <w:jc w:val="center"/>
              <w:rPr>
                <w:color w:val="333333"/>
                <w:sz w:val="20"/>
                <w:szCs w:val="20"/>
              </w:rPr>
            </w:pPr>
            <w:r w:rsidRPr="00EC1913">
              <w:rPr>
                <w:color w:val="333333"/>
                <w:sz w:val="20"/>
                <w:szCs w:val="20"/>
              </w:rPr>
              <w:t>0.42</w:t>
            </w:r>
          </w:p>
        </w:tc>
      </w:tr>
      <w:tr w:rsidR="008105F8" w:rsidRPr="00EC1913" w14:paraId="26AEF897" w14:textId="77777777" w:rsidTr="00F54ACD">
        <w:trPr>
          <w:trHeight w:val="166"/>
        </w:trPr>
        <w:tc>
          <w:tcPr>
            <w:tcW w:w="3702" w:type="dxa"/>
            <w:shd w:val="clear" w:color="auto" w:fill="auto"/>
            <w:vAlign w:val="center"/>
            <w:hideMark/>
          </w:tcPr>
          <w:p w14:paraId="0BFFF133" w14:textId="77777777" w:rsidR="008105F8" w:rsidRPr="00EC1913" w:rsidRDefault="008105F8" w:rsidP="00F54ACD">
            <w:pPr>
              <w:contextualSpacing/>
              <w:rPr>
                <w:color w:val="000000"/>
                <w:sz w:val="20"/>
                <w:szCs w:val="20"/>
              </w:rPr>
            </w:pPr>
            <w:r w:rsidRPr="00EC1913">
              <w:rPr>
                <w:color w:val="000000"/>
                <w:sz w:val="20"/>
                <w:szCs w:val="20"/>
              </w:rPr>
              <w:t xml:space="preserve">   Composite*</w:t>
            </w:r>
          </w:p>
        </w:tc>
        <w:tc>
          <w:tcPr>
            <w:tcW w:w="1120" w:type="dxa"/>
            <w:gridSpan w:val="2"/>
            <w:shd w:val="clear" w:color="auto" w:fill="auto"/>
            <w:noWrap/>
            <w:vAlign w:val="center"/>
            <w:hideMark/>
          </w:tcPr>
          <w:p w14:paraId="74D4F9C2" w14:textId="77777777" w:rsidR="008105F8" w:rsidRPr="00EC1913" w:rsidRDefault="008105F8" w:rsidP="00F54ACD">
            <w:pPr>
              <w:contextualSpacing/>
              <w:jc w:val="center"/>
              <w:rPr>
                <w:color w:val="000000"/>
                <w:sz w:val="20"/>
                <w:szCs w:val="20"/>
              </w:rPr>
            </w:pPr>
            <w:r w:rsidRPr="00EC1913">
              <w:rPr>
                <w:color w:val="000000"/>
                <w:sz w:val="20"/>
                <w:szCs w:val="20"/>
              </w:rPr>
              <w:t>-0.06</w:t>
            </w:r>
          </w:p>
        </w:tc>
        <w:tc>
          <w:tcPr>
            <w:tcW w:w="956" w:type="dxa"/>
            <w:gridSpan w:val="2"/>
            <w:shd w:val="clear" w:color="auto" w:fill="auto"/>
            <w:noWrap/>
            <w:vAlign w:val="center"/>
            <w:hideMark/>
          </w:tcPr>
          <w:p w14:paraId="297E70B7" w14:textId="77777777" w:rsidR="008105F8" w:rsidRPr="00EC1913" w:rsidRDefault="008105F8" w:rsidP="00F54ACD">
            <w:pPr>
              <w:contextualSpacing/>
              <w:jc w:val="center"/>
              <w:rPr>
                <w:color w:val="000000"/>
                <w:sz w:val="20"/>
                <w:szCs w:val="20"/>
              </w:rPr>
            </w:pPr>
            <w:r w:rsidRPr="00EC1913">
              <w:rPr>
                <w:color w:val="000000"/>
                <w:sz w:val="20"/>
                <w:szCs w:val="20"/>
              </w:rPr>
              <w:t>0.07</w:t>
            </w:r>
          </w:p>
        </w:tc>
        <w:tc>
          <w:tcPr>
            <w:tcW w:w="1008" w:type="dxa"/>
            <w:gridSpan w:val="2"/>
            <w:shd w:val="clear" w:color="auto" w:fill="auto"/>
            <w:noWrap/>
            <w:vAlign w:val="center"/>
            <w:hideMark/>
          </w:tcPr>
          <w:p w14:paraId="72B6E7A1" w14:textId="77777777" w:rsidR="008105F8" w:rsidRPr="00EC1913" w:rsidRDefault="008105F8" w:rsidP="00F54ACD">
            <w:pPr>
              <w:contextualSpacing/>
              <w:jc w:val="center"/>
              <w:rPr>
                <w:color w:val="000000"/>
                <w:sz w:val="20"/>
                <w:szCs w:val="20"/>
              </w:rPr>
            </w:pPr>
            <w:r w:rsidRPr="00EC1913">
              <w:rPr>
                <w:color w:val="000000"/>
                <w:sz w:val="20"/>
                <w:szCs w:val="20"/>
              </w:rPr>
              <w:t>0.41</w:t>
            </w:r>
          </w:p>
        </w:tc>
        <w:tc>
          <w:tcPr>
            <w:tcW w:w="1052" w:type="dxa"/>
            <w:gridSpan w:val="2"/>
            <w:shd w:val="clear" w:color="auto" w:fill="auto"/>
            <w:noWrap/>
            <w:vAlign w:val="center"/>
            <w:hideMark/>
          </w:tcPr>
          <w:p w14:paraId="6DE112CE" w14:textId="77777777" w:rsidR="008105F8" w:rsidRPr="00EC1913" w:rsidRDefault="008105F8" w:rsidP="00F54ACD">
            <w:pPr>
              <w:contextualSpacing/>
              <w:jc w:val="center"/>
              <w:rPr>
                <w:color w:val="000000"/>
                <w:sz w:val="20"/>
                <w:szCs w:val="20"/>
              </w:rPr>
            </w:pPr>
            <w:r w:rsidRPr="00EC1913">
              <w:rPr>
                <w:color w:val="000000"/>
                <w:sz w:val="20"/>
                <w:szCs w:val="20"/>
              </w:rPr>
              <w:t>0.01</w:t>
            </w:r>
          </w:p>
        </w:tc>
        <w:tc>
          <w:tcPr>
            <w:tcW w:w="978" w:type="dxa"/>
            <w:gridSpan w:val="2"/>
            <w:shd w:val="clear" w:color="auto" w:fill="auto"/>
            <w:noWrap/>
            <w:vAlign w:val="center"/>
            <w:hideMark/>
          </w:tcPr>
          <w:p w14:paraId="6E9B6AD6" w14:textId="77777777" w:rsidR="008105F8" w:rsidRPr="00EC1913" w:rsidRDefault="008105F8" w:rsidP="00F54ACD">
            <w:pPr>
              <w:contextualSpacing/>
              <w:jc w:val="center"/>
              <w:rPr>
                <w:color w:val="000000"/>
                <w:sz w:val="20"/>
                <w:szCs w:val="20"/>
              </w:rPr>
            </w:pPr>
            <w:r w:rsidRPr="00EC1913">
              <w:rPr>
                <w:color w:val="000000"/>
                <w:sz w:val="20"/>
                <w:szCs w:val="20"/>
              </w:rPr>
              <w:t>0.07</w:t>
            </w:r>
          </w:p>
        </w:tc>
        <w:tc>
          <w:tcPr>
            <w:tcW w:w="851" w:type="dxa"/>
            <w:gridSpan w:val="2"/>
            <w:shd w:val="clear" w:color="auto" w:fill="auto"/>
            <w:noWrap/>
            <w:vAlign w:val="center"/>
            <w:hideMark/>
          </w:tcPr>
          <w:p w14:paraId="5B5E7346" w14:textId="77777777" w:rsidR="008105F8" w:rsidRPr="00EC1913" w:rsidRDefault="008105F8" w:rsidP="00F54ACD">
            <w:pPr>
              <w:contextualSpacing/>
              <w:jc w:val="center"/>
              <w:rPr>
                <w:color w:val="000000"/>
                <w:sz w:val="20"/>
                <w:szCs w:val="20"/>
              </w:rPr>
            </w:pPr>
            <w:r w:rsidRPr="00EC1913">
              <w:rPr>
                <w:color w:val="000000"/>
                <w:sz w:val="20"/>
                <w:szCs w:val="20"/>
              </w:rPr>
              <w:t>0.83</w:t>
            </w:r>
          </w:p>
        </w:tc>
        <w:tc>
          <w:tcPr>
            <w:tcW w:w="974" w:type="dxa"/>
            <w:gridSpan w:val="2"/>
            <w:shd w:val="clear" w:color="auto" w:fill="auto"/>
            <w:noWrap/>
            <w:vAlign w:val="center"/>
            <w:hideMark/>
          </w:tcPr>
          <w:p w14:paraId="5179350C" w14:textId="77777777" w:rsidR="008105F8" w:rsidRPr="00EC1913" w:rsidRDefault="008105F8" w:rsidP="00F54ACD">
            <w:pPr>
              <w:contextualSpacing/>
              <w:jc w:val="center"/>
              <w:rPr>
                <w:color w:val="000000"/>
                <w:sz w:val="20"/>
                <w:szCs w:val="20"/>
              </w:rPr>
            </w:pPr>
            <w:r w:rsidRPr="00EC1913">
              <w:rPr>
                <w:color w:val="000000"/>
                <w:sz w:val="20"/>
                <w:szCs w:val="20"/>
              </w:rPr>
              <w:t>0.07</w:t>
            </w:r>
          </w:p>
        </w:tc>
        <w:tc>
          <w:tcPr>
            <w:tcW w:w="905" w:type="dxa"/>
            <w:gridSpan w:val="2"/>
            <w:shd w:val="clear" w:color="auto" w:fill="auto"/>
            <w:noWrap/>
            <w:vAlign w:val="center"/>
            <w:hideMark/>
          </w:tcPr>
          <w:p w14:paraId="31F4E76D" w14:textId="77777777" w:rsidR="008105F8" w:rsidRPr="00EC1913" w:rsidRDefault="008105F8" w:rsidP="00F54ACD">
            <w:pPr>
              <w:contextualSpacing/>
              <w:jc w:val="center"/>
              <w:rPr>
                <w:color w:val="000000"/>
                <w:sz w:val="20"/>
                <w:szCs w:val="20"/>
              </w:rPr>
            </w:pPr>
            <w:r w:rsidRPr="00EC1913">
              <w:rPr>
                <w:color w:val="000000"/>
                <w:sz w:val="20"/>
                <w:szCs w:val="20"/>
              </w:rPr>
              <w:t>0.07</w:t>
            </w:r>
          </w:p>
        </w:tc>
        <w:tc>
          <w:tcPr>
            <w:tcW w:w="1014" w:type="dxa"/>
            <w:gridSpan w:val="2"/>
            <w:shd w:val="clear" w:color="auto" w:fill="auto"/>
            <w:noWrap/>
            <w:vAlign w:val="center"/>
            <w:hideMark/>
          </w:tcPr>
          <w:p w14:paraId="1B5F00D0" w14:textId="77777777" w:rsidR="008105F8" w:rsidRPr="00EC1913" w:rsidRDefault="008105F8" w:rsidP="00F54ACD">
            <w:pPr>
              <w:contextualSpacing/>
              <w:jc w:val="center"/>
              <w:rPr>
                <w:color w:val="333333"/>
                <w:sz w:val="20"/>
                <w:szCs w:val="20"/>
              </w:rPr>
            </w:pPr>
            <w:r w:rsidRPr="00EC1913">
              <w:rPr>
                <w:color w:val="333333"/>
                <w:sz w:val="20"/>
                <w:szCs w:val="20"/>
              </w:rPr>
              <w:t>0.32</w:t>
            </w:r>
          </w:p>
        </w:tc>
      </w:tr>
      <w:tr w:rsidR="008105F8" w:rsidRPr="00EC1913" w14:paraId="6774D5FC" w14:textId="77777777" w:rsidTr="00F54ACD">
        <w:trPr>
          <w:trHeight w:val="166"/>
        </w:trPr>
        <w:tc>
          <w:tcPr>
            <w:tcW w:w="3702" w:type="dxa"/>
            <w:shd w:val="clear" w:color="auto" w:fill="auto"/>
            <w:vAlign w:val="center"/>
            <w:hideMark/>
          </w:tcPr>
          <w:p w14:paraId="21838835" w14:textId="77777777" w:rsidR="008105F8" w:rsidRPr="00EC1913" w:rsidRDefault="008105F8" w:rsidP="00F54ACD">
            <w:pPr>
              <w:contextualSpacing/>
              <w:rPr>
                <w:i/>
                <w:iCs/>
                <w:color w:val="000000"/>
                <w:sz w:val="20"/>
                <w:szCs w:val="20"/>
              </w:rPr>
            </w:pPr>
            <w:r w:rsidRPr="00EC1913">
              <w:rPr>
                <w:i/>
                <w:iCs/>
                <w:color w:val="000000"/>
                <w:sz w:val="20"/>
                <w:szCs w:val="20"/>
              </w:rPr>
              <w:t>Social health:</w:t>
            </w:r>
          </w:p>
        </w:tc>
        <w:tc>
          <w:tcPr>
            <w:tcW w:w="1120" w:type="dxa"/>
            <w:gridSpan w:val="2"/>
            <w:shd w:val="clear" w:color="auto" w:fill="auto"/>
            <w:noWrap/>
            <w:vAlign w:val="bottom"/>
            <w:hideMark/>
          </w:tcPr>
          <w:p w14:paraId="4E0D1A71" w14:textId="77777777" w:rsidR="008105F8" w:rsidRPr="00EC1913" w:rsidRDefault="008105F8" w:rsidP="00F54ACD">
            <w:pPr>
              <w:contextualSpacing/>
              <w:rPr>
                <w:i/>
                <w:iCs/>
                <w:color w:val="000000"/>
                <w:sz w:val="20"/>
                <w:szCs w:val="20"/>
              </w:rPr>
            </w:pPr>
          </w:p>
        </w:tc>
        <w:tc>
          <w:tcPr>
            <w:tcW w:w="956" w:type="dxa"/>
            <w:gridSpan w:val="2"/>
            <w:shd w:val="clear" w:color="auto" w:fill="auto"/>
            <w:noWrap/>
            <w:vAlign w:val="bottom"/>
            <w:hideMark/>
          </w:tcPr>
          <w:p w14:paraId="67BC3BF0" w14:textId="77777777" w:rsidR="008105F8" w:rsidRPr="00EC1913" w:rsidRDefault="008105F8" w:rsidP="00F54ACD">
            <w:pPr>
              <w:contextualSpacing/>
              <w:rPr>
                <w:sz w:val="20"/>
                <w:szCs w:val="20"/>
              </w:rPr>
            </w:pPr>
          </w:p>
        </w:tc>
        <w:tc>
          <w:tcPr>
            <w:tcW w:w="1008" w:type="dxa"/>
            <w:gridSpan w:val="2"/>
            <w:shd w:val="clear" w:color="auto" w:fill="auto"/>
            <w:noWrap/>
            <w:vAlign w:val="bottom"/>
            <w:hideMark/>
          </w:tcPr>
          <w:p w14:paraId="3B544CB1" w14:textId="77777777" w:rsidR="008105F8" w:rsidRPr="00EC1913" w:rsidRDefault="008105F8" w:rsidP="00F54ACD">
            <w:pPr>
              <w:contextualSpacing/>
              <w:rPr>
                <w:sz w:val="20"/>
                <w:szCs w:val="20"/>
              </w:rPr>
            </w:pPr>
          </w:p>
        </w:tc>
        <w:tc>
          <w:tcPr>
            <w:tcW w:w="1052" w:type="dxa"/>
            <w:gridSpan w:val="2"/>
            <w:shd w:val="clear" w:color="auto" w:fill="auto"/>
            <w:noWrap/>
            <w:vAlign w:val="bottom"/>
            <w:hideMark/>
          </w:tcPr>
          <w:p w14:paraId="2C0EE85C" w14:textId="77777777" w:rsidR="008105F8" w:rsidRPr="00EC1913" w:rsidRDefault="008105F8" w:rsidP="00F54ACD">
            <w:pPr>
              <w:contextualSpacing/>
              <w:rPr>
                <w:sz w:val="20"/>
                <w:szCs w:val="20"/>
              </w:rPr>
            </w:pPr>
          </w:p>
        </w:tc>
        <w:tc>
          <w:tcPr>
            <w:tcW w:w="978" w:type="dxa"/>
            <w:gridSpan w:val="2"/>
            <w:shd w:val="clear" w:color="auto" w:fill="auto"/>
            <w:noWrap/>
            <w:vAlign w:val="bottom"/>
            <w:hideMark/>
          </w:tcPr>
          <w:p w14:paraId="52F4E4E4" w14:textId="77777777" w:rsidR="008105F8" w:rsidRPr="00EC1913" w:rsidRDefault="008105F8" w:rsidP="00F54ACD">
            <w:pPr>
              <w:contextualSpacing/>
              <w:rPr>
                <w:sz w:val="20"/>
                <w:szCs w:val="20"/>
              </w:rPr>
            </w:pPr>
          </w:p>
        </w:tc>
        <w:tc>
          <w:tcPr>
            <w:tcW w:w="851" w:type="dxa"/>
            <w:gridSpan w:val="2"/>
            <w:shd w:val="clear" w:color="auto" w:fill="auto"/>
            <w:noWrap/>
            <w:vAlign w:val="bottom"/>
            <w:hideMark/>
          </w:tcPr>
          <w:p w14:paraId="17FDE602" w14:textId="77777777" w:rsidR="008105F8" w:rsidRPr="00EC1913" w:rsidRDefault="008105F8" w:rsidP="00F54ACD">
            <w:pPr>
              <w:contextualSpacing/>
              <w:rPr>
                <w:sz w:val="20"/>
                <w:szCs w:val="20"/>
              </w:rPr>
            </w:pPr>
          </w:p>
        </w:tc>
        <w:tc>
          <w:tcPr>
            <w:tcW w:w="974" w:type="dxa"/>
            <w:gridSpan w:val="2"/>
            <w:shd w:val="clear" w:color="auto" w:fill="auto"/>
            <w:noWrap/>
            <w:vAlign w:val="center"/>
            <w:hideMark/>
          </w:tcPr>
          <w:p w14:paraId="026D92C7" w14:textId="77777777" w:rsidR="008105F8" w:rsidRPr="00EC1913" w:rsidRDefault="008105F8" w:rsidP="00F54ACD">
            <w:pPr>
              <w:contextualSpacing/>
              <w:rPr>
                <w:sz w:val="20"/>
                <w:szCs w:val="20"/>
              </w:rPr>
            </w:pPr>
          </w:p>
        </w:tc>
        <w:tc>
          <w:tcPr>
            <w:tcW w:w="905" w:type="dxa"/>
            <w:gridSpan w:val="2"/>
            <w:shd w:val="clear" w:color="auto" w:fill="auto"/>
            <w:noWrap/>
            <w:vAlign w:val="center"/>
            <w:hideMark/>
          </w:tcPr>
          <w:p w14:paraId="40A48AAD" w14:textId="77777777" w:rsidR="008105F8" w:rsidRPr="00EC1913" w:rsidRDefault="008105F8" w:rsidP="00F54ACD">
            <w:pPr>
              <w:contextualSpacing/>
              <w:jc w:val="center"/>
              <w:rPr>
                <w:sz w:val="20"/>
                <w:szCs w:val="20"/>
              </w:rPr>
            </w:pPr>
          </w:p>
        </w:tc>
        <w:tc>
          <w:tcPr>
            <w:tcW w:w="1014" w:type="dxa"/>
            <w:gridSpan w:val="2"/>
            <w:shd w:val="clear" w:color="auto" w:fill="auto"/>
            <w:noWrap/>
            <w:vAlign w:val="center"/>
            <w:hideMark/>
          </w:tcPr>
          <w:p w14:paraId="0368D30A" w14:textId="77777777" w:rsidR="008105F8" w:rsidRPr="00EC1913" w:rsidRDefault="008105F8" w:rsidP="00F54ACD">
            <w:pPr>
              <w:contextualSpacing/>
              <w:jc w:val="center"/>
              <w:rPr>
                <w:sz w:val="20"/>
                <w:szCs w:val="20"/>
              </w:rPr>
            </w:pPr>
          </w:p>
        </w:tc>
      </w:tr>
      <w:tr w:rsidR="008105F8" w:rsidRPr="00EC1913" w14:paraId="78DA21DE" w14:textId="77777777" w:rsidTr="00F54ACD">
        <w:trPr>
          <w:trHeight w:val="166"/>
        </w:trPr>
        <w:tc>
          <w:tcPr>
            <w:tcW w:w="3702" w:type="dxa"/>
            <w:shd w:val="clear" w:color="auto" w:fill="auto"/>
            <w:vAlign w:val="center"/>
            <w:hideMark/>
          </w:tcPr>
          <w:p w14:paraId="08421CF6" w14:textId="77777777" w:rsidR="008105F8" w:rsidRPr="00EC1913" w:rsidRDefault="008105F8" w:rsidP="00F54ACD">
            <w:pPr>
              <w:contextualSpacing/>
              <w:rPr>
                <w:color w:val="000000"/>
                <w:sz w:val="20"/>
                <w:szCs w:val="20"/>
              </w:rPr>
            </w:pPr>
            <w:r w:rsidRPr="00EC1913">
              <w:rPr>
                <w:color w:val="000000"/>
                <w:sz w:val="20"/>
                <w:szCs w:val="20"/>
              </w:rPr>
              <w:t xml:space="preserve">   </w:t>
            </w:r>
            <w:proofErr w:type="spellStart"/>
            <w:r w:rsidRPr="00EC1913">
              <w:rPr>
                <w:color w:val="000000"/>
                <w:sz w:val="20"/>
                <w:szCs w:val="20"/>
              </w:rPr>
              <w:t>YSAS</w:t>
            </w:r>
            <w:proofErr w:type="spellEnd"/>
            <w:r w:rsidRPr="00EC1913">
              <w:rPr>
                <w:color w:val="000000"/>
                <w:sz w:val="20"/>
                <w:szCs w:val="20"/>
              </w:rPr>
              <w:t>: Friends</w:t>
            </w:r>
          </w:p>
        </w:tc>
        <w:tc>
          <w:tcPr>
            <w:tcW w:w="1120" w:type="dxa"/>
            <w:gridSpan w:val="2"/>
            <w:shd w:val="clear" w:color="auto" w:fill="auto"/>
            <w:noWrap/>
            <w:vAlign w:val="center"/>
            <w:hideMark/>
          </w:tcPr>
          <w:p w14:paraId="6B5DB8DF" w14:textId="77777777" w:rsidR="008105F8" w:rsidRPr="00EC1913" w:rsidRDefault="008105F8" w:rsidP="00F54ACD">
            <w:pPr>
              <w:contextualSpacing/>
              <w:jc w:val="center"/>
              <w:rPr>
                <w:color w:val="000000"/>
                <w:sz w:val="20"/>
                <w:szCs w:val="20"/>
              </w:rPr>
            </w:pPr>
            <w:r w:rsidRPr="00EC1913">
              <w:rPr>
                <w:color w:val="000000"/>
                <w:sz w:val="20"/>
                <w:szCs w:val="20"/>
              </w:rPr>
              <w:t>-0.80</w:t>
            </w:r>
          </w:p>
        </w:tc>
        <w:tc>
          <w:tcPr>
            <w:tcW w:w="956" w:type="dxa"/>
            <w:gridSpan w:val="2"/>
            <w:shd w:val="clear" w:color="auto" w:fill="auto"/>
            <w:noWrap/>
            <w:vAlign w:val="center"/>
            <w:hideMark/>
          </w:tcPr>
          <w:p w14:paraId="058A2300" w14:textId="77777777" w:rsidR="008105F8" w:rsidRPr="00EC1913" w:rsidRDefault="008105F8" w:rsidP="00F54ACD">
            <w:pPr>
              <w:contextualSpacing/>
              <w:jc w:val="center"/>
              <w:rPr>
                <w:color w:val="000000"/>
                <w:sz w:val="20"/>
                <w:szCs w:val="20"/>
              </w:rPr>
            </w:pPr>
            <w:r w:rsidRPr="00EC1913">
              <w:rPr>
                <w:color w:val="000000"/>
                <w:sz w:val="20"/>
                <w:szCs w:val="20"/>
              </w:rPr>
              <w:t>0.67</w:t>
            </w:r>
          </w:p>
        </w:tc>
        <w:tc>
          <w:tcPr>
            <w:tcW w:w="1008" w:type="dxa"/>
            <w:gridSpan w:val="2"/>
            <w:shd w:val="clear" w:color="auto" w:fill="auto"/>
            <w:noWrap/>
            <w:vAlign w:val="center"/>
            <w:hideMark/>
          </w:tcPr>
          <w:p w14:paraId="1F6D5E57" w14:textId="77777777" w:rsidR="008105F8" w:rsidRPr="00EC1913" w:rsidRDefault="008105F8" w:rsidP="00F54ACD">
            <w:pPr>
              <w:contextualSpacing/>
              <w:jc w:val="center"/>
              <w:rPr>
                <w:color w:val="000000"/>
                <w:sz w:val="20"/>
                <w:szCs w:val="20"/>
              </w:rPr>
            </w:pPr>
            <w:r w:rsidRPr="00EC1913">
              <w:rPr>
                <w:color w:val="000000"/>
                <w:sz w:val="20"/>
                <w:szCs w:val="20"/>
              </w:rPr>
              <w:t>0.24</w:t>
            </w:r>
          </w:p>
        </w:tc>
        <w:tc>
          <w:tcPr>
            <w:tcW w:w="1052" w:type="dxa"/>
            <w:gridSpan w:val="2"/>
            <w:shd w:val="clear" w:color="auto" w:fill="auto"/>
            <w:noWrap/>
            <w:vAlign w:val="center"/>
            <w:hideMark/>
          </w:tcPr>
          <w:p w14:paraId="41C8F0F1" w14:textId="77777777" w:rsidR="008105F8" w:rsidRPr="00EC1913" w:rsidRDefault="008105F8" w:rsidP="00F54ACD">
            <w:pPr>
              <w:contextualSpacing/>
              <w:jc w:val="center"/>
              <w:rPr>
                <w:color w:val="000000"/>
                <w:sz w:val="20"/>
                <w:szCs w:val="20"/>
              </w:rPr>
            </w:pPr>
            <w:r w:rsidRPr="00EC1913">
              <w:rPr>
                <w:color w:val="000000"/>
                <w:sz w:val="20"/>
                <w:szCs w:val="20"/>
              </w:rPr>
              <w:t>0.39</w:t>
            </w:r>
          </w:p>
        </w:tc>
        <w:tc>
          <w:tcPr>
            <w:tcW w:w="978" w:type="dxa"/>
            <w:gridSpan w:val="2"/>
            <w:shd w:val="clear" w:color="auto" w:fill="auto"/>
            <w:noWrap/>
            <w:vAlign w:val="center"/>
            <w:hideMark/>
          </w:tcPr>
          <w:p w14:paraId="54D03660" w14:textId="77777777" w:rsidR="008105F8" w:rsidRPr="00EC1913" w:rsidRDefault="008105F8" w:rsidP="00F54ACD">
            <w:pPr>
              <w:contextualSpacing/>
              <w:jc w:val="center"/>
              <w:rPr>
                <w:color w:val="000000"/>
                <w:sz w:val="20"/>
                <w:szCs w:val="20"/>
              </w:rPr>
            </w:pPr>
            <w:r w:rsidRPr="00EC1913">
              <w:rPr>
                <w:color w:val="000000"/>
                <w:sz w:val="20"/>
                <w:szCs w:val="20"/>
              </w:rPr>
              <w:t>0.69</w:t>
            </w:r>
          </w:p>
        </w:tc>
        <w:tc>
          <w:tcPr>
            <w:tcW w:w="851" w:type="dxa"/>
            <w:gridSpan w:val="2"/>
            <w:shd w:val="clear" w:color="auto" w:fill="auto"/>
            <w:noWrap/>
            <w:vAlign w:val="center"/>
            <w:hideMark/>
          </w:tcPr>
          <w:p w14:paraId="52C2DF22" w14:textId="77777777" w:rsidR="008105F8" w:rsidRPr="00EC1913" w:rsidRDefault="008105F8" w:rsidP="00F54ACD">
            <w:pPr>
              <w:contextualSpacing/>
              <w:jc w:val="center"/>
              <w:rPr>
                <w:color w:val="000000"/>
                <w:sz w:val="20"/>
                <w:szCs w:val="20"/>
              </w:rPr>
            </w:pPr>
            <w:r w:rsidRPr="00EC1913">
              <w:rPr>
                <w:color w:val="000000"/>
                <w:sz w:val="20"/>
                <w:szCs w:val="20"/>
              </w:rPr>
              <w:t>0.57</w:t>
            </w:r>
          </w:p>
        </w:tc>
        <w:tc>
          <w:tcPr>
            <w:tcW w:w="974" w:type="dxa"/>
            <w:gridSpan w:val="2"/>
            <w:shd w:val="clear" w:color="auto" w:fill="auto"/>
            <w:noWrap/>
            <w:vAlign w:val="center"/>
            <w:hideMark/>
          </w:tcPr>
          <w:p w14:paraId="18F70886" w14:textId="77777777" w:rsidR="008105F8" w:rsidRPr="00EC1913" w:rsidRDefault="008105F8" w:rsidP="00F54ACD">
            <w:pPr>
              <w:contextualSpacing/>
              <w:jc w:val="center"/>
              <w:rPr>
                <w:color w:val="000000"/>
                <w:sz w:val="20"/>
                <w:szCs w:val="20"/>
              </w:rPr>
            </w:pPr>
            <w:r w:rsidRPr="00EC1913">
              <w:rPr>
                <w:color w:val="000000"/>
                <w:sz w:val="20"/>
                <w:szCs w:val="20"/>
              </w:rPr>
              <w:t>1.19</w:t>
            </w:r>
          </w:p>
        </w:tc>
        <w:tc>
          <w:tcPr>
            <w:tcW w:w="905" w:type="dxa"/>
            <w:gridSpan w:val="2"/>
            <w:shd w:val="clear" w:color="auto" w:fill="auto"/>
            <w:noWrap/>
            <w:vAlign w:val="center"/>
            <w:hideMark/>
          </w:tcPr>
          <w:p w14:paraId="580EC91B" w14:textId="77777777" w:rsidR="008105F8" w:rsidRPr="00EC1913" w:rsidRDefault="008105F8" w:rsidP="00F54ACD">
            <w:pPr>
              <w:contextualSpacing/>
              <w:jc w:val="center"/>
              <w:rPr>
                <w:color w:val="000000"/>
                <w:sz w:val="20"/>
                <w:szCs w:val="20"/>
              </w:rPr>
            </w:pPr>
            <w:r w:rsidRPr="00EC1913">
              <w:rPr>
                <w:color w:val="000000"/>
                <w:sz w:val="20"/>
                <w:szCs w:val="20"/>
              </w:rPr>
              <w:t>0.70</w:t>
            </w:r>
          </w:p>
        </w:tc>
        <w:tc>
          <w:tcPr>
            <w:tcW w:w="1014" w:type="dxa"/>
            <w:gridSpan w:val="2"/>
            <w:shd w:val="clear" w:color="auto" w:fill="auto"/>
            <w:noWrap/>
            <w:vAlign w:val="center"/>
            <w:hideMark/>
          </w:tcPr>
          <w:p w14:paraId="4A45F523" w14:textId="77777777" w:rsidR="008105F8" w:rsidRPr="00EC1913" w:rsidRDefault="008105F8" w:rsidP="00F54ACD">
            <w:pPr>
              <w:contextualSpacing/>
              <w:jc w:val="center"/>
              <w:rPr>
                <w:color w:val="333333"/>
                <w:sz w:val="20"/>
                <w:szCs w:val="20"/>
              </w:rPr>
            </w:pPr>
            <w:r w:rsidRPr="00EC1913">
              <w:rPr>
                <w:color w:val="333333"/>
                <w:sz w:val="20"/>
                <w:szCs w:val="20"/>
              </w:rPr>
              <w:t>0.09</w:t>
            </w:r>
          </w:p>
        </w:tc>
      </w:tr>
      <w:tr w:rsidR="008105F8" w:rsidRPr="00EC1913" w14:paraId="0A991A9F" w14:textId="77777777" w:rsidTr="00F54ACD">
        <w:trPr>
          <w:trHeight w:val="166"/>
        </w:trPr>
        <w:tc>
          <w:tcPr>
            <w:tcW w:w="3702" w:type="dxa"/>
            <w:shd w:val="clear" w:color="auto" w:fill="auto"/>
            <w:vAlign w:val="center"/>
            <w:hideMark/>
          </w:tcPr>
          <w:p w14:paraId="63523FE7" w14:textId="77777777" w:rsidR="008105F8" w:rsidRPr="00EC1913" w:rsidRDefault="008105F8" w:rsidP="00F54ACD">
            <w:pPr>
              <w:contextualSpacing/>
              <w:rPr>
                <w:color w:val="000000"/>
                <w:sz w:val="20"/>
                <w:szCs w:val="20"/>
              </w:rPr>
            </w:pPr>
            <w:r w:rsidRPr="00EC1913">
              <w:rPr>
                <w:color w:val="000000"/>
                <w:sz w:val="20"/>
                <w:szCs w:val="20"/>
              </w:rPr>
              <w:t xml:space="preserve">   </w:t>
            </w:r>
            <w:proofErr w:type="spellStart"/>
            <w:r w:rsidRPr="00EC1913">
              <w:rPr>
                <w:color w:val="000000"/>
                <w:sz w:val="20"/>
                <w:szCs w:val="20"/>
              </w:rPr>
              <w:t>YSAS</w:t>
            </w:r>
            <w:proofErr w:type="spellEnd"/>
            <w:r w:rsidRPr="00EC1913">
              <w:rPr>
                <w:color w:val="000000"/>
                <w:sz w:val="20"/>
                <w:szCs w:val="20"/>
              </w:rPr>
              <w:t>: Family</w:t>
            </w:r>
          </w:p>
        </w:tc>
        <w:tc>
          <w:tcPr>
            <w:tcW w:w="1120" w:type="dxa"/>
            <w:gridSpan w:val="2"/>
            <w:shd w:val="clear" w:color="auto" w:fill="auto"/>
            <w:noWrap/>
            <w:vAlign w:val="center"/>
            <w:hideMark/>
          </w:tcPr>
          <w:p w14:paraId="656A5D4D" w14:textId="77777777" w:rsidR="008105F8" w:rsidRPr="00EC1913" w:rsidRDefault="008105F8" w:rsidP="00F54ACD">
            <w:pPr>
              <w:contextualSpacing/>
              <w:jc w:val="center"/>
              <w:rPr>
                <w:color w:val="000000"/>
                <w:sz w:val="20"/>
                <w:szCs w:val="20"/>
              </w:rPr>
            </w:pPr>
            <w:r w:rsidRPr="00EC1913">
              <w:rPr>
                <w:color w:val="000000"/>
                <w:sz w:val="20"/>
                <w:szCs w:val="20"/>
              </w:rPr>
              <w:t>0.06</w:t>
            </w:r>
          </w:p>
        </w:tc>
        <w:tc>
          <w:tcPr>
            <w:tcW w:w="956" w:type="dxa"/>
            <w:gridSpan w:val="2"/>
            <w:shd w:val="clear" w:color="auto" w:fill="auto"/>
            <w:noWrap/>
            <w:vAlign w:val="center"/>
            <w:hideMark/>
          </w:tcPr>
          <w:p w14:paraId="3C8A51C0" w14:textId="77777777" w:rsidR="008105F8" w:rsidRPr="00EC1913" w:rsidRDefault="008105F8" w:rsidP="00F54ACD">
            <w:pPr>
              <w:contextualSpacing/>
              <w:jc w:val="center"/>
              <w:rPr>
                <w:color w:val="000000"/>
                <w:sz w:val="20"/>
                <w:szCs w:val="20"/>
              </w:rPr>
            </w:pPr>
            <w:r w:rsidRPr="00EC1913">
              <w:rPr>
                <w:color w:val="000000"/>
                <w:sz w:val="20"/>
                <w:szCs w:val="20"/>
              </w:rPr>
              <w:t>0.55</w:t>
            </w:r>
          </w:p>
        </w:tc>
        <w:tc>
          <w:tcPr>
            <w:tcW w:w="1008" w:type="dxa"/>
            <w:gridSpan w:val="2"/>
            <w:shd w:val="clear" w:color="auto" w:fill="auto"/>
            <w:noWrap/>
            <w:vAlign w:val="center"/>
            <w:hideMark/>
          </w:tcPr>
          <w:p w14:paraId="216F197B" w14:textId="77777777" w:rsidR="008105F8" w:rsidRPr="00EC1913" w:rsidRDefault="008105F8" w:rsidP="00F54ACD">
            <w:pPr>
              <w:contextualSpacing/>
              <w:jc w:val="center"/>
              <w:rPr>
                <w:color w:val="000000"/>
                <w:sz w:val="20"/>
                <w:szCs w:val="20"/>
              </w:rPr>
            </w:pPr>
            <w:r w:rsidRPr="00EC1913">
              <w:rPr>
                <w:color w:val="000000"/>
                <w:sz w:val="20"/>
                <w:szCs w:val="20"/>
              </w:rPr>
              <w:t>0.91</w:t>
            </w:r>
          </w:p>
        </w:tc>
        <w:tc>
          <w:tcPr>
            <w:tcW w:w="1052" w:type="dxa"/>
            <w:gridSpan w:val="2"/>
            <w:shd w:val="clear" w:color="auto" w:fill="auto"/>
            <w:noWrap/>
            <w:vAlign w:val="center"/>
            <w:hideMark/>
          </w:tcPr>
          <w:p w14:paraId="3E313849" w14:textId="77777777" w:rsidR="008105F8" w:rsidRPr="00EC1913" w:rsidRDefault="008105F8" w:rsidP="00F54ACD">
            <w:pPr>
              <w:contextualSpacing/>
              <w:jc w:val="center"/>
              <w:rPr>
                <w:color w:val="000000"/>
                <w:sz w:val="20"/>
                <w:szCs w:val="20"/>
              </w:rPr>
            </w:pPr>
            <w:r w:rsidRPr="00EC1913">
              <w:rPr>
                <w:color w:val="000000"/>
                <w:sz w:val="20"/>
                <w:szCs w:val="20"/>
              </w:rPr>
              <w:t>0.85</w:t>
            </w:r>
          </w:p>
        </w:tc>
        <w:tc>
          <w:tcPr>
            <w:tcW w:w="978" w:type="dxa"/>
            <w:gridSpan w:val="2"/>
            <w:shd w:val="clear" w:color="auto" w:fill="auto"/>
            <w:noWrap/>
            <w:vAlign w:val="center"/>
            <w:hideMark/>
          </w:tcPr>
          <w:p w14:paraId="01490FA1" w14:textId="77777777" w:rsidR="008105F8" w:rsidRPr="00EC1913" w:rsidRDefault="008105F8" w:rsidP="00F54ACD">
            <w:pPr>
              <w:contextualSpacing/>
              <w:jc w:val="center"/>
              <w:rPr>
                <w:color w:val="000000"/>
                <w:sz w:val="20"/>
                <w:szCs w:val="20"/>
              </w:rPr>
            </w:pPr>
            <w:r w:rsidRPr="00EC1913">
              <w:rPr>
                <w:color w:val="000000"/>
                <w:sz w:val="20"/>
                <w:szCs w:val="20"/>
              </w:rPr>
              <w:t>0.56</w:t>
            </w:r>
          </w:p>
        </w:tc>
        <w:tc>
          <w:tcPr>
            <w:tcW w:w="851" w:type="dxa"/>
            <w:gridSpan w:val="2"/>
            <w:shd w:val="clear" w:color="auto" w:fill="auto"/>
            <w:noWrap/>
            <w:vAlign w:val="center"/>
            <w:hideMark/>
          </w:tcPr>
          <w:p w14:paraId="6AE9556C" w14:textId="77777777" w:rsidR="008105F8" w:rsidRPr="00EC1913" w:rsidRDefault="008105F8" w:rsidP="00F54ACD">
            <w:pPr>
              <w:contextualSpacing/>
              <w:jc w:val="center"/>
              <w:rPr>
                <w:color w:val="000000"/>
                <w:sz w:val="20"/>
                <w:szCs w:val="20"/>
              </w:rPr>
            </w:pPr>
            <w:r w:rsidRPr="00EC1913">
              <w:rPr>
                <w:color w:val="000000"/>
                <w:sz w:val="20"/>
                <w:szCs w:val="20"/>
              </w:rPr>
              <w:t>0.13</w:t>
            </w:r>
          </w:p>
        </w:tc>
        <w:tc>
          <w:tcPr>
            <w:tcW w:w="974" w:type="dxa"/>
            <w:gridSpan w:val="2"/>
            <w:shd w:val="clear" w:color="auto" w:fill="auto"/>
            <w:noWrap/>
            <w:vAlign w:val="center"/>
            <w:hideMark/>
          </w:tcPr>
          <w:p w14:paraId="147F0A72" w14:textId="77777777" w:rsidR="008105F8" w:rsidRPr="00EC1913" w:rsidRDefault="008105F8" w:rsidP="00F54ACD">
            <w:pPr>
              <w:contextualSpacing/>
              <w:jc w:val="center"/>
              <w:rPr>
                <w:color w:val="000000"/>
                <w:sz w:val="20"/>
                <w:szCs w:val="20"/>
              </w:rPr>
            </w:pPr>
            <w:r w:rsidRPr="00EC1913">
              <w:rPr>
                <w:color w:val="000000"/>
                <w:sz w:val="20"/>
                <w:szCs w:val="20"/>
              </w:rPr>
              <w:t>0.79</w:t>
            </w:r>
          </w:p>
        </w:tc>
        <w:tc>
          <w:tcPr>
            <w:tcW w:w="905" w:type="dxa"/>
            <w:gridSpan w:val="2"/>
            <w:shd w:val="clear" w:color="auto" w:fill="auto"/>
            <w:noWrap/>
            <w:vAlign w:val="center"/>
            <w:hideMark/>
          </w:tcPr>
          <w:p w14:paraId="68C08051" w14:textId="77777777" w:rsidR="008105F8" w:rsidRPr="00EC1913" w:rsidRDefault="008105F8" w:rsidP="00F54ACD">
            <w:pPr>
              <w:contextualSpacing/>
              <w:jc w:val="center"/>
              <w:rPr>
                <w:color w:val="000000"/>
                <w:sz w:val="20"/>
                <w:szCs w:val="20"/>
              </w:rPr>
            </w:pPr>
            <w:r w:rsidRPr="00EC1913">
              <w:rPr>
                <w:color w:val="000000"/>
                <w:sz w:val="20"/>
                <w:szCs w:val="20"/>
              </w:rPr>
              <w:t>0.57</w:t>
            </w:r>
          </w:p>
        </w:tc>
        <w:tc>
          <w:tcPr>
            <w:tcW w:w="1014" w:type="dxa"/>
            <w:gridSpan w:val="2"/>
            <w:shd w:val="clear" w:color="auto" w:fill="auto"/>
            <w:noWrap/>
            <w:vAlign w:val="center"/>
            <w:hideMark/>
          </w:tcPr>
          <w:p w14:paraId="3C079983" w14:textId="77777777" w:rsidR="008105F8" w:rsidRPr="00EC1913" w:rsidRDefault="008105F8" w:rsidP="00F54ACD">
            <w:pPr>
              <w:contextualSpacing/>
              <w:jc w:val="center"/>
              <w:rPr>
                <w:color w:val="333333"/>
                <w:sz w:val="20"/>
                <w:szCs w:val="20"/>
              </w:rPr>
            </w:pPr>
            <w:r w:rsidRPr="00EC1913">
              <w:rPr>
                <w:color w:val="333333"/>
                <w:sz w:val="20"/>
                <w:szCs w:val="20"/>
              </w:rPr>
              <w:t>0.17</w:t>
            </w:r>
          </w:p>
        </w:tc>
      </w:tr>
      <w:tr w:rsidR="008105F8" w:rsidRPr="00EC1913" w14:paraId="79C93635" w14:textId="77777777" w:rsidTr="00F54ACD">
        <w:trPr>
          <w:trHeight w:val="166"/>
        </w:trPr>
        <w:tc>
          <w:tcPr>
            <w:tcW w:w="3702" w:type="dxa"/>
            <w:shd w:val="clear" w:color="auto" w:fill="auto"/>
            <w:vAlign w:val="center"/>
            <w:hideMark/>
          </w:tcPr>
          <w:p w14:paraId="2E9F0C0C" w14:textId="77777777" w:rsidR="008105F8" w:rsidRPr="00EC1913" w:rsidRDefault="008105F8" w:rsidP="00F54ACD">
            <w:pPr>
              <w:contextualSpacing/>
              <w:rPr>
                <w:color w:val="000000"/>
                <w:sz w:val="20"/>
                <w:szCs w:val="20"/>
              </w:rPr>
            </w:pPr>
            <w:r w:rsidRPr="00EC1913">
              <w:rPr>
                <w:color w:val="000000"/>
                <w:sz w:val="20"/>
                <w:szCs w:val="20"/>
              </w:rPr>
              <w:t xml:space="preserve">   </w:t>
            </w:r>
            <w:proofErr w:type="spellStart"/>
            <w:r w:rsidRPr="00EC1913">
              <w:rPr>
                <w:color w:val="000000"/>
                <w:sz w:val="20"/>
                <w:szCs w:val="20"/>
              </w:rPr>
              <w:t>YSAS</w:t>
            </w:r>
            <w:proofErr w:type="spellEnd"/>
            <w:r w:rsidRPr="00EC1913">
              <w:rPr>
                <w:color w:val="000000"/>
                <w:sz w:val="20"/>
                <w:szCs w:val="20"/>
              </w:rPr>
              <w:t>: Romantic</w:t>
            </w:r>
          </w:p>
        </w:tc>
        <w:tc>
          <w:tcPr>
            <w:tcW w:w="1120" w:type="dxa"/>
            <w:gridSpan w:val="2"/>
            <w:shd w:val="clear" w:color="auto" w:fill="auto"/>
            <w:noWrap/>
            <w:vAlign w:val="center"/>
            <w:hideMark/>
          </w:tcPr>
          <w:p w14:paraId="269DEA60" w14:textId="77777777" w:rsidR="008105F8" w:rsidRPr="00EC1913" w:rsidRDefault="008105F8" w:rsidP="00F54ACD">
            <w:pPr>
              <w:contextualSpacing/>
              <w:jc w:val="center"/>
              <w:rPr>
                <w:color w:val="000000"/>
                <w:sz w:val="20"/>
                <w:szCs w:val="20"/>
              </w:rPr>
            </w:pPr>
            <w:r w:rsidRPr="00EC1913">
              <w:rPr>
                <w:color w:val="000000"/>
                <w:sz w:val="20"/>
                <w:szCs w:val="20"/>
              </w:rPr>
              <w:t>0.14</w:t>
            </w:r>
          </w:p>
        </w:tc>
        <w:tc>
          <w:tcPr>
            <w:tcW w:w="956" w:type="dxa"/>
            <w:gridSpan w:val="2"/>
            <w:shd w:val="clear" w:color="auto" w:fill="auto"/>
            <w:noWrap/>
            <w:vAlign w:val="center"/>
            <w:hideMark/>
          </w:tcPr>
          <w:p w14:paraId="13351954" w14:textId="77777777" w:rsidR="008105F8" w:rsidRPr="00EC1913" w:rsidRDefault="008105F8" w:rsidP="00F54ACD">
            <w:pPr>
              <w:contextualSpacing/>
              <w:jc w:val="center"/>
              <w:rPr>
                <w:color w:val="000000"/>
                <w:sz w:val="20"/>
                <w:szCs w:val="20"/>
              </w:rPr>
            </w:pPr>
            <w:r w:rsidRPr="00EC1913">
              <w:rPr>
                <w:color w:val="000000"/>
                <w:sz w:val="20"/>
                <w:szCs w:val="20"/>
              </w:rPr>
              <w:t>0.39</w:t>
            </w:r>
          </w:p>
        </w:tc>
        <w:tc>
          <w:tcPr>
            <w:tcW w:w="1008" w:type="dxa"/>
            <w:gridSpan w:val="2"/>
            <w:shd w:val="clear" w:color="auto" w:fill="auto"/>
            <w:noWrap/>
            <w:vAlign w:val="center"/>
            <w:hideMark/>
          </w:tcPr>
          <w:p w14:paraId="771964AF" w14:textId="77777777" w:rsidR="008105F8" w:rsidRPr="00EC1913" w:rsidRDefault="008105F8" w:rsidP="00F54ACD">
            <w:pPr>
              <w:contextualSpacing/>
              <w:jc w:val="center"/>
              <w:rPr>
                <w:color w:val="000000"/>
                <w:sz w:val="20"/>
                <w:szCs w:val="20"/>
              </w:rPr>
            </w:pPr>
            <w:r w:rsidRPr="00EC1913">
              <w:rPr>
                <w:color w:val="000000"/>
                <w:sz w:val="20"/>
                <w:szCs w:val="20"/>
              </w:rPr>
              <w:t>0.72</w:t>
            </w:r>
          </w:p>
        </w:tc>
        <w:tc>
          <w:tcPr>
            <w:tcW w:w="1052" w:type="dxa"/>
            <w:gridSpan w:val="2"/>
            <w:shd w:val="clear" w:color="auto" w:fill="auto"/>
            <w:noWrap/>
            <w:vAlign w:val="center"/>
            <w:hideMark/>
          </w:tcPr>
          <w:p w14:paraId="24387E1E" w14:textId="77777777" w:rsidR="008105F8" w:rsidRPr="00EC1913" w:rsidRDefault="008105F8" w:rsidP="00F54ACD">
            <w:pPr>
              <w:contextualSpacing/>
              <w:jc w:val="center"/>
              <w:rPr>
                <w:color w:val="000000"/>
                <w:sz w:val="20"/>
                <w:szCs w:val="20"/>
              </w:rPr>
            </w:pPr>
            <w:r w:rsidRPr="00EC1913">
              <w:rPr>
                <w:color w:val="000000"/>
                <w:sz w:val="20"/>
                <w:szCs w:val="20"/>
              </w:rPr>
              <w:t>0.12</w:t>
            </w:r>
          </w:p>
        </w:tc>
        <w:tc>
          <w:tcPr>
            <w:tcW w:w="978" w:type="dxa"/>
            <w:gridSpan w:val="2"/>
            <w:shd w:val="clear" w:color="auto" w:fill="auto"/>
            <w:noWrap/>
            <w:vAlign w:val="center"/>
            <w:hideMark/>
          </w:tcPr>
          <w:p w14:paraId="264B1825" w14:textId="77777777" w:rsidR="008105F8" w:rsidRPr="00EC1913" w:rsidRDefault="008105F8" w:rsidP="00F54ACD">
            <w:pPr>
              <w:contextualSpacing/>
              <w:jc w:val="center"/>
              <w:rPr>
                <w:color w:val="000000"/>
                <w:sz w:val="20"/>
                <w:szCs w:val="20"/>
              </w:rPr>
            </w:pPr>
            <w:r w:rsidRPr="00EC1913">
              <w:rPr>
                <w:color w:val="000000"/>
                <w:sz w:val="20"/>
                <w:szCs w:val="20"/>
              </w:rPr>
              <w:t>0.40</w:t>
            </w:r>
          </w:p>
        </w:tc>
        <w:tc>
          <w:tcPr>
            <w:tcW w:w="851" w:type="dxa"/>
            <w:gridSpan w:val="2"/>
            <w:shd w:val="clear" w:color="auto" w:fill="auto"/>
            <w:noWrap/>
            <w:vAlign w:val="center"/>
            <w:hideMark/>
          </w:tcPr>
          <w:p w14:paraId="29EA15B7" w14:textId="77777777" w:rsidR="008105F8" w:rsidRPr="00EC1913" w:rsidRDefault="008105F8" w:rsidP="00F54ACD">
            <w:pPr>
              <w:contextualSpacing/>
              <w:jc w:val="center"/>
              <w:rPr>
                <w:color w:val="000000"/>
                <w:sz w:val="20"/>
                <w:szCs w:val="20"/>
              </w:rPr>
            </w:pPr>
            <w:r w:rsidRPr="00EC1913">
              <w:rPr>
                <w:color w:val="000000"/>
                <w:sz w:val="20"/>
                <w:szCs w:val="20"/>
              </w:rPr>
              <w:t>0.77</w:t>
            </w:r>
          </w:p>
        </w:tc>
        <w:tc>
          <w:tcPr>
            <w:tcW w:w="974" w:type="dxa"/>
            <w:gridSpan w:val="2"/>
            <w:shd w:val="clear" w:color="auto" w:fill="auto"/>
            <w:noWrap/>
            <w:vAlign w:val="center"/>
            <w:hideMark/>
          </w:tcPr>
          <w:p w14:paraId="144FD1E5" w14:textId="77777777" w:rsidR="008105F8" w:rsidRPr="00EC1913" w:rsidRDefault="008105F8" w:rsidP="00F54ACD">
            <w:pPr>
              <w:contextualSpacing/>
              <w:jc w:val="center"/>
              <w:rPr>
                <w:color w:val="000000"/>
                <w:sz w:val="20"/>
                <w:szCs w:val="20"/>
              </w:rPr>
            </w:pPr>
            <w:r w:rsidRPr="00EC1913">
              <w:rPr>
                <w:color w:val="000000"/>
                <w:sz w:val="20"/>
                <w:szCs w:val="20"/>
              </w:rPr>
              <w:t>-0.02</w:t>
            </w:r>
          </w:p>
        </w:tc>
        <w:tc>
          <w:tcPr>
            <w:tcW w:w="905" w:type="dxa"/>
            <w:gridSpan w:val="2"/>
            <w:shd w:val="clear" w:color="auto" w:fill="auto"/>
            <w:noWrap/>
            <w:vAlign w:val="center"/>
            <w:hideMark/>
          </w:tcPr>
          <w:p w14:paraId="5533EB72" w14:textId="77777777" w:rsidR="008105F8" w:rsidRPr="00EC1913" w:rsidRDefault="008105F8" w:rsidP="00F54ACD">
            <w:pPr>
              <w:contextualSpacing/>
              <w:jc w:val="center"/>
              <w:rPr>
                <w:color w:val="000000"/>
                <w:sz w:val="20"/>
                <w:szCs w:val="20"/>
              </w:rPr>
            </w:pPr>
            <w:r w:rsidRPr="00EC1913">
              <w:rPr>
                <w:color w:val="000000"/>
                <w:sz w:val="20"/>
                <w:szCs w:val="20"/>
              </w:rPr>
              <w:t>0.40</w:t>
            </w:r>
          </w:p>
        </w:tc>
        <w:tc>
          <w:tcPr>
            <w:tcW w:w="1014" w:type="dxa"/>
            <w:gridSpan w:val="2"/>
            <w:shd w:val="clear" w:color="auto" w:fill="auto"/>
            <w:noWrap/>
            <w:vAlign w:val="center"/>
            <w:hideMark/>
          </w:tcPr>
          <w:p w14:paraId="43DC6987" w14:textId="77777777" w:rsidR="008105F8" w:rsidRPr="00EC1913" w:rsidRDefault="008105F8" w:rsidP="00F54ACD">
            <w:pPr>
              <w:contextualSpacing/>
              <w:jc w:val="center"/>
              <w:rPr>
                <w:color w:val="333333"/>
                <w:sz w:val="20"/>
                <w:szCs w:val="20"/>
              </w:rPr>
            </w:pPr>
            <w:r w:rsidRPr="00EC1913">
              <w:rPr>
                <w:color w:val="333333"/>
                <w:sz w:val="20"/>
                <w:szCs w:val="20"/>
              </w:rPr>
              <w:t>0.96</w:t>
            </w:r>
          </w:p>
        </w:tc>
      </w:tr>
      <w:tr w:rsidR="008105F8" w:rsidRPr="00EC1913" w14:paraId="37B7425D" w14:textId="77777777" w:rsidTr="00F54ACD">
        <w:trPr>
          <w:trHeight w:val="166"/>
        </w:trPr>
        <w:tc>
          <w:tcPr>
            <w:tcW w:w="3702" w:type="dxa"/>
            <w:shd w:val="clear" w:color="auto" w:fill="auto"/>
            <w:vAlign w:val="center"/>
            <w:hideMark/>
          </w:tcPr>
          <w:p w14:paraId="37318B1C" w14:textId="77777777" w:rsidR="008105F8" w:rsidRPr="00EC1913" w:rsidRDefault="008105F8" w:rsidP="00F54ACD">
            <w:pPr>
              <w:contextualSpacing/>
              <w:rPr>
                <w:color w:val="000000"/>
                <w:sz w:val="20"/>
                <w:szCs w:val="20"/>
              </w:rPr>
            </w:pPr>
            <w:r w:rsidRPr="00EC1913">
              <w:rPr>
                <w:color w:val="000000"/>
                <w:sz w:val="20"/>
                <w:szCs w:val="20"/>
              </w:rPr>
              <w:t xml:space="preserve">   Composite*</w:t>
            </w:r>
          </w:p>
        </w:tc>
        <w:tc>
          <w:tcPr>
            <w:tcW w:w="1120" w:type="dxa"/>
            <w:gridSpan w:val="2"/>
            <w:shd w:val="clear" w:color="auto" w:fill="auto"/>
            <w:noWrap/>
            <w:vAlign w:val="center"/>
            <w:hideMark/>
          </w:tcPr>
          <w:p w14:paraId="02B294C1" w14:textId="77777777" w:rsidR="008105F8" w:rsidRPr="00EC1913" w:rsidRDefault="008105F8" w:rsidP="00F54ACD">
            <w:pPr>
              <w:contextualSpacing/>
              <w:jc w:val="center"/>
              <w:rPr>
                <w:color w:val="000000"/>
                <w:sz w:val="20"/>
                <w:szCs w:val="20"/>
              </w:rPr>
            </w:pPr>
            <w:r w:rsidRPr="00EC1913">
              <w:rPr>
                <w:color w:val="000000"/>
                <w:sz w:val="20"/>
                <w:szCs w:val="20"/>
              </w:rPr>
              <w:t>-0.02</w:t>
            </w:r>
          </w:p>
        </w:tc>
        <w:tc>
          <w:tcPr>
            <w:tcW w:w="956" w:type="dxa"/>
            <w:gridSpan w:val="2"/>
            <w:shd w:val="clear" w:color="auto" w:fill="auto"/>
            <w:noWrap/>
            <w:vAlign w:val="center"/>
            <w:hideMark/>
          </w:tcPr>
          <w:p w14:paraId="180172F4" w14:textId="77777777" w:rsidR="008105F8" w:rsidRPr="00EC1913" w:rsidRDefault="008105F8" w:rsidP="00F54ACD">
            <w:pPr>
              <w:contextualSpacing/>
              <w:jc w:val="center"/>
              <w:rPr>
                <w:color w:val="000000"/>
                <w:sz w:val="20"/>
                <w:szCs w:val="20"/>
              </w:rPr>
            </w:pPr>
            <w:r w:rsidRPr="00EC1913">
              <w:rPr>
                <w:color w:val="000000"/>
                <w:sz w:val="20"/>
                <w:szCs w:val="20"/>
              </w:rPr>
              <w:t>0.11</w:t>
            </w:r>
          </w:p>
        </w:tc>
        <w:tc>
          <w:tcPr>
            <w:tcW w:w="1008" w:type="dxa"/>
            <w:gridSpan w:val="2"/>
            <w:shd w:val="clear" w:color="auto" w:fill="auto"/>
            <w:noWrap/>
            <w:vAlign w:val="center"/>
            <w:hideMark/>
          </w:tcPr>
          <w:p w14:paraId="0AA3AF05" w14:textId="77777777" w:rsidR="008105F8" w:rsidRPr="00EC1913" w:rsidRDefault="008105F8" w:rsidP="00F54ACD">
            <w:pPr>
              <w:contextualSpacing/>
              <w:jc w:val="center"/>
              <w:rPr>
                <w:color w:val="000000"/>
                <w:sz w:val="20"/>
                <w:szCs w:val="20"/>
              </w:rPr>
            </w:pPr>
            <w:r w:rsidRPr="00EC1913">
              <w:rPr>
                <w:color w:val="000000"/>
                <w:sz w:val="20"/>
                <w:szCs w:val="20"/>
              </w:rPr>
              <w:t>0.87</w:t>
            </w:r>
          </w:p>
        </w:tc>
        <w:tc>
          <w:tcPr>
            <w:tcW w:w="1052" w:type="dxa"/>
            <w:gridSpan w:val="2"/>
            <w:shd w:val="clear" w:color="auto" w:fill="auto"/>
            <w:noWrap/>
            <w:vAlign w:val="center"/>
            <w:hideMark/>
          </w:tcPr>
          <w:p w14:paraId="447E1C05" w14:textId="77777777" w:rsidR="008105F8" w:rsidRPr="00EC1913" w:rsidRDefault="008105F8" w:rsidP="00F54ACD">
            <w:pPr>
              <w:contextualSpacing/>
              <w:jc w:val="center"/>
              <w:rPr>
                <w:color w:val="000000"/>
                <w:sz w:val="20"/>
                <w:szCs w:val="20"/>
              </w:rPr>
            </w:pPr>
            <w:r w:rsidRPr="00EC1913">
              <w:rPr>
                <w:color w:val="000000"/>
                <w:sz w:val="20"/>
                <w:szCs w:val="20"/>
              </w:rPr>
              <w:t>0.16</w:t>
            </w:r>
          </w:p>
        </w:tc>
        <w:tc>
          <w:tcPr>
            <w:tcW w:w="978" w:type="dxa"/>
            <w:gridSpan w:val="2"/>
            <w:shd w:val="clear" w:color="auto" w:fill="auto"/>
            <w:noWrap/>
            <w:vAlign w:val="center"/>
            <w:hideMark/>
          </w:tcPr>
          <w:p w14:paraId="3505D76A" w14:textId="77777777" w:rsidR="008105F8" w:rsidRPr="00EC1913" w:rsidRDefault="008105F8" w:rsidP="00F54ACD">
            <w:pPr>
              <w:contextualSpacing/>
              <w:jc w:val="center"/>
              <w:rPr>
                <w:color w:val="000000"/>
                <w:sz w:val="20"/>
                <w:szCs w:val="20"/>
              </w:rPr>
            </w:pPr>
            <w:r w:rsidRPr="00EC1913">
              <w:rPr>
                <w:color w:val="000000"/>
                <w:sz w:val="20"/>
                <w:szCs w:val="20"/>
              </w:rPr>
              <w:t>0.11</w:t>
            </w:r>
          </w:p>
        </w:tc>
        <w:tc>
          <w:tcPr>
            <w:tcW w:w="851" w:type="dxa"/>
            <w:gridSpan w:val="2"/>
            <w:shd w:val="clear" w:color="auto" w:fill="auto"/>
            <w:noWrap/>
            <w:vAlign w:val="center"/>
            <w:hideMark/>
          </w:tcPr>
          <w:p w14:paraId="3C25D10E" w14:textId="77777777" w:rsidR="008105F8" w:rsidRPr="00EC1913" w:rsidRDefault="008105F8" w:rsidP="00F54ACD">
            <w:pPr>
              <w:contextualSpacing/>
              <w:jc w:val="center"/>
              <w:rPr>
                <w:color w:val="000000"/>
                <w:sz w:val="20"/>
                <w:szCs w:val="20"/>
              </w:rPr>
            </w:pPr>
            <w:r w:rsidRPr="00EC1913">
              <w:rPr>
                <w:color w:val="000000"/>
                <w:sz w:val="20"/>
                <w:szCs w:val="20"/>
              </w:rPr>
              <w:t>0.15</w:t>
            </w:r>
          </w:p>
        </w:tc>
        <w:tc>
          <w:tcPr>
            <w:tcW w:w="974" w:type="dxa"/>
            <w:gridSpan w:val="2"/>
            <w:shd w:val="clear" w:color="auto" w:fill="auto"/>
            <w:noWrap/>
            <w:vAlign w:val="center"/>
            <w:hideMark/>
          </w:tcPr>
          <w:p w14:paraId="11D1CDDF" w14:textId="77777777" w:rsidR="008105F8" w:rsidRPr="00EC1913" w:rsidRDefault="008105F8" w:rsidP="00F54ACD">
            <w:pPr>
              <w:contextualSpacing/>
              <w:jc w:val="center"/>
              <w:rPr>
                <w:color w:val="000000"/>
                <w:sz w:val="20"/>
                <w:szCs w:val="20"/>
              </w:rPr>
            </w:pPr>
            <w:r w:rsidRPr="00EC1913">
              <w:rPr>
                <w:color w:val="000000"/>
                <w:sz w:val="20"/>
                <w:szCs w:val="20"/>
              </w:rPr>
              <w:t>0.17</w:t>
            </w:r>
          </w:p>
        </w:tc>
        <w:tc>
          <w:tcPr>
            <w:tcW w:w="905" w:type="dxa"/>
            <w:gridSpan w:val="2"/>
            <w:shd w:val="clear" w:color="auto" w:fill="auto"/>
            <w:noWrap/>
            <w:vAlign w:val="center"/>
            <w:hideMark/>
          </w:tcPr>
          <w:p w14:paraId="38D397F0" w14:textId="77777777" w:rsidR="008105F8" w:rsidRPr="00EC1913" w:rsidRDefault="008105F8" w:rsidP="00F54ACD">
            <w:pPr>
              <w:contextualSpacing/>
              <w:jc w:val="center"/>
              <w:rPr>
                <w:color w:val="000000"/>
                <w:sz w:val="20"/>
                <w:szCs w:val="20"/>
              </w:rPr>
            </w:pPr>
            <w:r w:rsidRPr="00EC1913">
              <w:rPr>
                <w:color w:val="000000"/>
                <w:sz w:val="20"/>
                <w:szCs w:val="20"/>
              </w:rPr>
              <w:t>0.11</w:t>
            </w:r>
          </w:p>
        </w:tc>
        <w:tc>
          <w:tcPr>
            <w:tcW w:w="1014" w:type="dxa"/>
            <w:gridSpan w:val="2"/>
            <w:shd w:val="clear" w:color="auto" w:fill="auto"/>
            <w:noWrap/>
            <w:vAlign w:val="center"/>
            <w:hideMark/>
          </w:tcPr>
          <w:p w14:paraId="2878A74F" w14:textId="77777777" w:rsidR="008105F8" w:rsidRPr="00EC1913" w:rsidRDefault="008105F8" w:rsidP="00F54ACD">
            <w:pPr>
              <w:contextualSpacing/>
              <w:jc w:val="center"/>
              <w:rPr>
                <w:color w:val="333333"/>
                <w:sz w:val="20"/>
                <w:szCs w:val="20"/>
              </w:rPr>
            </w:pPr>
            <w:r w:rsidRPr="00EC1913">
              <w:rPr>
                <w:color w:val="333333"/>
                <w:sz w:val="20"/>
                <w:szCs w:val="20"/>
              </w:rPr>
              <w:t>0.11</w:t>
            </w:r>
          </w:p>
        </w:tc>
      </w:tr>
      <w:tr w:rsidR="008105F8" w:rsidRPr="00EC1913" w14:paraId="7232F1B1" w14:textId="77777777" w:rsidTr="00F54ACD">
        <w:trPr>
          <w:trHeight w:val="166"/>
        </w:trPr>
        <w:tc>
          <w:tcPr>
            <w:tcW w:w="3702" w:type="dxa"/>
            <w:shd w:val="clear" w:color="auto" w:fill="auto"/>
            <w:vAlign w:val="center"/>
            <w:hideMark/>
          </w:tcPr>
          <w:p w14:paraId="0C79BA43" w14:textId="77777777" w:rsidR="008105F8" w:rsidRPr="00EC1913" w:rsidRDefault="008105F8" w:rsidP="00F54ACD">
            <w:pPr>
              <w:contextualSpacing/>
              <w:rPr>
                <w:color w:val="000000"/>
                <w:sz w:val="20"/>
                <w:szCs w:val="20"/>
              </w:rPr>
            </w:pPr>
            <w:r w:rsidRPr="00EC1913">
              <w:rPr>
                <w:i/>
                <w:iCs/>
                <w:color w:val="000000"/>
                <w:sz w:val="20"/>
                <w:szCs w:val="20"/>
              </w:rPr>
              <w:t>Physical health:</w:t>
            </w:r>
          </w:p>
        </w:tc>
        <w:tc>
          <w:tcPr>
            <w:tcW w:w="1120" w:type="dxa"/>
            <w:gridSpan w:val="2"/>
            <w:shd w:val="clear" w:color="auto" w:fill="auto"/>
            <w:noWrap/>
            <w:vAlign w:val="bottom"/>
            <w:hideMark/>
          </w:tcPr>
          <w:p w14:paraId="34EB52F7" w14:textId="77777777" w:rsidR="008105F8" w:rsidRPr="00EC1913" w:rsidRDefault="008105F8" w:rsidP="00F54ACD">
            <w:pPr>
              <w:contextualSpacing/>
              <w:rPr>
                <w:color w:val="000000"/>
                <w:sz w:val="20"/>
                <w:szCs w:val="20"/>
              </w:rPr>
            </w:pPr>
          </w:p>
        </w:tc>
        <w:tc>
          <w:tcPr>
            <w:tcW w:w="956" w:type="dxa"/>
            <w:gridSpan w:val="2"/>
            <w:shd w:val="clear" w:color="auto" w:fill="auto"/>
            <w:noWrap/>
            <w:vAlign w:val="bottom"/>
            <w:hideMark/>
          </w:tcPr>
          <w:p w14:paraId="42DA912B" w14:textId="77777777" w:rsidR="008105F8" w:rsidRPr="00EC1913" w:rsidRDefault="008105F8" w:rsidP="00F54ACD">
            <w:pPr>
              <w:contextualSpacing/>
              <w:rPr>
                <w:sz w:val="20"/>
                <w:szCs w:val="20"/>
              </w:rPr>
            </w:pPr>
          </w:p>
        </w:tc>
        <w:tc>
          <w:tcPr>
            <w:tcW w:w="1008" w:type="dxa"/>
            <w:gridSpan w:val="2"/>
            <w:shd w:val="clear" w:color="auto" w:fill="auto"/>
            <w:noWrap/>
            <w:vAlign w:val="bottom"/>
            <w:hideMark/>
          </w:tcPr>
          <w:p w14:paraId="55FFE461" w14:textId="77777777" w:rsidR="008105F8" w:rsidRPr="00EC1913" w:rsidRDefault="008105F8" w:rsidP="00F54ACD">
            <w:pPr>
              <w:contextualSpacing/>
              <w:rPr>
                <w:sz w:val="20"/>
                <w:szCs w:val="20"/>
              </w:rPr>
            </w:pPr>
          </w:p>
        </w:tc>
        <w:tc>
          <w:tcPr>
            <w:tcW w:w="1052" w:type="dxa"/>
            <w:gridSpan w:val="2"/>
            <w:shd w:val="clear" w:color="auto" w:fill="auto"/>
            <w:noWrap/>
            <w:vAlign w:val="bottom"/>
            <w:hideMark/>
          </w:tcPr>
          <w:p w14:paraId="54E93B33" w14:textId="77777777" w:rsidR="008105F8" w:rsidRPr="00EC1913" w:rsidRDefault="008105F8" w:rsidP="00F54ACD">
            <w:pPr>
              <w:contextualSpacing/>
              <w:rPr>
                <w:sz w:val="20"/>
                <w:szCs w:val="20"/>
              </w:rPr>
            </w:pPr>
          </w:p>
        </w:tc>
        <w:tc>
          <w:tcPr>
            <w:tcW w:w="978" w:type="dxa"/>
            <w:gridSpan w:val="2"/>
            <w:shd w:val="clear" w:color="auto" w:fill="auto"/>
            <w:noWrap/>
            <w:vAlign w:val="bottom"/>
            <w:hideMark/>
          </w:tcPr>
          <w:p w14:paraId="1290E4D4" w14:textId="77777777" w:rsidR="008105F8" w:rsidRPr="00EC1913" w:rsidRDefault="008105F8" w:rsidP="00F54ACD">
            <w:pPr>
              <w:contextualSpacing/>
              <w:rPr>
                <w:sz w:val="20"/>
                <w:szCs w:val="20"/>
              </w:rPr>
            </w:pPr>
          </w:p>
        </w:tc>
        <w:tc>
          <w:tcPr>
            <w:tcW w:w="851" w:type="dxa"/>
            <w:gridSpan w:val="2"/>
            <w:shd w:val="clear" w:color="auto" w:fill="auto"/>
            <w:noWrap/>
            <w:vAlign w:val="bottom"/>
            <w:hideMark/>
          </w:tcPr>
          <w:p w14:paraId="5BA74F90" w14:textId="77777777" w:rsidR="008105F8" w:rsidRPr="00EC1913" w:rsidRDefault="008105F8" w:rsidP="00F54ACD">
            <w:pPr>
              <w:contextualSpacing/>
              <w:rPr>
                <w:sz w:val="20"/>
                <w:szCs w:val="20"/>
              </w:rPr>
            </w:pPr>
          </w:p>
        </w:tc>
        <w:tc>
          <w:tcPr>
            <w:tcW w:w="974" w:type="dxa"/>
            <w:gridSpan w:val="2"/>
            <w:shd w:val="clear" w:color="auto" w:fill="auto"/>
            <w:noWrap/>
            <w:vAlign w:val="center"/>
            <w:hideMark/>
          </w:tcPr>
          <w:p w14:paraId="3CA42A25" w14:textId="77777777" w:rsidR="008105F8" w:rsidRPr="00EC1913" w:rsidRDefault="008105F8" w:rsidP="00F54ACD">
            <w:pPr>
              <w:contextualSpacing/>
              <w:rPr>
                <w:sz w:val="20"/>
                <w:szCs w:val="20"/>
              </w:rPr>
            </w:pPr>
          </w:p>
        </w:tc>
        <w:tc>
          <w:tcPr>
            <w:tcW w:w="905" w:type="dxa"/>
            <w:gridSpan w:val="2"/>
            <w:shd w:val="clear" w:color="auto" w:fill="auto"/>
            <w:noWrap/>
            <w:vAlign w:val="center"/>
            <w:hideMark/>
          </w:tcPr>
          <w:p w14:paraId="00F19753" w14:textId="77777777" w:rsidR="008105F8" w:rsidRPr="00EC1913" w:rsidRDefault="008105F8" w:rsidP="00F54ACD">
            <w:pPr>
              <w:contextualSpacing/>
              <w:jc w:val="center"/>
              <w:rPr>
                <w:sz w:val="20"/>
                <w:szCs w:val="20"/>
              </w:rPr>
            </w:pPr>
          </w:p>
        </w:tc>
        <w:tc>
          <w:tcPr>
            <w:tcW w:w="1014" w:type="dxa"/>
            <w:gridSpan w:val="2"/>
            <w:shd w:val="clear" w:color="auto" w:fill="auto"/>
            <w:noWrap/>
            <w:vAlign w:val="center"/>
            <w:hideMark/>
          </w:tcPr>
          <w:p w14:paraId="4F470260" w14:textId="77777777" w:rsidR="008105F8" w:rsidRPr="00EC1913" w:rsidRDefault="008105F8" w:rsidP="00F54ACD">
            <w:pPr>
              <w:contextualSpacing/>
              <w:jc w:val="center"/>
              <w:rPr>
                <w:sz w:val="20"/>
                <w:szCs w:val="20"/>
              </w:rPr>
            </w:pPr>
          </w:p>
        </w:tc>
      </w:tr>
      <w:tr w:rsidR="008105F8" w:rsidRPr="00EC1913" w14:paraId="5599AA24" w14:textId="77777777" w:rsidTr="00F54ACD">
        <w:trPr>
          <w:trHeight w:val="166"/>
        </w:trPr>
        <w:tc>
          <w:tcPr>
            <w:tcW w:w="3702" w:type="dxa"/>
            <w:shd w:val="clear" w:color="auto" w:fill="auto"/>
            <w:vAlign w:val="center"/>
            <w:hideMark/>
          </w:tcPr>
          <w:p w14:paraId="276F1048" w14:textId="77777777" w:rsidR="008105F8" w:rsidRPr="00EC1913" w:rsidRDefault="008105F8" w:rsidP="00F54ACD">
            <w:pPr>
              <w:contextualSpacing/>
              <w:rPr>
                <w:color w:val="000000"/>
                <w:sz w:val="20"/>
                <w:szCs w:val="20"/>
              </w:rPr>
            </w:pPr>
            <w:r w:rsidRPr="00EC1913">
              <w:rPr>
                <w:color w:val="000000"/>
                <w:sz w:val="20"/>
                <w:szCs w:val="20"/>
              </w:rPr>
              <w:t xml:space="preserve">   </w:t>
            </w:r>
            <w:proofErr w:type="spellStart"/>
            <w:r w:rsidRPr="00EC1913">
              <w:rPr>
                <w:color w:val="000000"/>
                <w:sz w:val="20"/>
                <w:szCs w:val="20"/>
              </w:rPr>
              <w:t>MAQ</w:t>
            </w:r>
            <w:proofErr w:type="spellEnd"/>
          </w:p>
        </w:tc>
        <w:tc>
          <w:tcPr>
            <w:tcW w:w="1120" w:type="dxa"/>
            <w:gridSpan w:val="2"/>
            <w:shd w:val="clear" w:color="auto" w:fill="auto"/>
            <w:noWrap/>
            <w:vAlign w:val="center"/>
            <w:hideMark/>
          </w:tcPr>
          <w:p w14:paraId="6AD07318" w14:textId="77777777" w:rsidR="008105F8" w:rsidRPr="00EC1913" w:rsidRDefault="008105F8" w:rsidP="00F54ACD">
            <w:pPr>
              <w:contextualSpacing/>
              <w:jc w:val="center"/>
              <w:rPr>
                <w:color w:val="000000"/>
                <w:sz w:val="20"/>
                <w:szCs w:val="20"/>
              </w:rPr>
            </w:pPr>
            <w:r w:rsidRPr="00EC1913">
              <w:rPr>
                <w:color w:val="000000"/>
                <w:sz w:val="20"/>
                <w:szCs w:val="20"/>
              </w:rPr>
              <w:t>-0.22</w:t>
            </w:r>
          </w:p>
        </w:tc>
        <w:tc>
          <w:tcPr>
            <w:tcW w:w="956" w:type="dxa"/>
            <w:gridSpan w:val="2"/>
            <w:shd w:val="clear" w:color="auto" w:fill="auto"/>
            <w:noWrap/>
            <w:vAlign w:val="center"/>
            <w:hideMark/>
          </w:tcPr>
          <w:p w14:paraId="59DC50DC" w14:textId="77777777" w:rsidR="008105F8" w:rsidRPr="00EC1913" w:rsidRDefault="008105F8" w:rsidP="00F54ACD">
            <w:pPr>
              <w:contextualSpacing/>
              <w:jc w:val="center"/>
              <w:rPr>
                <w:color w:val="000000"/>
                <w:sz w:val="20"/>
                <w:szCs w:val="20"/>
              </w:rPr>
            </w:pPr>
            <w:r w:rsidRPr="00EC1913">
              <w:rPr>
                <w:color w:val="000000"/>
                <w:sz w:val="20"/>
                <w:szCs w:val="20"/>
              </w:rPr>
              <w:t>5.67</w:t>
            </w:r>
          </w:p>
        </w:tc>
        <w:tc>
          <w:tcPr>
            <w:tcW w:w="1008" w:type="dxa"/>
            <w:gridSpan w:val="2"/>
            <w:shd w:val="clear" w:color="auto" w:fill="auto"/>
            <w:noWrap/>
            <w:vAlign w:val="center"/>
            <w:hideMark/>
          </w:tcPr>
          <w:p w14:paraId="7416EC8C" w14:textId="77777777" w:rsidR="008105F8" w:rsidRPr="00EC1913" w:rsidRDefault="008105F8" w:rsidP="00F54ACD">
            <w:pPr>
              <w:contextualSpacing/>
              <w:jc w:val="center"/>
              <w:rPr>
                <w:color w:val="000000"/>
                <w:sz w:val="20"/>
                <w:szCs w:val="20"/>
              </w:rPr>
            </w:pPr>
            <w:r w:rsidRPr="00EC1913">
              <w:rPr>
                <w:color w:val="000000"/>
                <w:sz w:val="20"/>
                <w:szCs w:val="20"/>
              </w:rPr>
              <w:t>0.97</w:t>
            </w:r>
          </w:p>
        </w:tc>
        <w:tc>
          <w:tcPr>
            <w:tcW w:w="1052" w:type="dxa"/>
            <w:gridSpan w:val="2"/>
            <w:shd w:val="clear" w:color="auto" w:fill="auto"/>
            <w:noWrap/>
            <w:vAlign w:val="center"/>
            <w:hideMark/>
          </w:tcPr>
          <w:p w14:paraId="2E7DB4E4" w14:textId="77777777" w:rsidR="008105F8" w:rsidRPr="00EC1913" w:rsidRDefault="008105F8" w:rsidP="00F54ACD">
            <w:pPr>
              <w:contextualSpacing/>
              <w:jc w:val="center"/>
              <w:rPr>
                <w:color w:val="000000"/>
                <w:sz w:val="20"/>
                <w:szCs w:val="20"/>
              </w:rPr>
            </w:pPr>
            <w:r w:rsidRPr="00EC1913">
              <w:rPr>
                <w:color w:val="000000"/>
                <w:sz w:val="20"/>
                <w:szCs w:val="20"/>
              </w:rPr>
              <w:t>4.97</w:t>
            </w:r>
          </w:p>
        </w:tc>
        <w:tc>
          <w:tcPr>
            <w:tcW w:w="978" w:type="dxa"/>
            <w:gridSpan w:val="2"/>
            <w:shd w:val="clear" w:color="auto" w:fill="auto"/>
            <w:noWrap/>
            <w:vAlign w:val="center"/>
            <w:hideMark/>
          </w:tcPr>
          <w:p w14:paraId="27915663" w14:textId="77777777" w:rsidR="008105F8" w:rsidRPr="00EC1913" w:rsidRDefault="008105F8" w:rsidP="00F54ACD">
            <w:pPr>
              <w:contextualSpacing/>
              <w:jc w:val="center"/>
              <w:rPr>
                <w:color w:val="000000"/>
                <w:sz w:val="20"/>
                <w:szCs w:val="20"/>
              </w:rPr>
            </w:pPr>
            <w:r w:rsidRPr="00EC1913">
              <w:rPr>
                <w:color w:val="000000"/>
                <w:sz w:val="20"/>
                <w:szCs w:val="20"/>
              </w:rPr>
              <w:t>5.85</w:t>
            </w:r>
          </w:p>
        </w:tc>
        <w:tc>
          <w:tcPr>
            <w:tcW w:w="851" w:type="dxa"/>
            <w:gridSpan w:val="2"/>
            <w:shd w:val="clear" w:color="auto" w:fill="auto"/>
            <w:noWrap/>
            <w:vAlign w:val="center"/>
            <w:hideMark/>
          </w:tcPr>
          <w:p w14:paraId="0DABD95A" w14:textId="77777777" w:rsidR="008105F8" w:rsidRPr="00EC1913" w:rsidRDefault="008105F8" w:rsidP="00F54ACD">
            <w:pPr>
              <w:contextualSpacing/>
              <w:jc w:val="center"/>
              <w:rPr>
                <w:color w:val="000000"/>
                <w:sz w:val="20"/>
                <w:szCs w:val="20"/>
              </w:rPr>
            </w:pPr>
            <w:r w:rsidRPr="00EC1913">
              <w:rPr>
                <w:color w:val="000000"/>
                <w:sz w:val="20"/>
                <w:szCs w:val="20"/>
              </w:rPr>
              <w:t>0.40</w:t>
            </w:r>
          </w:p>
        </w:tc>
        <w:tc>
          <w:tcPr>
            <w:tcW w:w="974" w:type="dxa"/>
            <w:gridSpan w:val="2"/>
            <w:shd w:val="clear" w:color="auto" w:fill="auto"/>
            <w:noWrap/>
            <w:vAlign w:val="center"/>
            <w:hideMark/>
          </w:tcPr>
          <w:p w14:paraId="14BE0CD1" w14:textId="77777777" w:rsidR="008105F8" w:rsidRPr="00EC1913" w:rsidRDefault="008105F8" w:rsidP="00F54ACD">
            <w:pPr>
              <w:contextualSpacing/>
              <w:jc w:val="center"/>
              <w:rPr>
                <w:color w:val="000000"/>
                <w:sz w:val="20"/>
                <w:szCs w:val="20"/>
              </w:rPr>
            </w:pPr>
            <w:r w:rsidRPr="00EC1913">
              <w:rPr>
                <w:color w:val="000000"/>
                <w:sz w:val="20"/>
                <w:szCs w:val="20"/>
              </w:rPr>
              <w:t>5.19</w:t>
            </w:r>
          </w:p>
        </w:tc>
        <w:tc>
          <w:tcPr>
            <w:tcW w:w="905" w:type="dxa"/>
            <w:gridSpan w:val="2"/>
            <w:shd w:val="clear" w:color="auto" w:fill="auto"/>
            <w:noWrap/>
            <w:vAlign w:val="center"/>
            <w:hideMark/>
          </w:tcPr>
          <w:p w14:paraId="59FE6D77" w14:textId="77777777" w:rsidR="008105F8" w:rsidRPr="00EC1913" w:rsidRDefault="008105F8" w:rsidP="00F54ACD">
            <w:pPr>
              <w:contextualSpacing/>
              <w:jc w:val="center"/>
              <w:rPr>
                <w:color w:val="000000"/>
                <w:sz w:val="20"/>
                <w:szCs w:val="20"/>
              </w:rPr>
            </w:pPr>
            <w:r w:rsidRPr="00EC1913">
              <w:rPr>
                <w:color w:val="000000"/>
                <w:sz w:val="20"/>
                <w:szCs w:val="20"/>
              </w:rPr>
              <w:t>5.99</w:t>
            </w:r>
          </w:p>
        </w:tc>
        <w:tc>
          <w:tcPr>
            <w:tcW w:w="1014" w:type="dxa"/>
            <w:gridSpan w:val="2"/>
            <w:shd w:val="clear" w:color="auto" w:fill="auto"/>
            <w:noWrap/>
            <w:vAlign w:val="center"/>
            <w:hideMark/>
          </w:tcPr>
          <w:p w14:paraId="10BA4946" w14:textId="77777777" w:rsidR="008105F8" w:rsidRPr="00EC1913" w:rsidRDefault="008105F8" w:rsidP="00F54ACD">
            <w:pPr>
              <w:contextualSpacing/>
              <w:jc w:val="center"/>
              <w:rPr>
                <w:color w:val="333333"/>
                <w:sz w:val="20"/>
                <w:szCs w:val="20"/>
              </w:rPr>
            </w:pPr>
            <w:r w:rsidRPr="00EC1913">
              <w:rPr>
                <w:color w:val="333333"/>
                <w:sz w:val="20"/>
                <w:szCs w:val="20"/>
              </w:rPr>
              <w:t>0.39</w:t>
            </w:r>
          </w:p>
        </w:tc>
      </w:tr>
      <w:tr w:rsidR="008105F8" w:rsidRPr="00EC1913" w14:paraId="270E168A" w14:textId="77777777" w:rsidTr="00F54ACD">
        <w:trPr>
          <w:trHeight w:val="166"/>
        </w:trPr>
        <w:tc>
          <w:tcPr>
            <w:tcW w:w="3702" w:type="dxa"/>
            <w:shd w:val="clear" w:color="auto" w:fill="auto"/>
            <w:vAlign w:val="center"/>
            <w:hideMark/>
          </w:tcPr>
          <w:p w14:paraId="03210B43" w14:textId="77777777" w:rsidR="008105F8" w:rsidRPr="00EC1913" w:rsidRDefault="008105F8" w:rsidP="00F54ACD">
            <w:pPr>
              <w:contextualSpacing/>
              <w:rPr>
                <w:color w:val="000000"/>
                <w:sz w:val="20"/>
                <w:szCs w:val="20"/>
              </w:rPr>
            </w:pPr>
            <w:r w:rsidRPr="00EC1913">
              <w:rPr>
                <w:color w:val="000000"/>
                <w:sz w:val="20"/>
                <w:szCs w:val="20"/>
              </w:rPr>
              <w:t xml:space="preserve">   </w:t>
            </w:r>
            <w:proofErr w:type="spellStart"/>
            <w:r w:rsidRPr="00EC1913">
              <w:rPr>
                <w:color w:val="000000"/>
                <w:sz w:val="20"/>
                <w:szCs w:val="20"/>
              </w:rPr>
              <w:t>PHQ</w:t>
            </w:r>
            <w:proofErr w:type="spellEnd"/>
          </w:p>
        </w:tc>
        <w:tc>
          <w:tcPr>
            <w:tcW w:w="1120" w:type="dxa"/>
            <w:gridSpan w:val="2"/>
            <w:shd w:val="clear" w:color="auto" w:fill="auto"/>
            <w:noWrap/>
            <w:vAlign w:val="center"/>
            <w:hideMark/>
          </w:tcPr>
          <w:p w14:paraId="25B9B733" w14:textId="77777777" w:rsidR="008105F8" w:rsidRPr="00EC1913" w:rsidRDefault="008105F8" w:rsidP="00F54ACD">
            <w:pPr>
              <w:contextualSpacing/>
              <w:jc w:val="center"/>
              <w:rPr>
                <w:color w:val="000000"/>
                <w:sz w:val="20"/>
                <w:szCs w:val="20"/>
              </w:rPr>
            </w:pPr>
            <w:r w:rsidRPr="00EC1913">
              <w:rPr>
                <w:color w:val="000000"/>
                <w:sz w:val="20"/>
                <w:szCs w:val="20"/>
              </w:rPr>
              <w:t>0.26</w:t>
            </w:r>
          </w:p>
        </w:tc>
        <w:tc>
          <w:tcPr>
            <w:tcW w:w="956" w:type="dxa"/>
            <w:gridSpan w:val="2"/>
            <w:shd w:val="clear" w:color="auto" w:fill="auto"/>
            <w:noWrap/>
            <w:vAlign w:val="center"/>
            <w:hideMark/>
          </w:tcPr>
          <w:p w14:paraId="60B5D94C" w14:textId="77777777" w:rsidR="008105F8" w:rsidRPr="00EC1913" w:rsidRDefault="008105F8" w:rsidP="00F54ACD">
            <w:pPr>
              <w:contextualSpacing/>
              <w:jc w:val="center"/>
              <w:rPr>
                <w:color w:val="000000"/>
                <w:sz w:val="20"/>
                <w:szCs w:val="20"/>
              </w:rPr>
            </w:pPr>
            <w:r w:rsidRPr="00EC1913">
              <w:rPr>
                <w:color w:val="000000"/>
                <w:sz w:val="20"/>
                <w:szCs w:val="20"/>
              </w:rPr>
              <w:t>0.68</w:t>
            </w:r>
          </w:p>
        </w:tc>
        <w:tc>
          <w:tcPr>
            <w:tcW w:w="1008" w:type="dxa"/>
            <w:gridSpan w:val="2"/>
            <w:shd w:val="clear" w:color="auto" w:fill="auto"/>
            <w:noWrap/>
            <w:vAlign w:val="center"/>
            <w:hideMark/>
          </w:tcPr>
          <w:p w14:paraId="3B5E2B2D" w14:textId="77777777" w:rsidR="008105F8" w:rsidRPr="00EC1913" w:rsidRDefault="008105F8" w:rsidP="00F54ACD">
            <w:pPr>
              <w:contextualSpacing/>
              <w:jc w:val="center"/>
              <w:rPr>
                <w:color w:val="000000"/>
                <w:sz w:val="20"/>
                <w:szCs w:val="20"/>
              </w:rPr>
            </w:pPr>
            <w:r w:rsidRPr="00EC1913">
              <w:rPr>
                <w:color w:val="000000"/>
                <w:sz w:val="20"/>
                <w:szCs w:val="20"/>
              </w:rPr>
              <w:t>0.71</w:t>
            </w:r>
          </w:p>
        </w:tc>
        <w:tc>
          <w:tcPr>
            <w:tcW w:w="1052" w:type="dxa"/>
            <w:gridSpan w:val="2"/>
            <w:shd w:val="clear" w:color="auto" w:fill="auto"/>
            <w:noWrap/>
            <w:vAlign w:val="center"/>
            <w:hideMark/>
          </w:tcPr>
          <w:p w14:paraId="26AB2CC6" w14:textId="77777777" w:rsidR="008105F8" w:rsidRPr="00EC1913" w:rsidRDefault="008105F8" w:rsidP="00F54ACD">
            <w:pPr>
              <w:contextualSpacing/>
              <w:jc w:val="center"/>
              <w:rPr>
                <w:color w:val="000000"/>
                <w:sz w:val="20"/>
                <w:szCs w:val="20"/>
              </w:rPr>
            </w:pPr>
            <w:r w:rsidRPr="00EC1913">
              <w:rPr>
                <w:color w:val="000000"/>
                <w:sz w:val="20"/>
                <w:szCs w:val="20"/>
              </w:rPr>
              <w:t>-0.09</w:t>
            </w:r>
          </w:p>
        </w:tc>
        <w:tc>
          <w:tcPr>
            <w:tcW w:w="978" w:type="dxa"/>
            <w:gridSpan w:val="2"/>
            <w:shd w:val="clear" w:color="auto" w:fill="auto"/>
            <w:noWrap/>
            <w:vAlign w:val="center"/>
            <w:hideMark/>
          </w:tcPr>
          <w:p w14:paraId="0FE17017" w14:textId="77777777" w:rsidR="008105F8" w:rsidRPr="00EC1913" w:rsidRDefault="008105F8" w:rsidP="00F54ACD">
            <w:pPr>
              <w:contextualSpacing/>
              <w:jc w:val="center"/>
              <w:rPr>
                <w:color w:val="000000"/>
                <w:sz w:val="20"/>
                <w:szCs w:val="20"/>
              </w:rPr>
            </w:pPr>
            <w:r w:rsidRPr="00EC1913">
              <w:rPr>
                <w:color w:val="000000"/>
                <w:sz w:val="20"/>
                <w:szCs w:val="20"/>
              </w:rPr>
              <w:t>0.69</w:t>
            </w:r>
          </w:p>
        </w:tc>
        <w:tc>
          <w:tcPr>
            <w:tcW w:w="851" w:type="dxa"/>
            <w:gridSpan w:val="2"/>
            <w:shd w:val="clear" w:color="auto" w:fill="auto"/>
            <w:noWrap/>
            <w:vAlign w:val="center"/>
            <w:hideMark/>
          </w:tcPr>
          <w:p w14:paraId="5695D2C2" w14:textId="77777777" w:rsidR="008105F8" w:rsidRPr="00EC1913" w:rsidRDefault="008105F8" w:rsidP="00F54ACD">
            <w:pPr>
              <w:contextualSpacing/>
              <w:jc w:val="center"/>
              <w:rPr>
                <w:color w:val="000000"/>
                <w:sz w:val="20"/>
                <w:szCs w:val="20"/>
              </w:rPr>
            </w:pPr>
            <w:r w:rsidRPr="00EC1913">
              <w:rPr>
                <w:color w:val="000000"/>
                <w:sz w:val="20"/>
                <w:szCs w:val="20"/>
              </w:rPr>
              <w:t>0.89</w:t>
            </w:r>
          </w:p>
        </w:tc>
        <w:tc>
          <w:tcPr>
            <w:tcW w:w="974" w:type="dxa"/>
            <w:gridSpan w:val="2"/>
            <w:shd w:val="clear" w:color="auto" w:fill="auto"/>
            <w:noWrap/>
            <w:vAlign w:val="center"/>
            <w:hideMark/>
          </w:tcPr>
          <w:p w14:paraId="4CC3435A" w14:textId="77777777" w:rsidR="008105F8" w:rsidRPr="00EC1913" w:rsidRDefault="008105F8" w:rsidP="00F54ACD">
            <w:pPr>
              <w:contextualSpacing/>
              <w:jc w:val="center"/>
              <w:rPr>
                <w:color w:val="000000"/>
                <w:sz w:val="20"/>
                <w:szCs w:val="20"/>
              </w:rPr>
            </w:pPr>
            <w:r w:rsidRPr="00EC1913">
              <w:rPr>
                <w:color w:val="000000"/>
                <w:sz w:val="20"/>
                <w:szCs w:val="20"/>
              </w:rPr>
              <w:t>-0.26</w:t>
            </w:r>
          </w:p>
        </w:tc>
        <w:tc>
          <w:tcPr>
            <w:tcW w:w="905" w:type="dxa"/>
            <w:gridSpan w:val="2"/>
            <w:shd w:val="clear" w:color="auto" w:fill="auto"/>
            <w:noWrap/>
            <w:vAlign w:val="center"/>
            <w:hideMark/>
          </w:tcPr>
          <w:p w14:paraId="79FBBC97" w14:textId="77777777" w:rsidR="008105F8" w:rsidRPr="00EC1913" w:rsidRDefault="008105F8" w:rsidP="00F54ACD">
            <w:pPr>
              <w:contextualSpacing/>
              <w:jc w:val="center"/>
              <w:rPr>
                <w:color w:val="000000"/>
                <w:sz w:val="20"/>
                <w:szCs w:val="20"/>
              </w:rPr>
            </w:pPr>
            <w:r w:rsidRPr="00EC1913">
              <w:rPr>
                <w:color w:val="000000"/>
                <w:sz w:val="20"/>
                <w:szCs w:val="20"/>
              </w:rPr>
              <w:t>0.68</w:t>
            </w:r>
          </w:p>
        </w:tc>
        <w:tc>
          <w:tcPr>
            <w:tcW w:w="1014" w:type="dxa"/>
            <w:gridSpan w:val="2"/>
            <w:shd w:val="clear" w:color="auto" w:fill="auto"/>
            <w:noWrap/>
            <w:vAlign w:val="center"/>
            <w:hideMark/>
          </w:tcPr>
          <w:p w14:paraId="497EF872" w14:textId="77777777" w:rsidR="008105F8" w:rsidRPr="00EC1913" w:rsidRDefault="008105F8" w:rsidP="00F54ACD">
            <w:pPr>
              <w:contextualSpacing/>
              <w:jc w:val="center"/>
              <w:rPr>
                <w:color w:val="333333"/>
                <w:sz w:val="20"/>
                <w:szCs w:val="20"/>
              </w:rPr>
            </w:pPr>
            <w:r w:rsidRPr="00EC1913">
              <w:rPr>
                <w:color w:val="333333"/>
                <w:sz w:val="20"/>
                <w:szCs w:val="20"/>
              </w:rPr>
              <w:t>0.72</w:t>
            </w:r>
          </w:p>
        </w:tc>
      </w:tr>
      <w:tr w:rsidR="008105F8" w:rsidRPr="00EC1913" w14:paraId="46FA46D6" w14:textId="77777777" w:rsidTr="00F54ACD">
        <w:trPr>
          <w:trHeight w:val="166"/>
        </w:trPr>
        <w:tc>
          <w:tcPr>
            <w:tcW w:w="3702" w:type="dxa"/>
            <w:shd w:val="clear" w:color="auto" w:fill="auto"/>
            <w:vAlign w:val="center"/>
            <w:hideMark/>
          </w:tcPr>
          <w:p w14:paraId="62837FE7" w14:textId="77777777" w:rsidR="008105F8" w:rsidRPr="00EC1913" w:rsidRDefault="008105F8" w:rsidP="00F54ACD">
            <w:pPr>
              <w:contextualSpacing/>
              <w:rPr>
                <w:color w:val="000000"/>
                <w:sz w:val="20"/>
                <w:szCs w:val="20"/>
              </w:rPr>
            </w:pPr>
            <w:r w:rsidRPr="00EC1913">
              <w:rPr>
                <w:color w:val="000000"/>
                <w:sz w:val="20"/>
                <w:szCs w:val="20"/>
              </w:rPr>
              <w:lastRenderedPageBreak/>
              <w:t xml:space="preserve">   Composite*</w:t>
            </w:r>
          </w:p>
        </w:tc>
        <w:tc>
          <w:tcPr>
            <w:tcW w:w="1120" w:type="dxa"/>
            <w:gridSpan w:val="2"/>
            <w:shd w:val="clear" w:color="auto" w:fill="auto"/>
            <w:noWrap/>
            <w:vAlign w:val="center"/>
            <w:hideMark/>
          </w:tcPr>
          <w:p w14:paraId="69CE9D9A" w14:textId="77777777" w:rsidR="008105F8" w:rsidRPr="00EC1913" w:rsidRDefault="008105F8" w:rsidP="00F54ACD">
            <w:pPr>
              <w:contextualSpacing/>
              <w:jc w:val="center"/>
              <w:rPr>
                <w:color w:val="000000"/>
                <w:sz w:val="20"/>
                <w:szCs w:val="20"/>
              </w:rPr>
            </w:pPr>
            <w:r w:rsidRPr="00EC1913">
              <w:rPr>
                <w:color w:val="000000"/>
                <w:sz w:val="20"/>
                <w:szCs w:val="20"/>
              </w:rPr>
              <w:t>-0.004</w:t>
            </w:r>
          </w:p>
        </w:tc>
        <w:tc>
          <w:tcPr>
            <w:tcW w:w="956" w:type="dxa"/>
            <w:gridSpan w:val="2"/>
            <w:shd w:val="clear" w:color="auto" w:fill="auto"/>
            <w:noWrap/>
            <w:vAlign w:val="center"/>
            <w:hideMark/>
          </w:tcPr>
          <w:p w14:paraId="3681113C" w14:textId="77777777" w:rsidR="008105F8" w:rsidRPr="00EC1913" w:rsidRDefault="008105F8" w:rsidP="00F54ACD">
            <w:pPr>
              <w:contextualSpacing/>
              <w:jc w:val="center"/>
              <w:rPr>
                <w:color w:val="000000"/>
                <w:sz w:val="20"/>
                <w:szCs w:val="20"/>
              </w:rPr>
            </w:pPr>
            <w:r w:rsidRPr="00EC1913">
              <w:rPr>
                <w:color w:val="000000"/>
                <w:sz w:val="20"/>
                <w:szCs w:val="20"/>
              </w:rPr>
              <w:t>0.11</w:t>
            </w:r>
          </w:p>
        </w:tc>
        <w:tc>
          <w:tcPr>
            <w:tcW w:w="1008" w:type="dxa"/>
            <w:gridSpan w:val="2"/>
            <w:shd w:val="clear" w:color="auto" w:fill="auto"/>
            <w:noWrap/>
            <w:vAlign w:val="center"/>
            <w:hideMark/>
          </w:tcPr>
          <w:p w14:paraId="107F010B" w14:textId="77777777" w:rsidR="008105F8" w:rsidRPr="00EC1913" w:rsidRDefault="008105F8" w:rsidP="00F54ACD">
            <w:pPr>
              <w:contextualSpacing/>
              <w:jc w:val="center"/>
              <w:rPr>
                <w:color w:val="000000"/>
                <w:sz w:val="20"/>
                <w:szCs w:val="20"/>
              </w:rPr>
            </w:pPr>
            <w:r w:rsidRPr="00EC1913">
              <w:rPr>
                <w:color w:val="000000"/>
                <w:sz w:val="20"/>
                <w:szCs w:val="20"/>
              </w:rPr>
              <w:t>0.97</w:t>
            </w:r>
          </w:p>
        </w:tc>
        <w:tc>
          <w:tcPr>
            <w:tcW w:w="1052" w:type="dxa"/>
            <w:gridSpan w:val="2"/>
            <w:shd w:val="clear" w:color="auto" w:fill="auto"/>
            <w:noWrap/>
            <w:vAlign w:val="center"/>
            <w:hideMark/>
          </w:tcPr>
          <w:p w14:paraId="7357B917" w14:textId="77777777" w:rsidR="008105F8" w:rsidRPr="00EC1913" w:rsidRDefault="008105F8" w:rsidP="00F54ACD">
            <w:pPr>
              <w:contextualSpacing/>
              <w:jc w:val="center"/>
              <w:rPr>
                <w:color w:val="000000"/>
                <w:sz w:val="20"/>
                <w:szCs w:val="20"/>
              </w:rPr>
            </w:pPr>
            <w:r w:rsidRPr="00EC1913">
              <w:rPr>
                <w:color w:val="000000"/>
                <w:sz w:val="20"/>
                <w:szCs w:val="20"/>
              </w:rPr>
              <w:t>-0.13</w:t>
            </w:r>
          </w:p>
        </w:tc>
        <w:tc>
          <w:tcPr>
            <w:tcW w:w="978" w:type="dxa"/>
            <w:gridSpan w:val="2"/>
            <w:shd w:val="clear" w:color="auto" w:fill="auto"/>
            <w:noWrap/>
            <w:vAlign w:val="center"/>
            <w:hideMark/>
          </w:tcPr>
          <w:p w14:paraId="0764AD1B" w14:textId="77777777" w:rsidR="008105F8" w:rsidRPr="00EC1913" w:rsidRDefault="008105F8" w:rsidP="00F54ACD">
            <w:pPr>
              <w:contextualSpacing/>
              <w:jc w:val="center"/>
              <w:rPr>
                <w:color w:val="000000"/>
                <w:sz w:val="20"/>
                <w:szCs w:val="20"/>
              </w:rPr>
            </w:pPr>
            <w:r w:rsidRPr="00EC1913">
              <w:rPr>
                <w:color w:val="000000"/>
                <w:sz w:val="20"/>
                <w:szCs w:val="20"/>
              </w:rPr>
              <w:t>0.11</w:t>
            </w:r>
          </w:p>
        </w:tc>
        <w:tc>
          <w:tcPr>
            <w:tcW w:w="851" w:type="dxa"/>
            <w:gridSpan w:val="2"/>
            <w:shd w:val="clear" w:color="auto" w:fill="auto"/>
            <w:noWrap/>
            <w:vAlign w:val="center"/>
            <w:hideMark/>
          </w:tcPr>
          <w:p w14:paraId="3C51A120" w14:textId="77777777" w:rsidR="008105F8" w:rsidRPr="00EC1913" w:rsidRDefault="008105F8" w:rsidP="00F54ACD">
            <w:pPr>
              <w:contextualSpacing/>
              <w:jc w:val="center"/>
              <w:rPr>
                <w:color w:val="000000"/>
                <w:sz w:val="20"/>
                <w:szCs w:val="20"/>
              </w:rPr>
            </w:pPr>
            <w:r w:rsidRPr="00EC1913">
              <w:rPr>
                <w:color w:val="000000"/>
                <w:sz w:val="20"/>
                <w:szCs w:val="20"/>
              </w:rPr>
              <w:t>0.24</w:t>
            </w:r>
          </w:p>
        </w:tc>
        <w:tc>
          <w:tcPr>
            <w:tcW w:w="974" w:type="dxa"/>
            <w:gridSpan w:val="2"/>
            <w:shd w:val="clear" w:color="auto" w:fill="auto"/>
            <w:noWrap/>
            <w:vAlign w:val="center"/>
            <w:hideMark/>
          </w:tcPr>
          <w:p w14:paraId="229F2AEF" w14:textId="77777777" w:rsidR="008105F8" w:rsidRPr="00EC1913" w:rsidRDefault="008105F8" w:rsidP="00F54ACD">
            <w:pPr>
              <w:contextualSpacing/>
              <w:jc w:val="center"/>
              <w:rPr>
                <w:color w:val="000000"/>
                <w:sz w:val="20"/>
                <w:szCs w:val="20"/>
              </w:rPr>
            </w:pPr>
            <w:r w:rsidRPr="00EC1913">
              <w:rPr>
                <w:color w:val="000000"/>
                <w:sz w:val="20"/>
                <w:szCs w:val="20"/>
              </w:rPr>
              <w:t>-0.13</w:t>
            </w:r>
          </w:p>
        </w:tc>
        <w:tc>
          <w:tcPr>
            <w:tcW w:w="905" w:type="dxa"/>
            <w:gridSpan w:val="2"/>
            <w:shd w:val="clear" w:color="auto" w:fill="auto"/>
            <w:noWrap/>
            <w:vAlign w:val="center"/>
            <w:hideMark/>
          </w:tcPr>
          <w:p w14:paraId="4F3ED24A" w14:textId="77777777" w:rsidR="008105F8" w:rsidRPr="00EC1913" w:rsidRDefault="008105F8" w:rsidP="00F54ACD">
            <w:pPr>
              <w:contextualSpacing/>
              <w:jc w:val="center"/>
              <w:rPr>
                <w:color w:val="000000"/>
                <w:sz w:val="20"/>
                <w:szCs w:val="20"/>
              </w:rPr>
            </w:pPr>
            <w:r w:rsidRPr="00EC1913">
              <w:rPr>
                <w:color w:val="000000"/>
                <w:sz w:val="20"/>
                <w:szCs w:val="20"/>
              </w:rPr>
              <w:t>0.11</w:t>
            </w:r>
          </w:p>
        </w:tc>
        <w:tc>
          <w:tcPr>
            <w:tcW w:w="1014" w:type="dxa"/>
            <w:gridSpan w:val="2"/>
            <w:shd w:val="clear" w:color="auto" w:fill="auto"/>
            <w:noWrap/>
            <w:vAlign w:val="center"/>
            <w:hideMark/>
          </w:tcPr>
          <w:p w14:paraId="381634F4" w14:textId="77777777" w:rsidR="008105F8" w:rsidRPr="00EC1913" w:rsidRDefault="008105F8" w:rsidP="00F54ACD">
            <w:pPr>
              <w:contextualSpacing/>
              <w:jc w:val="center"/>
              <w:rPr>
                <w:color w:val="333333"/>
                <w:sz w:val="20"/>
                <w:szCs w:val="20"/>
              </w:rPr>
            </w:pPr>
            <w:r w:rsidRPr="00EC1913">
              <w:rPr>
                <w:color w:val="333333"/>
                <w:sz w:val="20"/>
                <w:szCs w:val="20"/>
              </w:rPr>
              <w:t>0.26</w:t>
            </w:r>
          </w:p>
        </w:tc>
      </w:tr>
      <w:tr w:rsidR="008105F8" w:rsidRPr="00EC1913" w14:paraId="32181FA9" w14:textId="77777777" w:rsidTr="00F54ACD">
        <w:trPr>
          <w:trHeight w:val="166"/>
        </w:trPr>
        <w:tc>
          <w:tcPr>
            <w:tcW w:w="3702" w:type="dxa"/>
            <w:shd w:val="clear" w:color="auto" w:fill="auto"/>
            <w:vAlign w:val="center"/>
          </w:tcPr>
          <w:p w14:paraId="0A7C638D" w14:textId="77777777" w:rsidR="008105F8" w:rsidRPr="00EC1913" w:rsidRDefault="008105F8" w:rsidP="00F54ACD">
            <w:pPr>
              <w:contextualSpacing/>
              <w:rPr>
                <w:color w:val="000000"/>
                <w:sz w:val="20"/>
                <w:szCs w:val="20"/>
              </w:rPr>
            </w:pPr>
          </w:p>
        </w:tc>
        <w:tc>
          <w:tcPr>
            <w:tcW w:w="1120" w:type="dxa"/>
            <w:gridSpan w:val="2"/>
            <w:shd w:val="clear" w:color="auto" w:fill="auto"/>
            <w:noWrap/>
            <w:vAlign w:val="center"/>
          </w:tcPr>
          <w:p w14:paraId="6103C999" w14:textId="77777777" w:rsidR="008105F8" w:rsidRPr="00EC1913" w:rsidRDefault="008105F8" w:rsidP="00F54ACD">
            <w:pPr>
              <w:contextualSpacing/>
              <w:jc w:val="center"/>
              <w:rPr>
                <w:color w:val="000000"/>
                <w:sz w:val="20"/>
                <w:szCs w:val="20"/>
              </w:rPr>
            </w:pPr>
          </w:p>
        </w:tc>
        <w:tc>
          <w:tcPr>
            <w:tcW w:w="956" w:type="dxa"/>
            <w:gridSpan w:val="2"/>
            <w:shd w:val="clear" w:color="auto" w:fill="auto"/>
            <w:noWrap/>
            <w:vAlign w:val="center"/>
          </w:tcPr>
          <w:p w14:paraId="6959E751" w14:textId="77777777" w:rsidR="008105F8" w:rsidRPr="00EC1913" w:rsidRDefault="008105F8" w:rsidP="00F54ACD">
            <w:pPr>
              <w:contextualSpacing/>
              <w:jc w:val="center"/>
              <w:rPr>
                <w:color w:val="000000"/>
                <w:sz w:val="20"/>
                <w:szCs w:val="20"/>
              </w:rPr>
            </w:pPr>
          </w:p>
        </w:tc>
        <w:tc>
          <w:tcPr>
            <w:tcW w:w="1008" w:type="dxa"/>
            <w:gridSpan w:val="2"/>
            <w:shd w:val="clear" w:color="auto" w:fill="auto"/>
            <w:noWrap/>
            <w:vAlign w:val="center"/>
          </w:tcPr>
          <w:p w14:paraId="390C0E7B" w14:textId="77777777" w:rsidR="008105F8" w:rsidRPr="00EC1913" w:rsidRDefault="008105F8" w:rsidP="00F54ACD">
            <w:pPr>
              <w:contextualSpacing/>
              <w:jc w:val="center"/>
              <w:rPr>
                <w:color w:val="000000"/>
                <w:sz w:val="20"/>
                <w:szCs w:val="20"/>
              </w:rPr>
            </w:pPr>
          </w:p>
        </w:tc>
        <w:tc>
          <w:tcPr>
            <w:tcW w:w="1052" w:type="dxa"/>
            <w:gridSpan w:val="2"/>
            <w:shd w:val="clear" w:color="auto" w:fill="auto"/>
            <w:noWrap/>
            <w:vAlign w:val="center"/>
          </w:tcPr>
          <w:p w14:paraId="1E94486C" w14:textId="77777777" w:rsidR="008105F8" w:rsidRPr="00EC1913" w:rsidRDefault="008105F8" w:rsidP="00F54ACD">
            <w:pPr>
              <w:contextualSpacing/>
              <w:jc w:val="center"/>
              <w:rPr>
                <w:color w:val="000000"/>
                <w:sz w:val="20"/>
                <w:szCs w:val="20"/>
              </w:rPr>
            </w:pPr>
          </w:p>
        </w:tc>
        <w:tc>
          <w:tcPr>
            <w:tcW w:w="978" w:type="dxa"/>
            <w:gridSpan w:val="2"/>
            <w:shd w:val="clear" w:color="auto" w:fill="auto"/>
            <w:noWrap/>
            <w:vAlign w:val="center"/>
          </w:tcPr>
          <w:p w14:paraId="39AB1281" w14:textId="77777777" w:rsidR="008105F8" w:rsidRPr="00EC1913" w:rsidRDefault="008105F8" w:rsidP="00F54ACD">
            <w:pPr>
              <w:contextualSpacing/>
              <w:jc w:val="center"/>
              <w:rPr>
                <w:color w:val="000000"/>
                <w:sz w:val="20"/>
                <w:szCs w:val="20"/>
              </w:rPr>
            </w:pPr>
          </w:p>
        </w:tc>
        <w:tc>
          <w:tcPr>
            <w:tcW w:w="851" w:type="dxa"/>
            <w:gridSpan w:val="2"/>
            <w:shd w:val="clear" w:color="auto" w:fill="auto"/>
            <w:noWrap/>
            <w:vAlign w:val="center"/>
          </w:tcPr>
          <w:p w14:paraId="72F1AC56" w14:textId="77777777" w:rsidR="008105F8" w:rsidRPr="00EC1913" w:rsidRDefault="008105F8" w:rsidP="00F54ACD">
            <w:pPr>
              <w:contextualSpacing/>
              <w:jc w:val="center"/>
              <w:rPr>
                <w:color w:val="000000"/>
                <w:sz w:val="20"/>
                <w:szCs w:val="20"/>
              </w:rPr>
            </w:pPr>
          </w:p>
        </w:tc>
        <w:tc>
          <w:tcPr>
            <w:tcW w:w="974" w:type="dxa"/>
            <w:gridSpan w:val="2"/>
            <w:shd w:val="clear" w:color="auto" w:fill="auto"/>
            <w:noWrap/>
            <w:vAlign w:val="center"/>
          </w:tcPr>
          <w:p w14:paraId="3C6D5867" w14:textId="77777777" w:rsidR="008105F8" w:rsidRPr="00EC1913" w:rsidRDefault="008105F8" w:rsidP="00F54ACD">
            <w:pPr>
              <w:contextualSpacing/>
              <w:jc w:val="center"/>
              <w:rPr>
                <w:color w:val="000000"/>
                <w:sz w:val="20"/>
                <w:szCs w:val="20"/>
              </w:rPr>
            </w:pPr>
          </w:p>
        </w:tc>
        <w:tc>
          <w:tcPr>
            <w:tcW w:w="905" w:type="dxa"/>
            <w:gridSpan w:val="2"/>
            <w:shd w:val="clear" w:color="auto" w:fill="auto"/>
            <w:noWrap/>
            <w:vAlign w:val="center"/>
          </w:tcPr>
          <w:p w14:paraId="49E53651" w14:textId="77777777" w:rsidR="008105F8" w:rsidRPr="00EC1913" w:rsidRDefault="008105F8" w:rsidP="00F54ACD">
            <w:pPr>
              <w:contextualSpacing/>
              <w:jc w:val="center"/>
              <w:rPr>
                <w:color w:val="000000"/>
                <w:sz w:val="20"/>
                <w:szCs w:val="20"/>
              </w:rPr>
            </w:pPr>
          </w:p>
        </w:tc>
        <w:tc>
          <w:tcPr>
            <w:tcW w:w="1014" w:type="dxa"/>
            <w:gridSpan w:val="2"/>
            <w:shd w:val="clear" w:color="auto" w:fill="auto"/>
            <w:noWrap/>
            <w:vAlign w:val="center"/>
          </w:tcPr>
          <w:p w14:paraId="7961A587" w14:textId="77777777" w:rsidR="008105F8" w:rsidRPr="00EC1913" w:rsidRDefault="008105F8" w:rsidP="00F54ACD">
            <w:pPr>
              <w:contextualSpacing/>
              <w:jc w:val="center"/>
              <w:rPr>
                <w:color w:val="333333"/>
                <w:sz w:val="20"/>
                <w:szCs w:val="20"/>
              </w:rPr>
            </w:pPr>
          </w:p>
        </w:tc>
      </w:tr>
      <w:tr w:rsidR="008105F8" w:rsidRPr="00EC1913" w14:paraId="63482F93" w14:textId="77777777" w:rsidTr="00F54ACD">
        <w:trPr>
          <w:trHeight w:val="166"/>
        </w:trPr>
        <w:tc>
          <w:tcPr>
            <w:tcW w:w="12560" w:type="dxa"/>
            <w:gridSpan w:val="19"/>
            <w:shd w:val="clear" w:color="auto" w:fill="auto"/>
            <w:vAlign w:val="center"/>
          </w:tcPr>
          <w:p w14:paraId="6283545C" w14:textId="77777777" w:rsidR="008105F8" w:rsidRPr="00EC1913" w:rsidRDefault="008105F8" w:rsidP="00F54ACD">
            <w:pPr>
              <w:contextualSpacing/>
              <w:rPr>
                <w:color w:val="333333"/>
                <w:sz w:val="20"/>
                <w:szCs w:val="20"/>
              </w:rPr>
            </w:pPr>
            <w:r w:rsidRPr="00EC1913">
              <w:rPr>
                <w:color w:val="000000"/>
                <w:sz w:val="20"/>
                <w:szCs w:val="20"/>
                <w:u w:val="single"/>
              </w:rPr>
              <w:t>Parent-Reported Composite Risk Score</w:t>
            </w:r>
          </w:p>
        </w:tc>
      </w:tr>
      <w:tr w:rsidR="008105F8" w:rsidRPr="00EC1913" w14:paraId="3F15F82D" w14:textId="77777777" w:rsidTr="00F54ACD">
        <w:trPr>
          <w:trHeight w:val="166"/>
        </w:trPr>
        <w:tc>
          <w:tcPr>
            <w:tcW w:w="3702" w:type="dxa"/>
            <w:shd w:val="clear" w:color="auto" w:fill="auto"/>
            <w:vAlign w:val="center"/>
          </w:tcPr>
          <w:p w14:paraId="635618A8" w14:textId="77777777" w:rsidR="008105F8" w:rsidRPr="00EC1913" w:rsidRDefault="008105F8" w:rsidP="00F54ACD">
            <w:pPr>
              <w:contextualSpacing/>
              <w:rPr>
                <w:color w:val="000000"/>
                <w:sz w:val="20"/>
                <w:szCs w:val="20"/>
              </w:rPr>
            </w:pPr>
            <w:r w:rsidRPr="00EC1913">
              <w:rPr>
                <w:i/>
                <w:iCs/>
                <w:color w:val="000000"/>
                <w:sz w:val="20"/>
                <w:szCs w:val="20"/>
              </w:rPr>
              <w:t>Emotional Health</w:t>
            </w:r>
          </w:p>
        </w:tc>
        <w:tc>
          <w:tcPr>
            <w:tcW w:w="1120" w:type="dxa"/>
            <w:gridSpan w:val="2"/>
            <w:shd w:val="clear" w:color="auto" w:fill="auto"/>
            <w:noWrap/>
            <w:vAlign w:val="bottom"/>
          </w:tcPr>
          <w:p w14:paraId="78FCC157" w14:textId="77777777" w:rsidR="008105F8" w:rsidRPr="00EC1913" w:rsidRDefault="008105F8" w:rsidP="00F54ACD">
            <w:pPr>
              <w:contextualSpacing/>
              <w:jc w:val="center"/>
              <w:rPr>
                <w:color w:val="000000"/>
                <w:sz w:val="20"/>
                <w:szCs w:val="20"/>
              </w:rPr>
            </w:pPr>
          </w:p>
        </w:tc>
        <w:tc>
          <w:tcPr>
            <w:tcW w:w="956" w:type="dxa"/>
            <w:gridSpan w:val="2"/>
            <w:shd w:val="clear" w:color="auto" w:fill="auto"/>
            <w:noWrap/>
            <w:vAlign w:val="bottom"/>
          </w:tcPr>
          <w:p w14:paraId="13921E6B" w14:textId="77777777" w:rsidR="008105F8" w:rsidRPr="00EC1913" w:rsidRDefault="008105F8" w:rsidP="00F54ACD">
            <w:pPr>
              <w:contextualSpacing/>
              <w:jc w:val="center"/>
              <w:rPr>
                <w:color w:val="000000"/>
                <w:sz w:val="20"/>
                <w:szCs w:val="20"/>
              </w:rPr>
            </w:pPr>
          </w:p>
        </w:tc>
        <w:tc>
          <w:tcPr>
            <w:tcW w:w="1008" w:type="dxa"/>
            <w:gridSpan w:val="2"/>
            <w:shd w:val="clear" w:color="auto" w:fill="auto"/>
            <w:noWrap/>
            <w:vAlign w:val="bottom"/>
          </w:tcPr>
          <w:p w14:paraId="67A5B36E" w14:textId="77777777" w:rsidR="008105F8" w:rsidRPr="00EC1913" w:rsidRDefault="008105F8" w:rsidP="00F54ACD">
            <w:pPr>
              <w:contextualSpacing/>
              <w:jc w:val="center"/>
              <w:rPr>
                <w:color w:val="000000"/>
                <w:sz w:val="20"/>
                <w:szCs w:val="20"/>
              </w:rPr>
            </w:pPr>
          </w:p>
        </w:tc>
        <w:tc>
          <w:tcPr>
            <w:tcW w:w="1052" w:type="dxa"/>
            <w:gridSpan w:val="2"/>
            <w:shd w:val="clear" w:color="auto" w:fill="auto"/>
            <w:noWrap/>
            <w:vAlign w:val="bottom"/>
          </w:tcPr>
          <w:p w14:paraId="5AE16484" w14:textId="77777777" w:rsidR="008105F8" w:rsidRPr="00EC1913" w:rsidRDefault="008105F8" w:rsidP="00F54ACD">
            <w:pPr>
              <w:contextualSpacing/>
              <w:jc w:val="center"/>
              <w:rPr>
                <w:color w:val="000000"/>
                <w:sz w:val="20"/>
                <w:szCs w:val="20"/>
              </w:rPr>
            </w:pPr>
          </w:p>
        </w:tc>
        <w:tc>
          <w:tcPr>
            <w:tcW w:w="978" w:type="dxa"/>
            <w:gridSpan w:val="2"/>
            <w:shd w:val="clear" w:color="auto" w:fill="auto"/>
            <w:noWrap/>
            <w:vAlign w:val="bottom"/>
          </w:tcPr>
          <w:p w14:paraId="13DA08D4" w14:textId="77777777" w:rsidR="008105F8" w:rsidRPr="00EC1913" w:rsidRDefault="008105F8" w:rsidP="00F54ACD">
            <w:pPr>
              <w:contextualSpacing/>
              <w:jc w:val="center"/>
              <w:rPr>
                <w:color w:val="000000"/>
                <w:sz w:val="20"/>
                <w:szCs w:val="20"/>
              </w:rPr>
            </w:pPr>
          </w:p>
        </w:tc>
        <w:tc>
          <w:tcPr>
            <w:tcW w:w="851" w:type="dxa"/>
            <w:gridSpan w:val="2"/>
            <w:shd w:val="clear" w:color="auto" w:fill="auto"/>
            <w:noWrap/>
            <w:vAlign w:val="bottom"/>
          </w:tcPr>
          <w:p w14:paraId="2E915D92" w14:textId="77777777" w:rsidR="008105F8" w:rsidRPr="00EC1913" w:rsidRDefault="008105F8" w:rsidP="00F54ACD">
            <w:pPr>
              <w:contextualSpacing/>
              <w:jc w:val="center"/>
              <w:rPr>
                <w:color w:val="000000"/>
                <w:sz w:val="20"/>
                <w:szCs w:val="20"/>
              </w:rPr>
            </w:pPr>
          </w:p>
        </w:tc>
        <w:tc>
          <w:tcPr>
            <w:tcW w:w="974" w:type="dxa"/>
            <w:gridSpan w:val="2"/>
            <w:shd w:val="clear" w:color="auto" w:fill="auto"/>
            <w:noWrap/>
            <w:vAlign w:val="center"/>
          </w:tcPr>
          <w:p w14:paraId="19BF787E" w14:textId="77777777" w:rsidR="008105F8" w:rsidRPr="00EC1913" w:rsidRDefault="008105F8" w:rsidP="00F54ACD">
            <w:pPr>
              <w:contextualSpacing/>
              <w:jc w:val="center"/>
              <w:rPr>
                <w:color w:val="000000"/>
                <w:sz w:val="20"/>
                <w:szCs w:val="20"/>
              </w:rPr>
            </w:pPr>
          </w:p>
        </w:tc>
        <w:tc>
          <w:tcPr>
            <w:tcW w:w="905" w:type="dxa"/>
            <w:gridSpan w:val="2"/>
            <w:shd w:val="clear" w:color="auto" w:fill="auto"/>
            <w:noWrap/>
            <w:vAlign w:val="center"/>
          </w:tcPr>
          <w:p w14:paraId="617E3411" w14:textId="77777777" w:rsidR="008105F8" w:rsidRPr="00EC1913" w:rsidRDefault="008105F8" w:rsidP="00F54ACD">
            <w:pPr>
              <w:contextualSpacing/>
              <w:jc w:val="center"/>
              <w:rPr>
                <w:color w:val="000000"/>
                <w:sz w:val="20"/>
                <w:szCs w:val="20"/>
              </w:rPr>
            </w:pPr>
          </w:p>
        </w:tc>
        <w:tc>
          <w:tcPr>
            <w:tcW w:w="1014" w:type="dxa"/>
            <w:gridSpan w:val="2"/>
            <w:shd w:val="clear" w:color="auto" w:fill="auto"/>
            <w:noWrap/>
            <w:vAlign w:val="center"/>
          </w:tcPr>
          <w:p w14:paraId="41A05627" w14:textId="77777777" w:rsidR="008105F8" w:rsidRPr="00EC1913" w:rsidRDefault="008105F8" w:rsidP="00F54ACD">
            <w:pPr>
              <w:contextualSpacing/>
              <w:jc w:val="center"/>
              <w:rPr>
                <w:color w:val="333333"/>
                <w:sz w:val="20"/>
                <w:szCs w:val="20"/>
              </w:rPr>
            </w:pPr>
          </w:p>
        </w:tc>
      </w:tr>
      <w:tr w:rsidR="008105F8" w:rsidRPr="00EC1913" w14:paraId="5F97AC20" w14:textId="77777777" w:rsidTr="00F54ACD">
        <w:trPr>
          <w:trHeight w:val="166"/>
        </w:trPr>
        <w:tc>
          <w:tcPr>
            <w:tcW w:w="3702" w:type="dxa"/>
            <w:shd w:val="clear" w:color="auto" w:fill="auto"/>
            <w:vAlign w:val="center"/>
          </w:tcPr>
          <w:p w14:paraId="48DEA04D" w14:textId="77777777" w:rsidR="008105F8" w:rsidRPr="00EC1913" w:rsidRDefault="008105F8" w:rsidP="00F54ACD">
            <w:pPr>
              <w:contextualSpacing/>
              <w:rPr>
                <w:color w:val="000000"/>
                <w:sz w:val="20"/>
                <w:szCs w:val="20"/>
              </w:rPr>
            </w:pPr>
            <w:r w:rsidRPr="00EC1913">
              <w:rPr>
                <w:color w:val="000000"/>
                <w:sz w:val="20"/>
                <w:szCs w:val="20"/>
              </w:rPr>
              <w:t xml:space="preserve">   Anxious/Depressed</w:t>
            </w:r>
          </w:p>
        </w:tc>
        <w:tc>
          <w:tcPr>
            <w:tcW w:w="1120" w:type="dxa"/>
            <w:gridSpan w:val="2"/>
            <w:shd w:val="clear" w:color="auto" w:fill="auto"/>
            <w:noWrap/>
            <w:vAlign w:val="center"/>
          </w:tcPr>
          <w:p w14:paraId="1FB88E87" w14:textId="77777777" w:rsidR="008105F8" w:rsidRPr="00EC1913" w:rsidRDefault="008105F8" w:rsidP="00F54ACD">
            <w:pPr>
              <w:contextualSpacing/>
              <w:jc w:val="center"/>
              <w:rPr>
                <w:color w:val="000000"/>
                <w:sz w:val="20"/>
                <w:szCs w:val="20"/>
              </w:rPr>
            </w:pPr>
            <w:r w:rsidRPr="00EC1913">
              <w:rPr>
                <w:color w:val="000000"/>
                <w:sz w:val="20"/>
                <w:szCs w:val="20"/>
              </w:rPr>
              <w:t>-0.02</w:t>
            </w:r>
          </w:p>
        </w:tc>
        <w:tc>
          <w:tcPr>
            <w:tcW w:w="956" w:type="dxa"/>
            <w:gridSpan w:val="2"/>
            <w:shd w:val="clear" w:color="auto" w:fill="auto"/>
            <w:noWrap/>
            <w:vAlign w:val="center"/>
          </w:tcPr>
          <w:p w14:paraId="0640A1BF" w14:textId="77777777" w:rsidR="008105F8" w:rsidRPr="00EC1913" w:rsidRDefault="008105F8" w:rsidP="00F54ACD">
            <w:pPr>
              <w:contextualSpacing/>
              <w:jc w:val="center"/>
              <w:rPr>
                <w:color w:val="000000"/>
                <w:sz w:val="20"/>
                <w:szCs w:val="20"/>
              </w:rPr>
            </w:pPr>
            <w:r w:rsidRPr="00EC1913">
              <w:rPr>
                <w:color w:val="000000"/>
                <w:sz w:val="20"/>
                <w:szCs w:val="20"/>
              </w:rPr>
              <w:t>0.43</w:t>
            </w:r>
          </w:p>
        </w:tc>
        <w:tc>
          <w:tcPr>
            <w:tcW w:w="1008" w:type="dxa"/>
            <w:gridSpan w:val="2"/>
            <w:shd w:val="clear" w:color="auto" w:fill="auto"/>
            <w:noWrap/>
            <w:vAlign w:val="center"/>
          </w:tcPr>
          <w:p w14:paraId="7889C18C" w14:textId="77777777" w:rsidR="008105F8" w:rsidRPr="00EC1913" w:rsidRDefault="008105F8" w:rsidP="00F54ACD">
            <w:pPr>
              <w:contextualSpacing/>
              <w:jc w:val="center"/>
              <w:rPr>
                <w:color w:val="000000"/>
                <w:sz w:val="20"/>
                <w:szCs w:val="20"/>
              </w:rPr>
            </w:pPr>
            <w:r w:rsidRPr="00EC1913">
              <w:rPr>
                <w:color w:val="000000"/>
                <w:sz w:val="20"/>
                <w:szCs w:val="20"/>
              </w:rPr>
              <w:t>0.97</w:t>
            </w:r>
          </w:p>
        </w:tc>
        <w:tc>
          <w:tcPr>
            <w:tcW w:w="1052" w:type="dxa"/>
            <w:gridSpan w:val="2"/>
            <w:shd w:val="clear" w:color="auto" w:fill="auto"/>
            <w:noWrap/>
            <w:vAlign w:val="center"/>
          </w:tcPr>
          <w:p w14:paraId="57D31BA8" w14:textId="77777777" w:rsidR="008105F8" w:rsidRPr="00EC1913" w:rsidRDefault="008105F8" w:rsidP="00F54ACD">
            <w:pPr>
              <w:contextualSpacing/>
              <w:jc w:val="center"/>
              <w:rPr>
                <w:color w:val="000000"/>
                <w:sz w:val="20"/>
                <w:szCs w:val="20"/>
              </w:rPr>
            </w:pPr>
            <w:r w:rsidRPr="00EC1913">
              <w:rPr>
                <w:color w:val="000000"/>
                <w:sz w:val="20"/>
                <w:szCs w:val="20"/>
              </w:rPr>
              <w:t>0.47</w:t>
            </w:r>
          </w:p>
        </w:tc>
        <w:tc>
          <w:tcPr>
            <w:tcW w:w="978" w:type="dxa"/>
            <w:gridSpan w:val="2"/>
            <w:shd w:val="clear" w:color="auto" w:fill="auto"/>
            <w:noWrap/>
            <w:vAlign w:val="center"/>
          </w:tcPr>
          <w:p w14:paraId="58D8E95A" w14:textId="77777777" w:rsidR="008105F8" w:rsidRPr="00EC1913" w:rsidRDefault="008105F8" w:rsidP="00F54ACD">
            <w:pPr>
              <w:contextualSpacing/>
              <w:jc w:val="center"/>
              <w:rPr>
                <w:color w:val="000000"/>
                <w:sz w:val="20"/>
                <w:szCs w:val="20"/>
              </w:rPr>
            </w:pPr>
            <w:r w:rsidRPr="00EC1913">
              <w:rPr>
                <w:color w:val="000000"/>
                <w:sz w:val="20"/>
                <w:szCs w:val="20"/>
              </w:rPr>
              <w:t>0.44</w:t>
            </w:r>
          </w:p>
        </w:tc>
        <w:tc>
          <w:tcPr>
            <w:tcW w:w="851" w:type="dxa"/>
            <w:gridSpan w:val="2"/>
            <w:shd w:val="clear" w:color="auto" w:fill="auto"/>
            <w:noWrap/>
            <w:vAlign w:val="center"/>
          </w:tcPr>
          <w:p w14:paraId="147CFC10" w14:textId="77777777" w:rsidR="008105F8" w:rsidRPr="00EC1913" w:rsidRDefault="008105F8" w:rsidP="00F54ACD">
            <w:pPr>
              <w:contextualSpacing/>
              <w:jc w:val="center"/>
              <w:rPr>
                <w:color w:val="000000"/>
                <w:sz w:val="20"/>
                <w:szCs w:val="20"/>
              </w:rPr>
            </w:pPr>
            <w:r w:rsidRPr="00EC1913">
              <w:rPr>
                <w:color w:val="000000"/>
                <w:sz w:val="20"/>
                <w:szCs w:val="20"/>
              </w:rPr>
              <w:t>0.29</w:t>
            </w:r>
          </w:p>
        </w:tc>
        <w:tc>
          <w:tcPr>
            <w:tcW w:w="974" w:type="dxa"/>
            <w:gridSpan w:val="2"/>
            <w:shd w:val="clear" w:color="auto" w:fill="auto"/>
            <w:noWrap/>
            <w:vAlign w:val="center"/>
          </w:tcPr>
          <w:p w14:paraId="19DEA78A" w14:textId="77777777" w:rsidR="008105F8" w:rsidRPr="00EC1913" w:rsidRDefault="008105F8" w:rsidP="00F54ACD">
            <w:pPr>
              <w:contextualSpacing/>
              <w:jc w:val="center"/>
              <w:rPr>
                <w:color w:val="000000"/>
                <w:sz w:val="20"/>
                <w:szCs w:val="20"/>
              </w:rPr>
            </w:pPr>
            <w:r w:rsidRPr="00EC1913">
              <w:rPr>
                <w:color w:val="000000"/>
                <w:sz w:val="20"/>
                <w:szCs w:val="20"/>
              </w:rPr>
              <w:t>0.49</w:t>
            </w:r>
          </w:p>
        </w:tc>
        <w:tc>
          <w:tcPr>
            <w:tcW w:w="905" w:type="dxa"/>
            <w:gridSpan w:val="2"/>
            <w:shd w:val="clear" w:color="auto" w:fill="auto"/>
            <w:noWrap/>
            <w:vAlign w:val="center"/>
          </w:tcPr>
          <w:p w14:paraId="0DCE15AE" w14:textId="77777777" w:rsidR="008105F8" w:rsidRPr="00EC1913" w:rsidRDefault="008105F8" w:rsidP="00F54ACD">
            <w:pPr>
              <w:contextualSpacing/>
              <w:jc w:val="center"/>
              <w:rPr>
                <w:color w:val="000000"/>
                <w:sz w:val="20"/>
                <w:szCs w:val="20"/>
              </w:rPr>
            </w:pPr>
            <w:r w:rsidRPr="00EC1913">
              <w:rPr>
                <w:color w:val="000000"/>
                <w:sz w:val="20"/>
                <w:szCs w:val="20"/>
              </w:rPr>
              <w:t>0.45</w:t>
            </w:r>
          </w:p>
        </w:tc>
        <w:tc>
          <w:tcPr>
            <w:tcW w:w="1014" w:type="dxa"/>
            <w:gridSpan w:val="2"/>
            <w:shd w:val="clear" w:color="auto" w:fill="auto"/>
            <w:noWrap/>
            <w:vAlign w:val="center"/>
          </w:tcPr>
          <w:p w14:paraId="36225EB2" w14:textId="77777777" w:rsidR="008105F8" w:rsidRPr="00EC1913" w:rsidRDefault="008105F8" w:rsidP="00F54ACD">
            <w:pPr>
              <w:contextualSpacing/>
              <w:jc w:val="center"/>
              <w:rPr>
                <w:color w:val="333333"/>
                <w:sz w:val="20"/>
                <w:szCs w:val="20"/>
              </w:rPr>
            </w:pPr>
            <w:r w:rsidRPr="00EC1913">
              <w:rPr>
                <w:color w:val="333333"/>
                <w:sz w:val="20"/>
                <w:szCs w:val="20"/>
              </w:rPr>
              <w:t>0.27</w:t>
            </w:r>
          </w:p>
        </w:tc>
      </w:tr>
      <w:tr w:rsidR="008105F8" w:rsidRPr="00EC1913" w14:paraId="68ED0B09" w14:textId="77777777" w:rsidTr="00F54ACD">
        <w:trPr>
          <w:trHeight w:val="166"/>
        </w:trPr>
        <w:tc>
          <w:tcPr>
            <w:tcW w:w="3702" w:type="dxa"/>
            <w:shd w:val="clear" w:color="auto" w:fill="auto"/>
            <w:vAlign w:val="center"/>
          </w:tcPr>
          <w:p w14:paraId="58B3432E" w14:textId="77777777" w:rsidR="008105F8" w:rsidRPr="00EC1913" w:rsidRDefault="008105F8" w:rsidP="00F54ACD">
            <w:pPr>
              <w:contextualSpacing/>
              <w:rPr>
                <w:color w:val="000000"/>
                <w:sz w:val="20"/>
                <w:szCs w:val="20"/>
              </w:rPr>
            </w:pPr>
            <w:r w:rsidRPr="00EC1913">
              <w:rPr>
                <w:color w:val="000000"/>
                <w:sz w:val="20"/>
                <w:szCs w:val="20"/>
              </w:rPr>
              <w:t xml:space="preserve">   Withdrawn/Depressed</w:t>
            </w:r>
          </w:p>
        </w:tc>
        <w:tc>
          <w:tcPr>
            <w:tcW w:w="1120" w:type="dxa"/>
            <w:gridSpan w:val="2"/>
            <w:shd w:val="clear" w:color="auto" w:fill="auto"/>
            <w:noWrap/>
            <w:vAlign w:val="center"/>
          </w:tcPr>
          <w:p w14:paraId="702529B4" w14:textId="77777777" w:rsidR="008105F8" w:rsidRPr="00EC1913" w:rsidRDefault="008105F8" w:rsidP="00F54ACD">
            <w:pPr>
              <w:contextualSpacing/>
              <w:jc w:val="center"/>
              <w:rPr>
                <w:color w:val="000000"/>
                <w:sz w:val="20"/>
                <w:szCs w:val="20"/>
              </w:rPr>
            </w:pPr>
            <w:r w:rsidRPr="00EC1913">
              <w:rPr>
                <w:color w:val="000000"/>
                <w:sz w:val="20"/>
                <w:szCs w:val="20"/>
              </w:rPr>
              <w:t>-0.07</w:t>
            </w:r>
          </w:p>
        </w:tc>
        <w:tc>
          <w:tcPr>
            <w:tcW w:w="956" w:type="dxa"/>
            <w:gridSpan w:val="2"/>
            <w:shd w:val="clear" w:color="auto" w:fill="auto"/>
            <w:noWrap/>
            <w:vAlign w:val="center"/>
          </w:tcPr>
          <w:p w14:paraId="5CBDD11B" w14:textId="77777777" w:rsidR="008105F8" w:rsidRPr="00EC1913" w:rsidRDefault="008105F8" w:rsidP="00F54ACD">
            <w:pPr>
              <w:contextualSpacing/>
              <w:jc w:val="center"/>
              <w:rPr>
                <w:color w:val="000000"/>
                <w:sz w:val="20"/>
                <w:szCs w:val="20"/>
              </w:rPr>
            </w:pPr>
            <w:r w:rsidRPr="00EC1913">
              <w:rPr>
                <w:color w:val="000000"/>
                <w:sz w:val="20"/>
                <w:szCs w:val="20"/>
              </w:rPr>
              <w:t>0.35</w:t>
            </w:r>
          </w:p>
        </w:tc>
        <w:tc>
          <w:tcPr>
            <w:tcW w:w="1008" w:type="dxa"/>
            <w:gridSpan w:val="2"/>
            <w:shd w:val="clear" w:color="auto" w:fill="auto"/>
            <w:noWrap/>
            <w:vAlign w:val="center"/>
          </w:tcPr>
          <w:p w14:paraId="790BD63E" w14:textId="77777777" w:rsidR="008105F8" w:rsidRPr="00EC1913" w:rsidRDefault="008105F8" w:rsidP="00F54ACD">
            <w:pPr>
              <w:contextualSpacing/>
              <w:jc w:val="center"/>
              <w:rPr>
                <w:color w:val="000000"/>
                <w:sz w:val="20"/>
                <w:szCs w:val="20"/>
              </w:rPr>
            </w:pPr>
            <w:r w:rsidRPr="00EC1913">
              <w:rPr>
                <w:color w:val="000000"/>
                <w:sz w:val="20"/>
                <w:szCs w:val="20"/>
              </w:rPr>
              <w:t>0.83</w:t>
            </w:r>
          </w:p>
        </w:tc>
        <w:tc>
          <w:tcPr>
            <w:tcW w:w="1052" w:type="dxa"/>
            <w:gridSpan w:val="2"/>
            <w:shd w:val="clear" w:color="auto" w:fill="auto"/>
            <w:noWrap/>
            <w:vAlign w:val="center"/>
          </w:tcPr>
          <w:p w14:paraId="5626F5C5" w14:textId="77777777" w:rsidR="008105F8" w:rsidRPr="00EC1913" w:rsidRDefault="008105F8" w:rsidP="00F54ACD">
            <w:pPr>
              <w:contextualSpacing/>
              <w:jc w:val="center"/>
              <w:rPr>
                <w:color w:val="000000"/>
                <w:sz w:val="20"/>
                <w:szCs w:val="20"/>
              </w:rPr>
            </w:pPr>
            <w:r w:rsidRPr="00EC1913">
              <w:rPr>
                <w:color w:val="000000"/>
                <w:sz w:val="20"/>
                <w:szCs w:val="20"/>
              </w:rPr>
              <w:t>-0.04</w:t>
            </w:r>
          </w:p>
        </w:tc>
        <w:tc>
          <w:tcPr>
            <w:tcW w:w="978" w:type="dxa"/>
            <w:gridSpan w:val="2"/>
            <w:shd w:val="clear" w:color="auto" w:fill="auto"/>
            <w:noWrap/>
            <w:vAlign w:val="center"/>
          </w:tcPr>
          <w:p w14:paraId="2FAF5A1D" w14:textId="77777777" w:rsidR="008105F8" w:rsidRPr="00EC1913" w:rsidRDefault="008105F8" w:rsidP="00F54ACD">
            <w:pPr>
              <w:contextualSpacing/>
              <w:jc w:val="center"/>
              <w:rPr>
                <w:color w:val="000000"/>
                <w:sz w:val="20"/>
                <w:szCs w:val="20"/>
              </w:rPr>
            </w:pPr>
            <w:r w:rsidRPr="00EC1913">
              <w:rPr>
                <w:color w:val="000000"/>
                <w:sz w:val="20"/>
                <w:szCs w:val="20"/>
              </w:rPr>
              <w:t>0.37</w:t>
            </w:r>
          </w:p>
        </w:tc>
        <w:tc>
          <w:tcPr>
            <w:tcW w:w="851" w:type="dxa"/>
            <w:gridSpan w:val="2"/>
            <w:shd w:val="clear" w:color="auto" w:fill="auto"/>
            <w:noWrap/>
            <w:vAlign w:val="center"/>
          </w:tcPr>
          <w:p w14:paraId="7520D250" w14:textId="77777777" w:rsidR="008105F8" w:rsidRPr="00EC1913" w:rsidRDefault="008105F8" w:rsidP="00F54ACD">
            <w:pPr>
              <w:contextualSpacing/>
              <w:jc w:val="center"/>
              <w:rPr>
                <w:color w:val="000000"/>
                <w:sz w:val="20"/>
                <w:szCs w:val="20"/>
              </w:rPr>
            </w:pPr>
            <w:r w:rsidRPr="00EC1913">
              <w:rPr>
                <w:color w:val="000000"/>
                <w:sz w:val="20"/>
                <w:szCs w:val="20"/>
              </w:rPr>
              <w:t>0.92</w:t>
            </w:r>
          </w:p>
        </w:tc>
        <w:tc>
          <w:tcPr>
            <w:tcW w:w="974" w:type="dxa"/>
            <w:gridSpan w:val="2"/>
            <w:shd w:val="clear" w:color="auto" w:fill="auto"/>
            <w:noWrap/>
            <w:vAlign w:val="center"/>
          </w:tcPr>
          <w:p w14:paraId="073147B8" w14:textId="77777777" w:rsidR="008105F8" w:rsidRPr="00EC1913" w:rsidRDefault="008105F8" w:rsidP="00F54ACD">
            <w:pPr>
              <w:contextualSpacing/>
              <w:jc w:val="center"/>
              <w:rPr>
                <w:color w:val="000000"/>
                <w:sz w:val="20"/>
                <w:szCs w:val="20"/>
              </w:rPr>
            </w:pPr>
            <w:r w:rsidRPr="00EC1913">
              <w:rPr>
                <w:color w:val="000000"/>
                <w:sz w:val="20"/>
                <w:szCs w:val="20"/>
              </w:rPr>
              <w:t>0.04</w:t>
            </w:r>
          </w:p>
        </w:tc>
        <w:tc>
          <w:tcPr>
            <w:tcW w:w="905" w:type="dxa"/>
            <w:gridSpan w:val="2"/>
            <w:shd w:val="clear" w:color="auto" w:fill="auto"/>
            <w:noWrap/>
            <w:vAlign w:val="center"/>
          </w:tcPr>
          <w:p w14:paraId="08990CAD" w14:textId="77777777" w:rsidR="008105F8" w:rsidRPr="00EC1913" w:rsidRDefault="008105F8" w:rsidP="00F54ACD">
            <w:pPr>
              <w:contextualSpacing/>
              <w:jc w:val="center"/>
              <w:rPr>
                <w:color w:val="000000"/>
                <w:sz w:val="20"/>
                <w:szCs w:val="20"/>
              </w:rPr>
            </w:pPr>
            <w:r w:rsidRPr="00EC1913">
              <w:rPr>
                <w:color w:val="000000"/>
                <w:sz w:val="20"/>
                <w:szCs w:val="20"/>
              </w:rPr>
              <w:t>0.37</w:t>
            </w:r>
          </w:p>
        </w:tc>
        <w:tc>
          <w:tcPr>
            <w:tcW w:w="1014" w:type="dxa"/>
            <w:gridSpan w:val="2"/>
            <w:shd w:val="clear" w:color="auto" w:fill="auto"/>
            <w:noWrap/>
            <w:vAlign w:val="center"/>
          </w:tcPr>
          <w:p w14:paraId="7288107A" w14:textId="77777777" w:rsidR="008105F8" w:rsidRPr="00EC1913" w:rsidRDefault="008105F8" w:rsidP="00F54ACD">
            <w:pPr>
              <w:contextualSpacing/>
              <w:jc w:val="center"/>
              <w:rPr>
                <w:color w:val="333333"/>
                <w:sz w:val="20"/>
                <w:szCs w:val="20"/>
              </w:rPr>
            </w:pPr>
            <w:r w:rsidRPr="00EC1913">
              <w:rPr>
                <w:color w:val="333333"/>
                <w:sz w:val="20"/>
                <w:szCs w:val="20"/>
              </w:rPr>
              <w:t>0.92</w:t>
            </w:r>
          </w:p>
        </w:tc>
      </w:tr>
      <w:tr w:rsidR="008105F8" w:rsidRPr="00EC1913" w14:paraId="0CA536E5" w14:textId="77777777" w:rsidTr="00F54ACD">
        <w:trPr>
          <w:trHeight w:val="166"/>
        </w:trPr>
        <w:tc>
          <w:tcPr>
            <w:tcW w:w="3702" w:type="dxa"/>
            <w:shd w:val="clear" w:color="auto" w:fill="auto"/>
            <w:vAlign w:val="center"/>
          </w:tcPr>
          <w:p w14:paraId="68CD35B4" w14:textId="77777777" w:rsidR="008105F8" w:rsidRPr="00EC1913" w:rsidRDefault="008105F8" w:rsidP="00F54ACD">
            <w:pPr>
              <w:contextualSpacing/>
              <w:rPr>
                <w:color w:val="000000"/>
                <w:sz w:val="20"/>
                <w:szCs w:val="20"/>
              </w:rPr>
            </w:pPr>
            <w:r w:rsidRPr="00EC1913">
              <w:rPr>
                <w:color w:val="000000"/>
                <w:sz w:val="20"/>
                <w:szCs w:val="20"/>
              </w:rPr>
              <w:t xml:space="preserve">   Composite</w:t>
            </w:r>
          </w:p>
        </w:tc>
        <w:tc>
          <w:tcPr>
            <w:tcW w:w="1120" w:type="dxa"/>
            <w:gridSpan w:val="2"/>
            <w:shd w:val="clear" w:color="auto" w:fill="auto"/>
            <w:noWrap/>
            <w:vAlign w:val="center"/>
          </w:tcPr>
          <w:p w14:paraId="239227A3" w14:textId="77777777" w:rsidR="008105F8" w:rsidRPr="00EC1913" w:rsidRDefault="008105F8" w:rsidP="00F54ACD">
            <w:pPr>
              <w:contextualSpacing/>
              <w:jc w:val="center"/>
              <w:rPr>
                <w:color w:val="000000"/>
                <w:sz w:val="20"/>
                <w:szCs w:val="20"/>
              </w:rPr>
            </w:pPr>
            <w:r w:rsidRPr="00EC1913">
              <w:rPr>
                <w:color w:val="000000"/>
                <w:sz w:val="20"/>
                <w:szCs w:val="20"/>
              </w:rPr>
              <w:t>-0.02</w:t>
            </w:r>
          </w:p>
        </w:tc>
        <w:tc>
          <w:tcPr>
            <w:tcW w:w="956" w:type="dxa"/>
            <w:gridSpan w:val="2"/>
            <w:shd w:val="clear" w:color="auto" w:fill="auto"/>
            <w:noWrap/>
            <w:vAlign w:val="center"/>
          </w:tcPr>
          <w:p w14:paraId="39076B9C" w14:textId="77777777" w:rsidR="008105F8" w:rsidRPr="00EC1913" w:rsidRDefault="008105F8" w:rsidP="00F54ACD">
            <w:pPr>
              <w:contextualSpacing/>
              <w:jc w:val="center"/>
              <w:rPr>
                <w:color w:val="000000"/>
                <w:sz w:val="20"/>
                <w:szCs w:val="20"/>
              </w:rPr>
            </w:pPr>
            <w:r w:rsidRPr="00EC1913">
              <w:rPr>
                <w:color w:val="000000"/>
                <w:sz w:val="20"/>
                <w:szCs w:val="20"/>
              </w:rPr>
              <w:t>0.11</w:t>
            </w:r>
          </w:p>
        </w:tc>
        <w:tc>
          <w:tcPr>
            <w:tcW w:w="1008" w:type="dxa"/>
            <w:gridSpan w:val="2"/>
            <w:shd w:val="clear" w:color="auto" w:fill="auto"/>
            <w:noWrap/>
            <w:vAlign w:val="center"/>
          </w:tcPr>
          <w:p w14:paraId="6CB81FE1" w14:textId="77777777" w:rsidR="008105F8" w:rsidRPr="00EC1913" w:rsidRDefault="008105F8" w:rsidP="00F54ACD">
            <w:pPr>
              <w:contextualSpacing/>
              <w:jc w:val="center"/>
              <w:rPr>
                <w:color w:val="000000"/>
                <w:sz w:val="20"/>
                <w:szCs w:val="20"/>
              </w:rPr>
            </w:pPr>
            <w:r w:rsidRPr="00EC1913">
              <w:rPr>
                <w:color w:val="000000"/>
                <w:sz w:val="20"/>
                <w:szCs w:val="20"/>
              </w:rPr>
              <w:t>0.89</w:t>
            </w:r>
          </w:p>
        </w:tc>
        <w:tc>
          <w:tcPr>
            <w:tcW w:w="1052" w:type="dxa"/>
            <w:gridSpan w:val="2"/>
            <w:shd w:val="clear" w:color="auto" w:fill="auto"/>
            <w:noWrap/>
            <w:vAlign w:val="center"/>
          </w:tcPr>
          <w:p w14:paraId="6EABDD44" w14:textId="77777777" w:rsidR="008105F8" w:rsidRPr="00EC1913" w:rsidRDefault="008105F8" w:rsidP="00F54ACD">
            <w:pPr>
              <w:contextualSpacing/>
              <w:jc w:val="center"/>
              <w:rPr>
                <w:color w:val="000000"/>
                <w:sz w:val="20"/>
                <w:szCs w:val="20"/>
              </w:rPr>
            </w:pPr>
            <w:r w:rsidRPr="00EC1913">
              <w:rPr>
                <w:color w:val="000000"/>
                <w:sz w:val="20"/>
                <w:szCs w:val="20"/>
              </w:rPr>
              <w:t>0.06</w:t>
            </w:r>
          </w:p>
        </w:tc>
        <w:tc>
          <w:tcPr>
            <w:tcW w:w="978" w:type="dxa"/>
            <w:gridSpan w:val="2"/>
            <w:shd w:val="clear" w:color="auto" w:fill="auto"/>
            <w:noWrap/>
            <w:vAlign w:val="center"/>
          </w:tcPr>
          <w:p w14:paraId="52547483" w14:textId="77777777" w:rsidR="008105F8" w:rsidRPr="00EC1913" w:rsidRDefault="008105F8" w:rsidP="00F54ACD">
            <w:pPr>
              <w:contextualSpacing/>
              <w:jc w:val="center"/>
              <w:rPr>
                <w:color w:val="000000"/>
                <w:sz w:val="20"/>
                <w:szCs w:val="20"/>
              </w:rPr>
            </w:pPr>
            <w:r w:rsidRPr="00EC1913">
              <w:rPr>
                <w:color w:val="000000"/>
                <w:sz w:val="20"/>
                <w:szCs w:val="20"/>
              </w:rPr>
              <w:t>0.11</w:t>
            </w:r>
          </w:p>
        </w:tc>
        <w:tc>
          <w:tcPr>
            <w:tcW w:w="851" w:type="dxa"/>
            <w:gridSpan w:val="2"/>
            <w:shd w:val="clear" w:color="auto" w:fill="auto"/>
            <w:noWrap/>
            <w:vAlign w:val="center"/>
          </w:tcPr>
          <w:p w14:paraId="0D069458" w14:textId="77777777" w:rsidR="008105F8" w:rsidRPr="00EC1913" w:rsidRDefault="008105F8" w:rsidP="00F54ACD">
            <w:pPr>
              <w:contextualSpacing/>
              <w:jc w:val="center"/>
              <w:rPr>
                <w:color w:val="000000"/>
                <w:sz w:val="20"/>
                <w:szCs w:val="20"/>
              </w:rPr>
            </w:pPr>
            <w:r w:rsidRPr="00EC1913">
              <w:rPr>
                <w:color w:val="000000"/>
                <w:sz w:val="20"/>
                <w:szCs w:val="20"/>
              </w:rPr>
              <w:t>0.57</w:t>
            </w:r>
          </w:p>
        </w:tc>
        <w:tc>
          <w:tcPr>
            <w:tcW w:w="974" w:type="dxa"/>
            <w:gridSpan w:val="2"/>
            <w:shd w:val="clear" w:color="auto" w:fill="auto"/>
            <w:noWrap/>
            <w:vAlign w:val="center"/>
          </w:tcPr>
          <w:p w14:paraId="5075A3C6" w14:textId="77777777" w:rsidR="008105F8" w:rsidRPr="00EC1913" w:rsidRDefault="008105F8" w:rsidP="00F54ACD">
            <w:pPr>
              <w:contextualSpacing/>
              <w:jc w:val="center"/>
              <w:rPr>
                <w:color w:val="000000"/>
                <w:sz w:val="20"/>
                <w:szCs w:val="20"/>
              </w:rPr>
            </w:pPr>
            <w:r w:rsidRPr="00EC1913">
              <w:rPr>
                <w:color w:val="000000"/>
                <w:sz w:val="20"/>
                <w:szCs w:val="20"/>
              </w:rPr>
              <w:t>0.08</w:t>
            </w:r>
          </w:p>
        </w:tc>
        <w:tc>
          <w:tcPr>
            <w:tcW w:w="905" w:type="dxa"/>
            <w:gridSpan w:val="2"/>
            <w:shd w:val="clear" w:color="auto" w:fill="auto"/>
            <w:noWrap/>
            <w:vAlign w:val="center"/>
          </w:tcPr>
          <w:p w14:paraId="4C18B86C" w14:textId="77777777" w:rsidR="008105F8" w:rsidRPr="00EC1913" w:rsidRDefault="008105F8" w:rsidP="00F54ACD">
            <w:pPr>
              <w:contextualSpacing/>
              <w:jc w:val="center"/>
              <w:rPr>
                <w:color w:val="000000"/>
                <w:sz w:val="20"/>
                <w:szCs w:val="20"/>
              </w:rPr>
            </w:pPr>
            <w:r w:rsidRPr="00EC1913">
              <w:rPr>
                <w:color w:val="000000"/>
                <w:sz w:val="20"/>
                <w:szCs w:val="20"/>
              </w:rPr>
              <w:t>0.12</w:t>
            </w:r>
          </w:p>
        </w:tc>
        <w:tc>
          <w:tcPr>
            <w:tcW w:w="1014" w:type="dxa"/>
            <w:gridSpan w:val="2"/>
            <w:shd w:val="clear" w:color="auto" w:fill="auto"/>
            <w:noWrap/>
            <w:vAlign w:val="center"/>
          </w:tcPr>
          <w:p w14:paraId="6B67EABD" w14:textId="77777777" w:rsidR="008105F8" w:rsidRPr="00EC1913" w:rsidRDefault="008105F8" w:rsidP="00F54ACD">
            <w:pPr>
              <w:contextualSpacing/>
              <w:jc w:val="center"/>
              <w:rPr>
                <w:color w:val="333333"/>
                <w:sz w:val="20"/>
                <w:szCs w:val="20"/>
              </w:rPr>
            </w:pPr>
            <w:r w:rsidRPr="00EC1913">
              <w:rPr>
                <w:color w:val="333333"/>
                <w:sz w:val="20"/>
                <w:szCs w:val="20"/>
              </w:rPr>
              <w:t>0.50</w:t>
            </w:r>
          </w:p>
        </w:tc>
      </w:tr>
      <w:tr w:rsidR="008105F8" w:rsidRPr="00EC1913" w14:paraId="6008F864" w14:textId="77777777" w:rsidTr="00F54ACD">
        <w:trPr>
          <w:trHeight w:val="166"/>
        </w:trPr>
        <w:tc>
          <w:tcPr>
            <w:tcW w:w="3702" w:type="dxa"/>
            <w:shd w:val="clear" w:color="auto" w:fill="auto"/>
            <w:vAlign w:val="center"/>
          </w:tcPr>
          <w:p w14:paraId="3937A7C3" w14:textId="77777777" w:rsidR="008105F8" w:rsidRPr="00EC1913" w:rsidRDefault="008105F8" w:rsidP="00F54ACD">
            <w:pPr>
              <w:contextualSpacing/>
              <w:rPr>
                <w:color w:val="000000"/>
                <w:sz w:val="20"/>
                <w:szCs w:val="20"/>
              </w:rPr>
            </w:pPr>
            <w:r w:rsidRPr="00EC1913">
              <w:rPr>
                <w:i/>
                <w:iCs/>
                <w:color w:val="000000"/>
                <w:sz w:val="20"/>
                <w:szCs w:val="20"/>
              </w:rPr>
              <w:t>Cognitive Health</w:t>
            </w:r>
          </w:p>
        </w:tc>
        <w:tc>
          <w:tcPr>
            <w:tcW w:w="1120" w:type="dxa"/>
            <w:gridSpan w:val="2"/>
            <w:shd w:val="clear" w:color="auto" w:fill="auto"/>
            <w:noWrap/>
            <w:vAlign w:val="bottom"/>
          </w:tcPr>
          <w:p w14:paraId="272BC300" w14:textId="77777777" w:rsidR="008105F8" w:rsidRPr="00EC1913" w:rsidRDefault="008105F8" w:rsidP="00F54ACD">
            <w:pPr>
              <w:contextualSpacing/>
              <w:jc w:val="center"/>
              <w:rPr>
                <w:color w:val="000000"/>
                <w:sz w:val="20"/>
                <w:szCs w:val="20"/>
              </w:rPr>
            </w:pPr>
          </w:p>
        </w:tc>
        <w:tc>
          <w:tcPr>
            <w:tcW w:w="956" w:type="dxa"/>
            <w:gridSpan w:val="2"/>
            <w:shd w:val="clear" w:color="auto" w:fill="auto"/>
            <w:noWrap/>
            <w:vAlign w:val="bottom"/>
          </w:tcPr>
          <w:p w14:paraId="54E4A4B3" w14:textId="77777777" w:rsidR="008105F8" w:rsidRPr="00EC1913" w:rsidRDefault="008105F8" w:rsidP="00F54ACD">
            <w:pPr>
              <w:contextualSpacing/>
              <w:jc w:val="center"/>
              <w:rPr>
                <w:color w:val="000000"/>
                <w:sz w:val="20"/>
                <w:szCs w:val="20"/>
              </w:rPr>
            </w:pPr>
          </w:p>
        </w:tc>
        <w:tc>
          <w:tcPr>
            <w:tcW w:w="1008" w:type="dxa"/>
            <w:gridSpan w:val="2"/>
            <w:shd w:val="clear" w:color="auto" w:fill="auto"/>
            <w:noWrap/>
            <w:vAlign w:val="bottom"/>
          </w:tcPr>
          <w:p w14:paraId="628F4EBA" w14:textId="77777777" w:rsidR="008105F8" w:rsidRPr="00EC1913" w:rsidRDefault="008105F8" w:rsidP="00F54ACD">
            <w:pPr>
              <w:contextualSpacing/>
              <w:jc w:val="center"/>
              <w:rPr>
                <w:color w:val="000000"/>
                <w:sz w:val="20"/>
                <w:szCs w:val="20"/>
              </w:rPr>
            </w:pPr>
          </w:p>
        </w:tc>
        <w:tc>
          <w:tcPr>
            <w:tcW w:w="1052" w:type="dxa"/>
            <w:gridSpan w:val="2"/>
            <w:shd w:val="clear" w:color="auto" w:fill="auto"/>
            <w:noWrap/>
            <w:vAlign w:val="bottom"/>
          </w:tcPr>
          <w:p w14:paraId="2ECC1E65" w14:textId="77777777" w:rsidR="008105F8" w:rsidRPr="00EC1913" w:rsidRDefault="008105F8" w:rsidP="00F54ACD">
            <w:pPr>
              <w:contextualSpacing/>
              <w:jc w:val="center"/>
              <w:rPr>
                <w:color w:val="000000"/>
                <w:sz w:val="20"/>
                <w:szCs w:val="20"/>
              </w:rPr>
            </w:pPr>
          </w:p>
        </w:tc>
        <w:tc>
          <w:tcPr>
            <w:tcW w:w="978" w:type="dxa"/>
            <w:gridSpan w:val="2"/>
            <w:shd w:val="clear" w:color="auto" w:fill="auto"/>
            <w:noWrap/>
            <w:vAlign w:val="bottom"/>
          </w:tcPr>
          <w:p w14:paraId="67B6E6F3" w14:textId="77777777" w:rsidR="008105F8" w:rsidRPr="00EC1913" w:rsidRDefault="008105F8" w:rsidP="00F54ACD">
            <w:pPr>
              <w:contextualSpacing/>
              <w:jc w:val="center"/>
              <w:rPr>
                <w:color w:val="000000"/>
                <w:sz w:val="20"/>
                <w:szCs w:val="20"/>
              </w:rPr>
            </w:pPr>
          </w:p>
        </w:tc>
        <w:tc>
          <w:tcPr>
            <w:tcW w:w="851" w:type="dxa"/>
            <w:gridSpan w:val="2"/>
            <w:shd w:val="clear" w:color="auto" w:fill="auto"/>
            <w:noWrap/>
            <w:vAlign w:val="bottom"/>
          </w:tcPr>
          <w:p w14:paraId="6EC6E572" w14:textId="77777777" w:rsidR="008105F8" w:rsidRPr="00EC1913" w:rsidRDefault="008105F8" w:rsidP="00F54ACD">
            <w:pPr>
              <w:contextualSpacing/>
              <w:jc w:val="center"/>
              <w:rPr>
                <w:color w:val="000000"/>
                <w:sz w:val="20"/>
                <w:szCs w:val="20"/>
              </w:rPr>
            </w:pPr>
          </w:p>
        </w:tc>
        <w:tc>
          <w:tcPr>
            <w:tcW w:w="974" w:type="dxa"/>
            <w:gridSpan w:val="2"/>
            <w:shd w:val="clear" w:color="auto" w:fill="auto"/>
            <w:noWrap/>
            <w:vAlign w:val="center"/>
          </w:tcPr>
          <w:p w14:paraId="5F5D3934" w14:textId="77777777" w:rsidR="008105F8" w:rsidRPr="00EC1913" w:rsidRDefault="008105F8" w:rsidP="00F54ACD">
            <w:pPr>
              <w:contextualSpacing/>
              <w:jc w:val="center"/>
              <w:rPr>
                <w:color w:val="000000"/>
                <w:sz w:val="20"/>
                <w:szCs w:val="20"/>
              </w:rPr>
            </w:pPr>
          </w:p>
        </w:tc>
        <w:tc>
          <w:tcPr>
            <w:tcW w:w="905" w:type="dxa"/>
            <w:gridSpan w:val="2"/>
            <w:shd w:val="clear" w:color="auto" w:fill="auto"/>
            <w:noWrap/>
            <w:vAlign w:val="center"/>
          </w:tcPr>
          <w:p w14:paraId="16686439" w14:textId="77777777" w:rsidR="008105F8" w:rsidRPr="00EC1913" w:rsidRDefault="008105F8" w:rsidP="00F54ACD">
            <w:pPr>
              <w:contextualSpacing/>
              <w:jc w:val="center"/>
              <w:rPr>
                <w:color w:val="000000"/>
                <w:sz w:val="20"/>
                <w:szCs w:val="20"/>
              </w:rPr>
            </w:pPr>
          </w:p>
        </w:tc>
        <w:tc>
          <w:tcPr>
            <w:tcW w:w="1014" w:type="dxa"/>
            <w:gridSpan w:val="2"/>
            <w:shd w:val="clear" w:color="auto" w:fill="auto"/>
            <w:noWrap/>
            <w:vAlign w:val="center"/>
          </w:tcPr>
          <w:p w14:paraId="3DD99A80" w14:textId="77777777" w:rsidR="008105F8" w:rsidRPr="00EC1913" w:rsidRDefault="008105F8" w:rsidP="00F54ACD">
            <w:pPr>
              <w:contextualSpacing/>
              <w:jc w:val="center"/>
              <w:rPr>
                <w:color w:val="333333"/>
                <w:sz w:val="20"/>
                <w:szCs w:val="20"/>
              </w:rPr>
            </w:pPr>
          </w:p>
        </w:tc>
      </w:tr>
      <w:tr w:rsidR="008105F8" w:rsidRPr="00EC1913" w14:paraId="35FC8E70" w14:textId="77777777" w:rsidTr="00F54ACD">
        <w:trPr>
          <w:trHeight w:val="166"/>
        </w:trPr>
        <w:tc>
          <w:tcPr>
            <w:tcW w:w="3702" w:type="dxa"/>
            <w:shd w:val="clear" w:color="auto" w:fill="auto"/>
            <w:vAlign w:val="center"/>
          </w:tcPr>
          <w:p w14:paraId="532DF0A4" w14:textId="77777777" w:rsidR="008105F8" w:rsidRPr="00EC1913" w:rsidRDefault="008105F8" w:rsidP="00F54ACD">
            <w:pPr>
              <w:contextualSpacing/>
              <w:rPr>
                <w:i/>
                <w:iCs/>
                <w:color w:val="000000"/>
                <w:sz w:val="20"/>
                <w:szCs w:val="20"/>
              </w:rPr>
            </w:pPr>
            <w:r w:rsidRPr="00EC1913">
              <w:rPr>
                <w:color w:val="000000"/>
                <w:sz w:val="20"/>
                <w:szCs w:val="20"/>
              </w:rPr>
              <w:t xml:space="preserve">   Thought problems</w:t>
            </w:r>
          </w:p>
        </w:tc>
        <w:tc>
          <w:tcPr>
            <w:tcW w:w="1120" w:type="dxa"/>
            <w:gridSpan w:val="2"/>
            <w:shd w:val="clear" w:color="auto" w:fill="auto"/>
            <w:noWrap/>
            <w:vAlign w:val="center"/>
          </w:tcPr>
          <w:p w14:paraId="24759507" w14:textId="77777777" w:rsidR="008105F8" w:rsidRPr="00EC1913" w:rsidRDefault="008105F8" w:rsidP="00F54ACD">
            <w:pPr>
              <w:contextualSpacing/>
              <w:jc w:val="center"/>
              <w:rPr>
                <w:color w:val="000000"/>
                <w:sz w:val="20"/>
                <w:szCs w:val="20"/>
                <w:highlight w:val="yellow"/>
              </w:rPr>
            </w:pPr>
            <w:r w:rsidRPr="00EC1913">
              <w:rPr>
                <w:color w:val="000000"/>
                <w:sz w:val="20"/>
                <w:szCs w:val="20"/>
                <w:highlight w:val="yellow"/>
              </w:rPr>
              <w:t>-1.02</w:t>
            </w:r>
          </w:p>
        </w:tc>
        <w:tc>
          <w:tcPr>
            <w:tcW w:w="956" w:type="dxa"/>
            <w:gridSpan w:val="2"/>
            <w:shd w:val="clear" w:color="auto" w:fill="auto"/>
            <w:noWrap/>
            <w:vAlign w:val="center"/>
          </w:tcPr>
          <w:p w14:paraId="4DE2F207" w14:textId="77777777" w:rsidR="008105F8" w:rsidRPr="00EC1913" w:rsidRDefault="008105F8" w:rsidP="00F54ACD">
            <w:pPr>
              <w:contextualSpacing/>
              <w:jc w:val="center"/>
              <w:rPr>
                <w:color w:val="000000"/>
                <w:sz w:val="20"/>
                <w:szCs w:val="20"/>
                <w:highlight w:val="yellow"/>
              </w:rPr>
            </w:pPr>
            <w:r w:rsidRPr="00EC1913">
              <w:rPr>
                <w:color w:val="000000"/>
                <w:sz w:val="20"/>
                <w:szCs w:val="20"/>
                <w:highlight w:val="yellow"/>
              </w:rPr>
              <w:t>0.33</w:t>
            </w:r>
          </w:p>
        </w:tc>
        <w:tc>
          <w:tcPr>
            <w:tcW w:w="1008" w:type="dxa"/>
            <w:gridSpan w:val="2"/>
            <w:shd w:val="clear" w:color="auto" w:fill="auto"/>
            <w:noWrap/>
            <w:vAlign w:val="center"/>
          </w:tcPr>
          <w:p w14:paraId="166BD122" w14:textId="77777777" w:rsidR="008105F8" w:rsidRPr="00EC1913" w:rsidRDefault="008105F8" w:rsidP="00F54ACD">
            <w:pPr>
              <w:contextualSpacing/>
              <w:jc w:val="center"/>
              <w:rPr>
                <w:color w:val="000000"/>
                <w:sz w:val="20"/>
                <w:szCs w:val="20"/>
                <w:highlight w:val="yellow"/>
              </w:rPr>
            </w:pPr>
            <w:r w:rsidRPr="00EC1913">
              <w:rPr>
                <w:color w:val="000000"/>
                <w:sz w:val="20"/>
                <w:szCs w:val="20"/>
                <w:highlight w:val="yellow"/>
              </w:rPr>
              <w:t>0.002</w:t>
            </w:r>
          </w:p>
        </w:tc>
        <w:tc>
          <w:tcPr>
            <w:tcW w:w="1052" w:type="dxa"/>
            <w:gridSpan w:val="2"/>
            <w:shd w:val="clear" w:color="auto" w:fill="auto"/>
            <w:noWrap/>
            <w:vAlign w:val="center"/>
          </w:tcPr>
          <w:p w14:paraId="4142CFFB" w14:textId="77777777" w:rsidR="008105F8" w:rsidRPr="00EC1913" w:rsidRDefault="008105F8" w:rsidP="00F54ACD">
            <w:pPr>
              <w:contextualSpacing/>
              <w:jc w:val="center"/>
              <w:rPr>
                <w:color w:val="000000"/>
                <w:sz w:val="20"/>
                <w:szCs w:val="20"/>
              </w:rPr>
            </w:pPr>
            <w:r w:rsidRPr="00EC1913">
              <w:rPr>
                <w:color w:val="000000"/>
                <w:sz w:val="20"/>
                <w:szCs w:val="20"/>
              </w:rPr>
              <w:t>-0.23</w:t>
            </w:r>
          </w:p>
        </w:tc>
        <w:tc>
          <w:tcPr>
            <w:tcW w:w="978" w:type="dxa"/>
            <w:gridSpan w:val="2"/>
            <w:shd w:val="clear" w:color="auto" w:fill="auto"/>
            <w:noWrap/>
            <w:vAlign w:val="center"/>
          </w:tcPr>
          <w:p w14:paraId="3B31A6BA" w14:textId="77777777" w:rsidR="008105F8" w:rsidRPr="00EC1913" w:rsidRDefault="008105F8" w:rsidP="00F54ACD">
            <w:pPr>
              <w:contextualSpacing/>
              <w:jc w:val="center"/>
              <w:rPr>
                <w:color w:val="000000"/>
                <w:sz w:val="20"/>
                <w:szCs w:val="20"/>
              </w:rPr>
            </w:pPr>
            <w:r w:rsidRPr="00EC1913">
              <w:rPr>
                <w:color w:val="000000"/>
                <w:sz w:val="20"/>
                <w:szCs w:val="20"/>
              </w:rPr>
              <w:t>0.35</w:t>
            </w:r>
          </w:p>
        </w:tc>
        <w:tc>
          <w:tcPr>
            <w:tcW w:w="851" w:type="dxa"/>
            <w:gridSpan w:val="2"/>
            <w:shd w:val="clear" w:color="auto" w:fill="auto"/>
            <w:noWrap/>
            <w:vAlign w:val="center"/>
          </w:tcPr>
          <w:p w14:paraId="7AD5FF8A" w14:textId="77777777" w:rsidR="008105F8" w:rsidRPr="00EC1913" w:rsidRDefault="008105F8" w:rsidP="00F54ACD">
            <w:pPr>
              <w:contextualSpacing/>
              <w:jc w:val="center"/>
              <w:rPr>
                <w:color w:val="000000"/>
                <w:sz w:val="20"/>
                <w:szCs w:val="20"/>
              </w:rPr>
            </w:pPr>
            <w:r w:rsidRPr="00EC1913">
              <w:rPr>
                <w:color w:val="000000"/>
                <w:sz w:val="20"/>
                <w:szCs w:val="20"/>
              </w:rPr>
              <w:t>0.51</w:t>
            </w:r>
          </w:p>
        </w:tc>
        <w:tc>
          <w:tcPr>
            <w:tcW w:w="974" w:type="dxa"/>
            <w:gridSpan w:val="2"/>
            <w:shd w:val="clear" w:color="auto" w:fill="auto"/>
            <w:noWrap/>
            <w:vAlign w:val="center"/>
          </w:tcPr>
          <w:p w14:paraId="7EB94664" w14:textId="77777777" w:rsidR="008105F8" w:rsidRPr="00EC1913" w:rsidRDefault="008105F8" w:rsidP="00F54ACD">
            <w:pPr>
              <w:contextualSpacing/>
              <w:jc w:val="center"/>
              <w:rPr>
                <w:color w:val="000000"/>
                <w:sz w:val="20"/>
                <w:szCs w:val="20"/>
                <w:highlight w:val="yellow"/>
              </w:rPr>
            </w:pPr>
            <w:r w:rsidRPr="00EC1913">
              <w:rPr>
                <w:color w:val="000000"/>
                <w:sz w:val="20"/>
                <w:szCs w:val="20"/>
                <w:highlight w:val="yellow"/>
              </w:rPr>
              <w:t>0.79</w:t>
            </w:r>
          </w:p>
        </w:tc>
        <w:tc>
          <w:tcPr>
            <w:tcW w:w="905" w:type="dxa"/>
            <w:gridSpan w:val="2"/>
            <w:shd w:val="clear" w:color="auto" w:fill="auto"/>
            <w:noWrap/>
            <w:vAlign w:val="center"/>
          </w:tcPr>
          <w:p w14:paraId="24CE74DF" w14:textId="77777777" w:rsidR="008105F8" w:rsidRPr="00EC1913" w:rsidRDefault="008105F8" w:rsidP="00F54ACD">
            <w:pPr>
              <w:contextualSpacing/>
              <w:jc w:val="center"/>
              <w:rPr>
                <w:color w:val="000000"/>
                <w:sz w:val="20"/>
                <w:szCs w:val="20"/>
                <w:highlight w:val="yellow"/>
              </w:rPr>
            </w:pPr>
            <w:r w:rsidRPr="00EC1913">
              <w:rPr>
                <w:color w:val="000000"/>
                <w:sz w:val="20"/>
                <w:szCs w:val="20"/>
                <w:highlight w:val="yellow"/>
              </w:rPr>
              <w:t>0.35</w:t>
            </w:r>
          </w:p>
        </w:tc>
        <w:tc>
          <w:tcPr>
            <w:tcW w:w="1014" w:type="dxa"/>
            <w:gridSpan w:val="2"/>
            <w:shd w:val="clear" w:color="auto" w:fill="auto"/>
            <w:noWrap/>
            <w:vAlign w:val="center"/>
          </w:tcPr>
          <w:p w14:paraId="1F66634F" w14:textId="77777777" w:rsidR="008105F8" w:rsidRPr="00EC1913" w:rsidRDefault="008105F8" w:rsidP="00F54ACD">
            <w:pPr>
              <w:contextualSpacing/>
              <w:jc w:val="center"/>
              <w:rPr>
                <w:color w:val="333333"/>
                <w:sz w:val="20"/>
                <w:szCs w:val="20"/>
                <w:highlight w:val="yellow"/>
              </w:rPr>
            </w:pPr>
            <w:r w:rsidRPr="00EC1913">
              <w:rPr>
                <w:color w:val="333333"/>
                <w:sz w:val="20"/>
                <w:szCs w:val="20"/>
                <w:highlight w:val="yellow"/>
              </w:rPr>
              <w:t>0.02</w:t>
            </w:r>
          </w:p>
        </w:tc>
      </w:tr>
      <w:tr w:rsidR="008105F8" w:rsidRPr="00EC1913" w14:paraId="36F87F03" w14:textId="77777777" w:rsidTr="00F54ACD">
        <w:trPr>
          <w:trHeight w:val="166"/>
        </w:trPr>
        <w:tc>
          <w:tcPr>
            <w:tcW w:w="3702" w:type="dxa"/>
            <w:shd w:val="clear" w:color="auto" w:fill="auto"/>
            <w:vAlign w:val="center"/>
          </w:tcPr>
          <w:p w14:paraId="34F13621" w14:textId="77777777" w:rsidR="008105F8" w:rsidRPr="00EC1913" w:rsidRDefault="008105F8" w:rsidP="00F54ACD">
            <w:pPr>
              <w:contextualSpacing/>
              <w:rPr>
                <w:color w:val="000000"/>
                <w:sz w:val="20"/>
                <w:szCs w:val="20"/>
              </w:rPr>
            </w:pPr>
            <w:r w:rsidRPr="00EC1913">
              <w:rPr>
                <w:color w:val="000000"/>
                <w:sz w:val="20"/>
                <w:szCs w:val="20"/>
              </w:rPr>
              <w:t xml:space="preserve">   Attention problems</w:t>
            </w:r>
          </w:p>
        </w:tc>
        <w:tc>
          <w:tcPr>
            <w:tcW w:w="1120" w:type="dxa"/>
            <w:gridSpan w:val="2"/>
            <w:shd w:val="clear" w:color="auto" w:fill="auto"/>
            <w:noWrap/>
            <w:vAlign w:val="center"/>
          </w:tcPr>
          <w:p w14:paraId="24B668DB" w14:textId="77777777" w:rsidR="008105F8" w:rsidRPr="00EC1913" w:rsidRDefault="008105F8" w:rsidP="00F54ACD">
            <w:pPr>
              <w:contextualSpacing/>
              <w:jc w:val="center"/>
              <w:rPr>
                <w:color w:val="000000"/>
                <w:sz w:val="20"/>
                <w:szCs w:val="20"/>
              </w:rPr>
            </w:pPr>
            <w:r w:rsidRPr="00EC1913">
              <w:rPr>
                <w:color w:val="000000"/>
                <w:sz w:val="20"/>
                <w:szCs w:val="20"/>
              </w:rPr>
              <w:t>-0.36</w:t>
            </w:r>
          </w:p>
        </w:tc>
        <w:tc>
          <w:tcPr>
            <w:tcW w:w="956" w:type="dxa"/>
            <w:gridSpan w:val="2"/>
            <w:shd w:val="clear" w:color="auto" w:fill="auto"/>
            <w:noWrap/>
            <w:vAlign w:val="center"/>
          </w:tcPr>
          <w:p w14:paraId="04E15D5F" w14:textId="77777777" w:rsidR="008105F8" w:rsidRPr="00EC1913" w:rsidRDefault="008105F8" w:rsidP="00F54ACD">
            <w:pPr>
              <w:contextualSpacing/>
              <w:jc w:val="center"/>
              <w:rPr>
                <w:color w:val="000000"/>
                <w:sz w:val="20"/>
                <w:szCs w:val="20"/>
              </w:rPr>
            </w:pPr>
            <w:r w:rsidRPr="00EC1913">
              <w:rPr>
                <w:color w:val="000000"/>
                <w:sz w:val="20"/>
                <w:szCs w:val="20"/>
              </w:rPr>
              <w:t>0.42</w:t>
            </w:r>
          </w:p>
        </w:tc>
        <w:tc>
          <w:tcPr>
            <w:tcW w:w="1008" w:type="dxa"/>
            <w:gridSpan w:val="2"/>
            <w:shd w:val="clear" w:color="auto" w:fill="auto"/>
            <w:noWrap/>
            <w:vAlign w:val="center"/>
          </w:tcPr>
          <w:p w14:paraId="54C7C7BF" w14:textId="77777777" w:rsidR="008105F8" w:rsidRPr="00EC1913" w:rsidRDefault="008105F8" w:rsidP="00F54ACD">
            <w:pPr>
              <w:contextualSpacing/>
              <w:jc w:val="center"/>
              <w:rPr>
                <w:color w:val="000000"/>
                <w:sz w:val="20"/>
                <w:szCs w:val="20"/>
              </w:rPr>
            </w:pPr>
            <w:r w:rsidRPr="00EC1913">
              <w:rPr>
                <w:color w:val="000000"/>
                <w:sz w:val="20"/>
                <w:szCs w:val="20"/>
              </w:rPr>
              <w:t>0.39</w:t>
            </w:r>
          </w:p>
        </w:tc>
        <w:tc>
          <w:tcPr>
            <w:tcW w:w="1052" w:type="dxa"/>
            <w:gridSpan w:val="2"/>
            <w:shd w:val="clear" w:color="auto" w:fill="auto"/>
            <w:noWrap/>
            <w:vAlign w:val="center"/>
          </w:tcPr>
          <w:p w14:paraId="0F46DA1C" w14:textId="77777777" w:rsidR="008105F8" w:rsidRPr="00EC1913" w:rsidRDefault="008105F8" w:rsidP="00F54ACD">
            <w:pPr>
              <w:contextualSpacing/>
              <w:jc w:val="center"/>
              <w:rPr>
                <w:color w:val="000000"/>
                <w:sz w:val="20"/>
                <w:szCs w:val="20"/>
              </w:rPr>
            </w:pPr>
            <w:r w:rsidRPr="00EC1913">
              <w:rPr>
                <w:color w:val="000000"/>
                <w:sz w:val="20"/>
                <w:szCs w:val="20"/>
              </w:rPr>
              <w:t>0.01</w:t>
            </w:r>
          </w:p>
        </w:tc>
        <w:tc>
          <w:tcPr>
            <w:tcW w:w="978" w:type="dxa"/>
            <w:gridSpan w:val="2"/>
            <w:shd w:val="clear" w:color="auto" w:fill="auto"/>
            <w:noWrap/>
            <w:vAlign w:val="center"/>
          </w:tcPr>
          <w:p w14:paraId="2C2A10FB" w14:textId="77777777" w:rsidR="008105F8" w:rsidRPr="00EC1913" w:rsidRDefault="008105F8" w:rsidP="00F54ACD">
            <w:pPr>
              <w:contextualSpacing/>
              <w:jc w:val="center"/>
              <w:rPr>
                <w:color w:val="000000"/>
                <w:sz w:val="20"/>
                <w:szCs w:val="20"/>
              </w:rPr>
            </w:pPr>
            <w:r w:rsidRPr="00EC1913">
              <w:rPr>
                <w:color w:val="000000"/>
                <w:sz w:val="20"/>
                <w:szCs w:val="20"/>
              </w:rPr>
              <w:t>0.44</w:t>
            </w:r>
          </w:p>
        </w:tc>
        <w:tc>
          <w:tcPr>
            <w:tcW w:w="851" w:type="dxa"/>
            <w:gridSpan w:val="2"/>
            <w:shd w:val="clear" w:color="auto" w:fill="auto"/>
            <w:noWrap/>
            <w:vAlign w:val="center"/>
          </w:tcPr>
          <w:p w14:paraId="64DA387C" w14:textId="77777777" w:rsidR="008105F8" w:rsidRPr="00EC1913" w:rsidRDefault="008105F8" w:rsidP="00F54ACD">
            <w:pPr>
              <w:contextualSpacing/>
              <w:jc w:val="center"/>
              <w:rPr>
                <w:color w:val="000000"/>
                <w:sz w:val="20"/>
                <w:szCs w:val="20"/>
              </w:rPr>
            </w:pPr>
            <w:r w:rsidRPr="00EC1913">
              <w:rPr>
                <w:color w:val="000000"/>
                <w:sz w:val="20"/>
                <w:szCs w:val="20"/>
              </w:rPr>
              <w:t>0.98</w:t>
            </w:r>
          </w:p>
        </w:tc>
        <w:tc>
          <w:tcPr>
            <w:tcW w:w="974" w:type="dxa"/>
            <w:gridSpan w:val="2"/>
            <w:shd w:val="clear" w:color="auto" w:fill="auto"/>
            <w:noWrap/>
            <w:vAlign w:val="center"/>
          </w:tcPr>
          <w:p w14:paraId="22B5DBF1" w14:textId="77777777" w:rsidR="008105F8" w:rsidRPr="00EC1913" w:rsidRDefault="008105F8" w:rsidP="00F54ACD">
            <w:pPr>
              <w:contextualSpacing/>
              <w:jc w:val="center"/>
              <w:rPr>
                <w:color w:val="000000"/>
                <w:sz w:val="20"/>
                <w:szCs w:val="20"/>
              </w:rPr>
            </w:pPr>
            <w:r w:rsidRPr="00EC1913">
              <w:rPr>
                <w:color w:val="000000"/>
                <w:sz w:val="20"/>
                <w:szCs w:val="20"/>
              </w:rPr>
              <w:t>0.37</w:t>
            </w:r>
          </w:p>
        </w:tc>
        <w:tc>
          <w:tcPr>
            <w:tcW w:w="905" w:type="dxa"/>
            <w:gridSpan w:val="2"/>
            <w:shd w:val="clear" w:color="auto" w:fill="auto"/>
            <w:noWrap/>
            <w:vAlign w:val="center"/>
          </w:tcPr>
          <w:p w14:paraId="35C37FCC" w14:textId="77777777" w:rsidR="008105F8" w:rsidRPr="00EC1913" w:rsidRDefault="008105F8" w:rsidP="00F54ACD">
            <w:pPr>
              <w:contextualSpacing/>
              <w:jc w:val="center"/>
              <w:rPr>
                <w:color w:val="000000"/>
                <w:sz w:val="20"/>
                <w:szCs w:val="20"/>
              </w:rPr>
            </w:pPr>
            <w:r w:rsidRPr="00EC1913">
              <w:rPr>
                <w:color w:val="000000"/>
                <w:sz w:val="20"/>
                <w:szCs w:val="20"/>
              </w:rPr>
              <w:t>0.44</w:t>
            </w:r>
          </w:p>
        </w:tc>
        <w:tc>
          <w:tcPr>
            <w:tcW w:w="1014" w:type="dxa"/>
            <w:gridSpan w:val="2"/>
            <w:shd w:val="clear" w:color="auto" w:fill="auto"/>
            <w:noWrap/>
            <w:vAlign w:val="center"/>
          </w:tcPr>
          <w:p w14:paraId="280A8762" w14:textId="77777777" w:rsidR="008105F8" w:rsidRPr="00EC1913" w:rsidRDefault="008105F8" w:rsidP="00F54ACD">
            <w:pPr>
              <w:contextualSpacing/>
              <w:jc w:val="center"/>
              <w:rPr>
                <w:color w:val="333333"/>
                <w:sz w:val="20"/>
                <w:szCs w:val="20"/>
              </w:rPr>
            </w:pPr>
            <w:r w:rsidRPr="00EC1913">
              <w:rPr>
                <w:color w:val="333333"/>
                <w:sz w:val="20"/>
                <w:szCs w:val="20"/>
              </w:rPr>
              <w:t>0.40</w:t>
            </w:r>
          </w:p>
        </w:tc>
      </w:tr>
      <w:tr w:rsidR="008105F8" w:rsidRPr="00EC1913" w14:paraId="3F934205" w14:textId="77777777" w:rsidTr="00F54ACD">
        <w:trPr>
          <w:trHeight w:val="166"/>
        </w:trPr>
        <w:tc>
          <w:tcPr>
            <w:tcW w:w="3702" w:type="dxa"/>
            <w:shd w:val="clear" w:color="auto" w:fill="auto"/>
            <w:vAlign w:val="center"/>
          </w:tcPr>
          <w:p w14:paraId="762D69B5" w14:textId="77777777" w:rsidR="008105F8" w:rsidRPr="00EC1913" w:rsidRDefault="008105F8" w:rsidP="00F54ACD">
            <w:pPr>
              <w:contextualSpacing/>
              <w:rPr>
                <w:color w:val="000000"/>
                <w:sz w:val="20"/>
                <w:szCs w:val="20"/>
              </w:rPr>
            </w:pPr>
            <w:r w:rsidRPr="00EC1913">
              <w:rPr>
                <w:color w:val="000000"/>
                <w:sz w:val="20"/>
                <w:szCs w:val="20"/>
              </w:rPr>
              <w:t xml:space="preserve">   Composite</w:t>
            </w:r>
          </w:p>
        </w:tc>
        <w:tc>
          <w:tcPr>
            <w:tcW w:w="1120" w:type="dxa"/>
            <w:gridSpan w:val="2"/>
            <w:shd w:val="clear" w:color="auto" w:fill="auto"/>
            <w:noWrap/>
            <w:vAlign w:val="center"/>
          </w:tcPr>
          <w:p w14:paraId="473D39DE" w14:textId="77777777" w:rsidR="008105F8" w:rsidRPr="00EC1913" w:rsidRDefault="008105F8" w:rsidP="00F54ACD">
            <w:pPr>
              <w:contextualSpacing/>
              <w:jc w:val="center"/>
              <w:rPr>
                <w:color w:val="000000"/>
                <w:sz w:val="20"/>
                <w:szCs w:val="20"/>
              </w:rPr>
            </w:pPr>
            <w:r w:rsidRPr="00EC1913">
              <w:rPr>
                <w:color w:val="000000"/>
                <w:sz w:val="20"/>
                <w:szCs w:val="20"/>
              </w:rPr>
              <w:t>-0.23</w:t>
            </w:r>
          </w:p>
        </w:tc>
        <w:tc>
          <w:tcPr>
            <w:tcW w:w="956" w:type="dxa"/>
            <w:gridSpan w:val="2"/>
            <w:shd w:val="clear" w:color="auto" w:fill="auto"/>
            <w:noWrap/>
            <w:vAlign w:val="center"/>
          </w:tcPr>
          <w:p w14:paraId="12E1CFE5" w14:textId="77777777" w:rsidR="008105F8" w:rsidRPr="00EC1913" w:rsidRDefault="008105F8" w:rsidP="00F54ACD">
            <w:pPr>
              <w:contextualSpacing/>
              <w:jc w:val="center"/>
              <w:rPr>
                <w:color w:val="000000"/>
                <w:sz w:val="20"/>
                <w:szCs w:val="20"/>
              </w:rPr>
            </w:pPr>
            <w:r w:rsidRPr="00EC1913">
              <w:rPr>
                <w:color w:val="000000"/>
                <w:sz w:val="20"/>
                <w:szCs w:val="20"/>
              </w:rPr>
              <w:t>0.10</w:t>
            </w:r>
          </w:p>
        </w:tc>
        <w:tc>
          <w:tcPr>
            <w:tcW w:w="1008" w:type="dxa"/>
            <w:gridSpan w:val="2"/>
            <w:shd w:val="clear" w:color="auto" w:fill="auto"/>
            <w:noWrap/>
            <w:vAlign w:val="center"/>
          </w:tcPr>
          <w:p w14:paraId="7BF13A49" w14:textId="77777777" w:rsidR="008105F8" w:rsidRPr="00EC1913" w:rsidRDefault="008105F8" w:rsidP="00F54ACD">
            <w:pPr>
              <w:contextualSpacing/>
              <w:jc w:val="center"/>
              <w:rPr>
                <w:color w:val="000000"/>
                <w:sz w:val="20"/>
                <w:szCs w:val="20"/>
              </w:rPr>
            </w:pPr>
            <w:r w:rsidRPr="00EC1913">
              <w:rPr>
                <w:color w:val="000000"/>
                <w:sz w:val="20"/>
                <w:szCs w:val="20"/>
              </w:rPr>
              <w:t>0.01</w:t>
            </w:r>
          </w:p>
        </w:tc>
        <w:tc>
          <w:tcPr>
            <w:tcW w:w="1052" w:type="dxa"/>
            <w:gridSpan w:val="2"/>
            <w:shd w:val="clear" w:color="auto" w:fill="auto"/>
            <w:noWrap/>
            <w:vAlign w:val="center"/>
          </w:tcPr>
          <w:p w14:paraId="70560844" w14:textId="77777777" w:rsidR="008105F8" w:rsidRPr="00EC1913" w:rsidRDefault="008105F8" w:rsidP="00F54ACD">
            <w:pPr>
              <w:contextualSpacing/>
              <w:jc w:val="center"/>
              <w:rPr>
                <w:color w:val="000000"/>
                <w:sz w:val="20"/>
                <w:szCs w:val="20"/>
              </w:rPr>
            </w:pPr>
            <w:r w:rsidRPr="00EC1913">
              <w:rPr>
                <w:color w:val="000000"/>
                <w:sz w:val="20"/>
                <w:szCs w:val="20"/>
              </w:rPr>
              <w:t>-0.04</w:t>
            </w:r>
          </w:p>
        </w:tc>
        <w:tc>
          <w:tcPr>
            <w:tcW w:w="978" w:type="dxa"/>
            <w:gridSpan w:val="2"/>
            <w:shd w:val="clear" w:color="auto" w:fill="auto"/>
            <w:noWrap/>
            <w:vAlign w:val="center"/>
          </w:tcPr>
          <w:p w14:paraId="2F87FB63" w14:textId="77777777" w:rsidR="008105F8" w:rsidRPr="00EC1913" w:rsidRDefault="008105F8" w:rsidP="00F54ACD">
            <w:pPr>
              <w:contextualSpacing/>
              <w:jc w:val="center"/>
              <w:rPr>
                <w:color w:val="000000"/>
                <w:sz w:val="20"/>
                <w:szCs w:val="20"/>
              </w:rPr>
            </w:pPr>
            <w:r w:rsidRPr="00EC1913">
              <w:rPr>
                <w:color w:val="000000"/>
                <w:sz w:val="20"/>
                <w:szCs w:val="20"/>
              </w:rPr>
              <w:t>0.10</w:t>
            </w:r>
          </w:p>
        </w:tc>
        <w:tc>
          <w:tcPr>
            <w:tcW w:w="851" w:type="dxa"/>
            <w:gridSpan w:val="2"/>
            <w:shd w:val="clear" w:color="auto" w:fill="auto"/>
            <w:noWrap/>
            <w:vAlign w:val="center"/>
          </w:tcPr>
          <w:p w14:paraId="0EC3C0FC" w14:textId="77777777" w:rsidR="008105F8" w:rsidRPr="00EC1913" w:rsidRDefault="008105F8" w:rsidP="00F54ACD">
            <w:pPr>
              <w:contextualSpacing/>
              <w:jc w:val="center"/>
              <w:rPr>
                <w:color w:val="000000"/>
                <w:sz w:val="20"/>
                <w:szCs w:val="20"/>
              </w:rPr>
            </w:pPr>
            <w:r w:rsidRPr="00EC1913">
              <w:rPr>
                <w:color w:val="000000"/>
                <w:sz w:val="20"/>
                <w:szCs w:val="20"/>
              </w:rPr>
              <w:t>0.67</w:t>
            </w:r>
          </w:p>
        </w:tc>
        <w:tc>
          <w:tcPr>
            <w:tcW w:w="974" w:type="dxa"/>
            <w:gridSpan w:val="2"/>
            <w:shd w:val="clear" w:color="auto" w:fill="auto"/>
            <w:noWrap/>
            <w:vAlign w:val="center"/>
          </w:tcPr>
          <w:p w14:paraId="06CF49FC" w14:textId="77777777" w:rsidR="008105F8" w:rsidRPr="00EC1913" w:rsidRDefault="008105F8" w:rsidP="00F54ACD">
            <w:pPr>
              <w:contextualSpacing/>
              <w:jc w:val="center"/>
              <w:rPr>
                <w:color w:val="000000"/>
                <w:sz w:val="20"/>
                <w:szCs w:val="20"/>
              </w:rPr>
            </w:pPr>
            <w:r w:rsidRPr="00EC1913">
              <w:rPr>
                <w:color w:val="000000"/>
                <w:sz w:val="20"/>
                <w:szCs w:val="20"/>
              </w:rPr>
              <w:t>0.19</w:t>
            </w:r>
          </w:p>
        </w:tc>
        <w:tc>
          <w:tcPr>
            <w:tcW w:w="905" w:type="dxa"/>
            <w:gridSpan w:val="2"/>
            <w:shd w:val="clear" w:color="auto" w:fill="auto"/>
            <w:noWrap/>
            <w:vAlign w:val="center"/>
          </w:tcPr>
          <w:p w14:paraId="5955F222" w14:textId="77777777" w:rsidR="008105F8" w:rsidRPr="00EC1913" w:rsidRDefault="008105F8" w:rsidP="00F54ACD">
            <w:pPr>
              <w:contextualSpacing/>
              <w:jc w:val="center"/>
              <w:rPr>
                <w:color w:val="000000"/>
                <w:sz w:val="20"/>
                <w:szCs w:val="20"/>
              </w:rPr>
            </w:pPr>
            <w:r w:rsidRPr="00EC1913">
              <w:rPr>
                <w:color w:val="000000"/>
                <w:sz w:val="20"/>
                <w:szCs w:val="20"/>
              </w:rPr>
              <w:t>0.10</w:t>
            </w:r>
          </w:p>
        </w:tc>
        <w:tc>
          <w:tcPr>
            <w:tcW w:w="1014" w:type="dxa"/>
            <w:gridSpan w:val="2"/>
            <w:shd w:val="clear" w:color="auto" w:fill="auto"/>
            <w:noWrap/>
            <w:vAlign w:val="center"/>
          </w:tcPr>
          <w:p w14:paraId="5136D4EC" w14:textId="77777777" w:rsidR="008105F8" w:rsidRPr="00EC1913" w:rsidRDefault="008105F8" w:rsidP="00F54ACD">
            <w:pPr>
              <w:contextualSpacing/>
              <w:jc w:val="center"/>
              <w:rPr>
                <w:color w:val="333333"/>
                <w:sz w:val="20"/>
                <w:szCs w:val="20"/>
              </w:rPr>
            </w:pPr>
            <w:r w:rsidRPr="00EC1913">
              <w:rPr>
                <w:color w:val="333333"/>
                <w:sz w:val="20"/>
                <w:szCs w:val="20"/>
              </w:rPr>
              <w:t>0.05</w:t>
            </w:r>
          </w:p>
        </w:tc>
      </w:tr>
      <w:tr w:rsidR="008105F8" w:rsidRPr="00EC1913" w14:paraId="1048905F" w14:textId="77777777" w:rsidTr="00F54ACD">
        <w:trPr>
          <w:trHeight w:val="166"/>
        </w:trPr>
        <w:tc>
          <w:tcPr>
            <w:tcW w:w="3702" w:type="dxa"/>
            <w:shd w:val="clear" w:color="auto" w:fill="auto"/>
            <w:vAlign w:val="center"/>
          </w:tcPr>
          <w:p w14:paraId="0F587CF5" w14:textId="77777777" w:rsidR="008105F8" w:rsidRPr="00EC1913" w:rsidRDefault="008105F8" w:rsidP="00F54ACD">
            <w:pPr>
              <w:contextualSpacing/>
              <w:rPr>
                <w:color w:val="000000"/>
                <w:sz w:val="20"/>
                <w:szCs w:val="20"/>
              </w:rPr>
            </w:pPr>
            <w:r w:rsidRPr="00EC1913">
              <w:rPr>
                <w:i/>
                <w:iCs/>
                <w:color w:val="000000"/>
                <w:sz w:val="20"/>
                <w:szCs w:val="20"/>
              </w:rPr>
              <w:t>Behavioral Health</w:t>
            </w:r>
          </w:p>
        </w:tc>
        <w:tc>
          <w:tcPr>
            <w:tcW w:w="1120" w:type="dxa"/>
            <w:gridSpan w:val="2"/>
            <w:shd w:val="clear" w:color="auto" w:fill="auto"/>
            <w:noWrap/>
            <w:vAlign w:val="bottom"/>
          </w:tcPr>
          <w:p w14:paraId="50BE6CE3" w14:textId="77777777" w:rsidR="008105F8" w:rsidRPr="00EC1913" w:rsidRDefault="008105F8" w:rsidP="00F54ACD">
            <w:pPr>
              <w:contextualSpacing/>
              <w:jc w:val="center"/>
              <w:rPr>
                <w:color w:val="000000"/>
                <w:sz w:val="20"/>
                <w:szCs w:val="20"/>
              </w:rPr>
            </w:pPr>
          </w:p>
        </w:tc>
        <w:tc>
          <w:tcPr>
            <w:tcW w:w="956" w:type="dxa"/>
            <w:gridSpan w:val="2"/>
            <w:shd w:val="clear" w:color="auto" w:fill="auto"/>
            <w:noWrap/>
            <w:vAlign w:val="bottom"/>
          </w:tcPr>
          <w:p w14:paraId="34642EE9" w14:textId="77777777" w:rsidR="008105F8" w:rsidRPr="00EC1913" w:rsidRDefault="008105F8" w:rsidP="00F54ACD">
            <w:pPr>
              <w:contextualSpacing/>
              <w:jc w:val="center"/>
              <w:rPr>
                <w:color w:val="000000"/>
                <w:sz w:val="20"/>
                <w:szCs w:val="20"/>
              </w:rPr>
            </w:pPr>
          </w:p>
        </w:tc>
        <w:tc>
          <w:tcPr>
            <w:tcW w:w="1008" w:type="dxa"/>
            <w:gridSpan w:val="2"/>
            <w:shd w:val="clear" w:color="auto" w:fill="auto"/>
            <w:noWrap/>
            <w:vAlign w:val="bottom"/>
          </w:tcPr>
          <w:p w14:paraId="02687072" w14:textId="77777777" w:rsidR="008105F8" w:rsidRPr="00EC1913" w:rsidRDefault="008105F8" w:rsidP="00F54ACD">
            <w:pPr>
              <w:contextualSpacing/>
              <w:jc w:val="center"/>
              <w:rPr>
                <w:color w:val="000000"/>
                <w:sz w:val="20"/>
                <w:szCs w:val="20"/>
              </w:rPr>
            </w:pPr>
          </w:p>
        </w:tc>
        <w:tc>
          <w:tcPr>
            <w:tcW w:w="1052" w:type="dxa"/>
            <w:gridSpan w:val="2"/>
            <w:shd w:val="clear" w:color="auto" w:fill="auto"/>
            <w:noWrap/>
            <w:vAlign w:val="bottom"/>
          </w:tcPr>
          <w:p w14:paraId="7BAE8A0C" w14:textId="77777777" w:rsidR="008105F8" w:rsidRPr="00EC1913" w:rsidRDefault="008105F8" w:rsidP="00F54ACD">
            <w:pPr>
              <w:contextualSpacing/>
              <w:jc w:val="center"/>
              <w:rPr>
                <w:color w:val="000000"/>
                <w:sz w:val="20"/>
                <w:szCs w:val="20"/>
              </w:rPr>
            </w:pPr>
          </w:p>
        </w:tc>
        <w:tc>
          <w:tcPr>
            <w:tcW w:w="978" w:type="dxa"/>
            <w:gridSpan w:val="2"/>
            <w:shd w:val="clear" w:color="auto" w:fill="auto"/>
            <w:noWrap/>
            <w:vAlign w:val="bottom"/>
          </w:tcPr>
          <w:p w14:paraId="71F2D6E2" w14:textId="77777777" w:rsidR="008105F8" w:rsidRPr="00EC1913" w:rsidRDefault="008105F8" w:rsidP="00F54ACD">
            <w:pPr>
              <w:contextualSpacing/>
              <w:jc w:val="center"/>
              <w:rPr>
                <w:color w:val="000000"/>
                <w:sz w:val="20"/>
                <w:szCs w:val="20"/>
              </w:rPr>
            </w:pPr>
          </w:p>
        </w:tc>
        <w:tc>
          <w:tcPr>
            <w:tcW w:w="851" w:type="dxa"/>
            <w:gridSpan w:val="2"/>
            <w:shd w:val="clear" w:color="auto" w:fill="auto"/>
            <w:noWrap/>
            <w:vAlign w:val="bottom"/>
          </w:tcPr>
          <w:p w14:paraId="0C2A9BDC" w14:textId="77777777" w:rsidR="008105F8" w:rsidRPr="00EC1913" w:rsidRDefault="008105F8" w:rsidP="00F54ACD">
            <w:pPr>
              <w:contextualSpacing/>
              <w:jc w:val="center"/>
              <w:rPr>
                <w:color w:val="000000"/>
                <w:sz w:val="20"/>
                <w:szCs w:val="20"/>
              </w:rPr>
            </w:pPr>
          </w:p>
        </w:tc>
        <w:tc>
          <w:tcPr>
            <w:tcW w:w="974" w:type="dxa"/>
            <w:gridSpan w:val="2"/>
            <w:shd w:val="clear" w:color="auto" w:fill="auto"/>
            <w:noWrap/>
            <w:vAlign w:val="center"/>
          </w:tcPr>
          <w:p w14:paraId="59A9EEDB" w14:textId="77777777" w:rsidR="008105F8" w:rsidRPr="00EC1913" w:rsidRDefault="008105F8" w:rsidP="00F54ACD">
            <w:pPr>
              <w:contextualSpacing/>
              <w:jc w:val="center"/>
              <w:rPr>
                <w:color w:val="000000"/>
                <w:sz w:val="20"/>
                <w:szCs w:val="20"/>
              </w:rPr>
            </w:pPr>
          </w:p>
        </w:tc>
        <w:tc>
          <w:tcPr>
            <w:tcW w:w="905" w:type="dxa"/>
            <w:gridSpan w:val="2"/>
            <w:shd w:val="clear" w:color="auto" w:fill="auto"/>
            <w:noWrap/>
            <w:vAlign w:val="center"/>
          </w:tcPr>
          <w:p w14:paraId="673D40A4" w14:textId="77777777" w:rsidR="008105F8" w:rsidRPr="00EC1913" w:rsidRDefault="008105F8" w:rsidP="00F54ACD">
            <w:pPr>
              <w:contextualSpacing/>
              <w:jc w:val="center"/>
              <w:rPr>
                <w:color w:val="000000"/>
                <w:sz w:val="20"/>
                <w:szCs w:val="20"/>
              </w:rPr>
            </w:pPr>
          </w:p>
        </w:tc>
        <w:tc>
          <w:tcPr>
            <w:tcW w:w="1014" w:type="dxa"/>
            <w:gridSpan w:val="2"/>
            <w:shd w:val="clear" w:color="auto" w:fill="auto"/>
            <w:noWrap/>
            <w:vAlign w:val="center"/>
          </w:tcPr>
          <w:p w14:paraId="33E5C1CC" w14:textId="77777777" w:rsidR="008105F8" w:rsidRPr="00EC1913" w:rsidRDefault="008105F8" w:rsidP="00F54ACD">
            <w:pPr>
              <w:contextualSpacing/>
              <w:jc w:val="center"/>
              <w:rPr>
                <w:color w:val="333333"/>
                <w:sz w:val="20"/>
                <w:szCs w:val="20"/>
              </w:rPr>
            </w:pPr>
          </w:p>
        </w:tc>
      </w:tr>
      <w:tr w:rsidR="008105F8" w:rsidRPr="00EC1913" w14:paraId="04C37DAB" w14:textId="77777777" w:rsidTr="00F54ACD">
        <w:trPr>
          <w:trHeight w:val="166"/>
        </w:trPr>
        <w:tc>
          <w:tcPr>
            <w:tcW w:w="3702" w:type="dxa"/>
            <w:shd w:val="clear" w:color="auto" w:fill="auto"/>
            <w:vAlign w:val="center"/>
          </w:tcPr>
          <w:p w14:paraId="4AD73725" w14:textId="77777777" w:rsidR="008105F8" w:rsidRPr="00EC1913" w:rsidRDefault="008105F8" w:rsidP="00F54ACD">
            <w:pPr>
              <w:contextualSpacing/>
              <w:rPr>
                <w:i/>
                <w:iCs/>
                <w:color w:val="000000"/>
                <w:sz w:val="20"/>
                <w:szCs w:val="20"/>
              </w:rPr>
            </w:pPr>
            <w:r w:rsidRPr="00EC1913">
              <w:rPr>
                <w:color w:val="000000"/>
                <w:sz w:val="20"/>
                <w:szCs w:val="20"/>
              </w:rPr>
              <w:t xml:space="preserve">   Rule-Breaking Behavior</w:t>
            </w:r>
          </w:p>
        </w:tc>
        <w:tc>
          <w:tcPr>
            <w:tcW w:w="1120" w:type="dxa"/>
            <w:gridSpan w:val="2"/>
            <w:shd w:val="clear" w:color="auto" w:fill="auto"/>
            <w:noWrap/>
            <w:vAlign w:val="center"/>
          </w:tcPr>
          <w:p w14:paraId="3D6B6DD8" w14:textId="77777777" w:rsidR="008105F8" w:rsidRPr="00EC1913" w:rsidRDefault="008105F8" w:rsidP="00F54ACD">
            <w:pPr>
              <w:contextualSpacing/>
              <w:jc w:val="center"/>
              <w:rPr>
                <w:color w:val="000000"/>
                <w:sz w:val="20"/>
                <w:szCs w:val="20"/>
                <w:highlight w:val="yellow"/>
              </w:rPr>
            </w:pPr>
            <w:r w:rsidRPr="00EC1913">
              <w:rPr>
                <w:color w:val="000000"/>
                <w:sz w:val="20"/>
                <w:szCs w:val="20"/>
                <w:highlight w:val="yellow"/>
              </w:rPr>
              <w:t>-0.71</w:t>
            </w:r>
          </w:p>
        </w:tc>
        <w:tc>
          <w:tcPr>
            <w:tcW w:w="956" w:type="dxa"/>
            <w:gridSpan w:val="2"/>
            <w:shd w:val="clear" w:color="auto" w:fill="auto"/>
            <w:noWrap/>
            <w:vAlign w:val="center"/>
          </w:tcPr>
          <w:p w14:paraId="5D61C46B" w14:textId="77777777" w:rsidR="008105F8" w:rsidRPr="00EC1913" w:rsidRDefault="008105F8" w:rsidP="00F54ACD">
            <w:pPr>
              <w:contextualSpacing/>
              <w:jc w:val="center"/>
              <w:rPr>
                <w:color w:val="000000"/>
                <w:sz w:val="20"/>
                <w:szCs w:val="20"/>
                <w:highlight w:val="yellow"/>
              </w:rPr>
            </w:pPr>
            <w:r w:rsidRPr="00EC1913">
              <w:rPr>
                <w:color w:val="000000"/>
                <w:sz w:val="20"/>
                <w:szCs w:val="20"/>
                <w:highlight w:val="yellow"/>
              </w:rPr>
              <w:t>0.30</w:t>
            </w:r>
          </w:p>
        </w:tc>
        <w:tc>
          <w:tcPr>
            <w:tcW w:w="1008" w:type="dxa"/>
            <w:gridSpan w:val="2"/>
            <w:shd w:val="clear" w:color="auto" w:fill="auto"/>
            <w:noWrap/>
            <w:vAlign w:val="center"/>
          </w:tcPr>
          <w:p w14:paraId="0AB92B9E" w14:textId="77777777" w:rsidR="008105F8" w:rsidRPr="00EC1913" w:rsidRDefault="008105F8" w:rsidP="00F54ACD">
            <w:pPr>
              <w:contextualSpacing/>
              <w:jc w:val="center"/>
              <w:rPr>
                <w:color w:val="000000"/>
                <w:sz w:val="20"/>
                <w:szCs w:val="20"/>
                <w:highlight w:val="yellow"/>
              </w:rPr>
            </w:pPr>
            <w:r w:rsidRPr="00EC1913">
              <w:rPr>
                <w:color w:val="000000"/>
                <w:sz w:val="20"/>
                <w:szCs w:val="20"/>
                <w:highlight w:val="yellow"/>
              </w:rPr>
              <w:t>0.02</w:t>
            </w:r>
          </w:p>
        </w:tc>
        <w:tc>
          <w:tcPr>
            <w:tcW w:w="1052" w:type="dxa"/>
            <w:gridSpan w:val="2"/>
            <w:shd w:val="clear" w:color="auto" w:fill="auto"/>
            <w:noWrap/>
            <w:vAlign w:val="center"/>
          </w:tcPr>
          <w:p w14:paraId="7CCB11B4" w14:textId="77777777" w:rsidR="008105F8" w:rsidRPr="00EC1913" w:rsidRDefault="008105F8" w:rsidP="00F54ACD">
            <w:pPr>
              <w:contextualSpacing/>
              <w:jc w:val="center"/>
              <w:rPr>
                <w:color w:val="000000"/>
                <w:sz w:val="20"/>
                <w:szCs w:val="20"/>
              </w:rPr>
            </w:pPr>
            <w:r w:rsidRPr="00EC1913">
              <w:rPr>
                <w:color w:val="000000"/>
                <w:sz w:val="20"/>
                <w:szCs w:val="20"/>
              </w:rPr>
              <w:t>0.30</w:t>
            </w:r>
          </w:p>
        </w:tc>
        <w:tc>
          <w:tcPr>
            <w:tcW w:w="978" w:type="dxa"/>
            <w:gridSpan w:val="2"/>
            <w:shd w:val="clear" w:color="auto" w:fill="auto"/>
            <w:noWrap/>
            <w:vAlign w:val="center"/>
          </w:tcPr>
          <w:p w14:paraId="15732745" w14:textId="77777777" w:rsidR="008105F8" w:rsidRPr="00EC1913" w:rsidRDefault="008105F8" w:rsidP="00F54ACD">
            <w:pPr>
              <w:contextualSpacing/>
              <w:jc w:val="center"/>
              <w:rPr>
                <w:color w:val="000000"/>
                <w:sz w:val="20"/>
                <w:szCs w:val="20"/>
              </w:rPr>
            </w:pPr>
            <w:r w:rsidRPr="00EC1913">
              <w:rPr>
                <w:color w:val="000000"/>
                <w:sz w:val="20"/>
                <w:szCs w:val="20"/>
              </w:rPr>
              <w:t>0.32</w:t>
            </w:r>
          </w:p>
        </w:tc>
        <w:tc>
          <w:tcPr>
            <w:tcW w:w="851" w:type="dxa"/>
            <w:gridSpan w:val="2"/>
            <w:shd w:val="clear" w:color="auto" w:fill="auto"/>
            <w:noWrap/>
            <w:vAlign w:val="center"/>
          </w:tcPr>
          <w:p w14:paraId="7DB645B9" w14:textId="77777777" w:rsidR="008105F8" w:rsidRPr="00EC1913" w:rsidRDefault="008105F8" w:rsidP="00F54ACD">
            <w:pPr>
              <w:contextualSpacing/>
              <w:jc w:val="center"/>
              <w:rPr>
                <w:color w:val="000000"/>
                <w:sz w:val="20"/>
                <w:szCs w:val="20"/>
              </w:rPr>
            </w:pPr>
            <w:r w:rsidRPr="00EC1913">
              <w:rPr>
                <w:color w:val="000000"/>
                <w:sz w:val="20"/>
                <w:szCs w:val="20"/>
              </w:rPr>
              <w:t>0.34</w:t>
            </w:r>
          </w:p>
        </w:tc>
        <w:tc>
          <w:tcPr>
            <w:tcW w:w="974" w:type="dxa"/>
            <w:gridSpan w:val="2"/>
            <w:shd w:val="clear" w:color="auto" w:fill="auto"/>
            <w:noWrap/>
            <w:vAlign w:val="center"/>
          </w:tcPr>
          <w:p w14:paraId="549DCB3C" w14:textId="77777777" w:rsidR="008105F8" w:rsidRPr="00EC1913" w:rsidRDefault="008105F8" w:rsidP="00F54ACD">
            <w:pPr>
              <w:contextualSpacing/>
              <w:jc w:val="center"/>
              <w:rPr>
                <w:color w:val="000000"/>
                <w:sz w:val="20"/>
                <w:szCs w:val="20"/>
                <w:highlight w:val="yellow"/>
              </w:rPr>
            </w:pPr>
            <w:r w:rsidRPr="00EC1913">
              <w:rPr>
                <w:color w:val="000000"/>
                <w:sz w:val="20"/>
                <w:szCs w:val="20"/>
                <w:highlight w:val="yellow"/>
              </w:rPr>
              <w:t>1.01</w:t>
            </w:r>
          </w:p>
        </w:tc>
        <w:tc>
          <w:tcPr>
            <w:tcW w:w="905" w:type="dxa"/>
            <w:gridSpan w:val="2"/>
            <w:shd w:val="clear" w:color="auto" w:fill="auto"/>
            <w:noWrap/>
            <w:vAlign w:val="center"/>
          </w:tcPr>
          <w:p w14:paraId="448A8E8B" w14:textId="77777777" w:rsidR="008105F8" w:rsidRPr="00EC1913" w:rsidRDefault="008105F8" w:rsidP="00F54ACD">
            <w:pPr>
              <w:contextualSpacing/>
              <w:jc w:val="center"/>
              <w:rPr>
                <w:color w:val="000000"/>
                <w:sz w:val="20"/>
                <w:szCs w:val="20"/>
                <w:highlight w:val="yellow"/>
              </w:rPr>
            </w:pPr>
            <w:r w:rsidRPr="00EC1913">
              <w:rPr>
                <w:color w:val="000000"/>
                <w:sz w:val="20"/>
                <w:szCs w:val="20"/>
                <w:highlight w:val="yellow"/>
              </w:rPr>
              <w:t>0.32</w:t>
            </w:r>
          </w:p>
        </w:tc>
        <w:tc>
          <w:tcPr>
            <w:tcW w:w="1014" w:type="dxa"/>
            <w:gridSpan w:val="2"/>
            <w:shd w:val="clear" w:color="auto" w:fill="auto"/>
            <w:noWrap/>
            <w:vAlign w:val="center"/>
          </w:tcPr>
          <w:p w14:paraId="128B4ADB" w14:textId="77777777" w:rsidR="008105F8" w:rsidRPr="00EC1913" w:rsidRDefault="008105F8" w:rsidP="00F54ACD">
            <w:pPr>
              <w:contextualSpacing/>
              <w:jc w:val="center"/>
              <w:rPr>
                <w:color w:val="333333"/>
                <w:sz w:val="20"/>
                <w:szCs w:val="20"/>
                <w:highlight w:val="yellow"/>
              </w:rPr>
            </w:pPr>
            <w:r w:rsidRPr="00EC1913">
              <w:rPr>
                <w:color w:val="333333"/>
                <w:sz w:val="20"/>
                <w:szCs w:val="20"/>
                <w:highlight w:val="yellow"/>
              </w:rPr>
              <w:t>0.002</w:t>
            </w:r>
          </w:p>
        </w:tc>
      </w:tr>
      <w:tr w:rsidR="008105F8" w:rsidRPr="00EC1913" w14:paraId="5E54518D" w14:textId="77777777" w:rsidTr="00F54ACD">
        <w:trPr>
          <w:trHeight w:val="166"/>
        </w:trPr>
        <w:tc>
          <w:tcPr>
            <w:tcW w:w="3702" w:type="dxa"/>
            <w:shd w:val="clear" w:color="auto" w:fill="auto"/>
            <w:vAlign w:val="center"/>
          </w:tcPr>
          <w:p w14:paraId="5AB8AEE2" w14:textId="77777777" w:rsidR="008105F8" w:rsidRPr="00EC1913" w:rsidRDefault="008105F8" w:rsidP="00F54ACD">
            <w:pPr>
              <w:contextualSpacing/>
              <w:rPr>
                <w:color w:val="000000"/>
                <w:sz w:val="20"/>
                <w:szCs w:val="20"/>
              </w:rPr>
            </w:pPr>
            <w:r w:rsidRPr="00EC1913">
              <w:rPr>
                <w:color w:val="000000"/>
                <w:sz w:val="20"/>
                <w:szCs w:val="20"/>
              </w:rPr>
              <w:t xml:space="preserve">   Aggressive Behavior</w:t>
            </w:r>
          </w:p>
        </w:tc>
        <w:tc>
          <w:tcPr>
            <w:tcW w:w="1120" w:type="dxa"/>
            <w:gridSpan w:val="2"/>
            <w:shd w:val="clear" w:color="auto" w:fill="auto"/>
            <w:noWrap/>
            <w:vAlign w:val="center"/>
          </w:tcPr>
          <w:p w14:paraId="7A1A02EB" w14:textId="77777777" w:rsidR="008105F8" w:rsidRPr="00EC1913" w:rsidRDefault="008105F8" w:rsidP="00F54ACD">
            <w:pPr>
              <w:contextualSpacing/>
              <w:jc w:val="center"/>
              <w:rPr>
                <w:color w:val="000000"/>
                <w:sz w:val="20"/>
                <w:szCs w:val="20"/>
              </w:rPr>
            </w:pPr>
            <w:r w:rsidRPr="00EC1913">
              <w:rPr>
                <w:color w:val="000000"/>
                <w:sz w:val="20"/>
                <w:szCs w:val="20"/>
              </w:rPr>
              <w:t>0.58</w:t>
            </w:r>
          </w:p>
        </w:tc>
        <w:tc>
          <w:tcPr>
            <w:tcW w:w="956" w:type="dxa"/>
            <w:gridSpan w:val="2"/>
            <w:shd w:val="clear" w:color="auto" w:fill="auto"/>
            <w:noWrap/>
            <w:vAlign w:val="center"/>
          </w:tcPr>
          <w:p w14:paraId="52EEE403" w14:textId="77777777" w:rsidR="008105F8" w:rsidRPr="00EC1913" w:rsidRDefault="008105F8" w:rsidP="00F54ACD">
            <w:pPr>
              <w:contextualSpacing/>
              <w:jc w:val="center"/>
              <w:rPr>
                <w:color w:val="000000"/>
                <w:sz w:val="20"/>
                <w:szCs w:val="20"/>
              </w:rPr>
            </w:pPr>
            <w:r w:rsidRPr="00EC1913">
              <w:rPr>
                <w:color w:val="000000"/>
                <w:sz w:val="20"/>
                <w:szCs w:val="20"/>
              </w:rPr>
              <w:t>0.47</w:t>
            </w:r>
          </w:p>
        </w:tc>
        <w:tc>
          <w:tcPr>
            <w:tcW w:w="1008" w:type="dxa"/>
            <w:gridSpan w:val="2"/>
            <w:shd w:val="clear" w:color="auto" w:fill="auto"/>
            <w:noWrap/>
            <w:vAlign w:val="center"/>
          </w:tcPr>
          <w:p w14:paraId="31AE1DA2" w14:textId="77777777" w:rsidR="008105F8" w:rsidRPr="00EC1913" w:rsidRDefault="008105F8" w:rsidP="00F54ACD">
            <w:pPr>
              <w:contextualSpacing/>
              <w:jc w:val="center"/>
              <w:rPr>
                <w:color w:val="000000"/>
                <w:sz w:val="20"/>
                <w:szCs w:val="20"/>
              </w:rPr>
            </w:pPr>
            <w:r w:rsidRPr="00EC1913">
              <w:rPr>
                <w:color w:val="000000"/>
                <w:sz w:val="20"/>
                <w:szCs w:val="20"/>
              </w:rPr>
              <w:t>0.22</w:t>
            </w:r>
          </w:p>
        </w:tc>
        <w:tc>
          <w:tcPr>
            <w:tcW w:w="1052" w:type="dxa"/>
            <w:gridSpan w:val="2"/>
            <w:shd w:val="clear" w:color="auto" w:fill="auto"/>
            <w:noWrap/>
            <w:vAlign w:val="center"/>
          </w:tcPr>
          <w:p w14:paraId="7FB3A1D2" w14:textId="77777777" w:rsidR="008105F8" w:rsidRPr="00EC1913" w:rsidRDefault="008105F8" w:rsidP="00F54ACD">
            <w:pPr>
              <w:contextualSpacing/>
              <w:jc w:val="center"/>
              <w:rPr>
                <w:color w:val="000000"/>
                <w:sz w:val="20"/>
                <w:szCs w:val="20"/>
              </w:rPr>
            </w:pPr>
            <w:r w:rsidRPr="00EC1913">
              <w:rPr>
                <w:color w:val="000000"/>
                <w:sz w:val="20"/>
                <w:szCs w:val="20"/>
              </w:rPr>
              <w:t>0.93</w:t>
            </w:r>
          </w:p>
        </w:tc>
        <w:tc>
          <w:tcPr>
            <w:tcW w:w="978" w:type="dxa"/>
            <w:gridSpan w:val="2"/>
            <w:shd w:val="clear" w:color="auto" w:fill="auto"/>
            <w:noWrap/>
            <w:vAlign w:val="center"/>
          </w:tcPr>
          <w:p w14:paraId="2953EA8E" w14:textId="77777777" w:rsidR="008105F8" w:rsidRPr="00EC1913" w:rsidRDefault="008105F8" w:rsidP="00F54ACD">
            <w:pPr>
              <w:contextualSpacing/>
              <w:jc w:val="center"/>
              <w:rPr>
                <w:color w:val="000000"/>
                <w:sz w:val="20"/>
                <w:szCs w:val="20"/>
              </w:rPr>
            </w:pPr>
            <w:r w:rsidRPr="00EC1913">
              <w:rPr>
                <w:color w:val="000000"/>
                <w:sz w:val="20"/>
                <w:szCs w:val="20"/>
              </w:rPr>
              <w:t>0.49</w:t>
            </w:r>
          </w:p>
        </w:tc>
        <w:tc>
          <w:tcPr>
            <w:tcW w:w="851" w:type="dxa"/>
            <w:gridSpan w:val="2"/>
            <w:shd w:val="clear" w:color="auto" w:fill="auto"/>
            <w:noWrap/>
            <w:vAlign w:val="center"/>
          </w:tcPr>
          <w:p w14:paraId="135A0768" w14:textId="77777777" w:rsidR="008105F8" w:rsidRPr="00EC1913" w:rsidRDefault="008105F8" w:rsidP="00F54ACD">
            <w:pPr>
              <w:contextualSpacing/>
              <w:jc w:val="center"/>
              <w:rPr>
                <w:color w:val="000000"/>
                <w:sz w:val="20"/>
                <w:szCs w:val="20"/>
              </w:rPr>
            </w:pPr>
            <w:r w:rsidRPr="00EC1913">
              <w:rPr>
                <w:color w:val="000000"/>
                <w:sz w:val="20"/>
                <w:szCs w:val="20"/>
              </w:rPr>
              <w:t>0.06</w:t>
            </w:r>
          </w:p>
        </w:tc>
        <w:tc>
          <w:tcPr>
            <w:tcW w:w="974" w:type="dxa"/>
            <w:gridSpan w:val="2"/>
            <w:shd w:val="clear" w:color="auto" w:fill="auto"/>
            <w:noWrap/>
            <w:vAlign w:val="center"/>
          </w:tcPr>
          <w:p w14:paraId="7FDACEA2" w14:textId="77777777" w:rsidR="008105F8" w:rsidRPr="00EC1913" w:rsidRDefault="008105F8" w:rsidP="00F54ACD">
            <w:pPr>
              <w:contextualSpacing/>
              <w:jc w:val="center"/>
              <w:rPr>
                <w:color w:val="000000"/>
                <w:sz w:val="20"/>
                <w:szCs w:val="20"/>
              </w:rPr>
            </w:pPr>
            <w:r w:rsidRPr="00EC1913">
              <w:rPr>
                <w:color w:val="000000"/>
                <w:sz w:val="20"/>
                <w:szCs w:val="20"/>
              </w:rPr>
              <w:t>0.35</w:t>
            </w:r>
          </w:p>
        </w:tc>
        <w:tc>
          <w:tcPr>
            <w:tcW w:w="905" w:type="dxa"/>
            <w:gridSpan w:val="2"/>
            <w:shd w:val="clear" w:color="auto" w:fill="auto"/>
            <w:noWrap/>
            <w:vAlign w:val="center"/>
          </w:tcPr>
          <w:p w14:paraId="0836235A" w14:textId="77777777" w:rsidR="008105F8" w:rsidRPr="00EC1913" w:rsidRDefault="008105F8" w:rsidP="00F54ACD">
            <w:pPr>
              <w:contextualSpacing/>
              <w:jc w:val="center"/>
              <w:rPr>
                <w:color w:val="000000"/>
                <w:sz w:val="20"/>
                <w:szCs w:val="20"/>
              </w:rPr>
            </w:pPr>
            <w:r w:rsidRPr="00EC1913">
              <w:rPr>
                <w:color w:val="000000"/>
                <w:sz w:val="20"/>
                <w:szCs w:val="20"/>
              </w:rPr>
              <w:t>0.49</w:t>
            </w:r>
          </w:p>
        </w:tc>
        <w:tc>
          <w:tcPr>
            <w:tcW w:w="1014" w:type="dxa"/>
            <w:gridSpan w:val="2"/>
            <w:shd w:val="clear" w:color="auto" w:fill="auto"/>
            <w:noWrap/>
            <w:vAlign w:val="center"/>
          </w:tcPr>
          <w:p w14:paraId="1FF6E8F9" w14:textId="77777777" w:rsidR="008105F8" w:rsidRPr="00EC1913" w:rsidRDefault="008105F8" w:rsidP="00F54ACD">
            <w:pPr>
              <w:contextualSpacing/>
              <w:jc w:val="center"/>
              <w:rPr>
                <w:color w:val="333333"/>
                <w:sz w:val="20"/>
                <w:szCs w:val="20"/>
              </w:rPr>
            </w:pPr>
            <w:r w:rsidRPr="00EC1913">
              <w:rPr>
                <w:color w:val="333333"/>
                <w:sz w:val="20"/>
                <w:szCs w:val="20"/>
              </w:rPr>
              <w:t>0.49</w:t>
            </w:r>
          </w:p>
        </w:tc>
      </w:tr>
      <w:tr w:rsidR="008105F8" w:rsidRPr="00EC1913" w14:paraId="59A52CB0" w14:textId="77777777" w:rsidTr="00F54ACD">
        <w:trPr>
          <w:trHeight w:val="166"/>
        </w:trPr>
        <w:tc>
          <w:tcPr>
            <w:tcW w:w="3702" w:type="dxa"/>
            <w:shd w:val="clear" w:color="auto" w:fill="auto"/>
            <w:vAlign w:val="center"/>
          </w:tcPr>
          <w:p w14:paraId="63C977CB" w14:textId="77777777" w:rsidR="008105F8" w:rsidRPr="00EC1913" w:rsidRDefault="008105F8" w:rsidP="00F54ACD">
            <w:pPr>
              <w:contextualSpacing/>
              <w:rPr>
                <w:color w:val="000000"/>
                <w:sz w:val="20"/>
                <w:szCs w:val="20"/>
              </w:rPr>
            </w:pPr>
            <w:r w:rsidRPr="00EC1913">
              <w:rPr>
                <w:color w:val="000000"/>
                <w:sz w:val="20"/>
                <w:szCs w:val="20"/>
              </w:rPr>
              <w:t xml:space="preserve">   Composite</w:t>
            </w:r>
          </w:p>
        </w:tc>
        <w:tc>
          <w:tcPr>
            <w:tcW w:w="1120" w:type="dxa"/>
            <w:gridSpan w:val="2"/>
            <w:shd w:val="clear" w:color="auto" w:fill="auto"/>
            <w:noWrap/>
            <w:vAlign w:val="center"/>
          </w:tcPr>
          <w:p w14:paraId="4305A453" w14:textId="77777777" w:rsidR="008105F8" w:rsidRPr="00EC1913" w:rsidRDefault="008105F8" w:rsidP="00F54ACD">
            <w:pPr>
              <w:contextualSpacing/>
              <w:jc w:val="center"/>
              <w:rPr>
                <w:color w:val="000000"/>
                <w:sz w:val="20"/>
                <w:szCs w:val="20"/>
              </w:rPr>
            </w:pPr>
            <w:r w:rsidRPr="00EC1913">
              <w:rPr>
                <w:color w:val="000000"/>
                <w:sz w:val="20"/>
                <w:szCs w:val="20"/>
              </w:rPr>
              <w:t>-0.08</w:t>
            </w:r>
          </w:p>
        </w:tc>
        <w:tc>
          <w:tcPr>
            <w:tcW w:w="956" w:type="dxa"/>
            <w:gridSpan w:val="2"/>
            <w:shd w:val="clear" w:color="auto" w:fill="auto"/>
            <w:noWrap/>
            <w:vAlign w:val="center"/>
          </w:tcPr>
          <w:p w14:paraId="4A7DEE7A" w14:textId="77777777" w:rsidR="008105F8" w:rsidRPr="00EC1913" w:rsidRDefault="008105F8" w:rsidP="00F54ACD">
            <w:pPr>
              <w:contextualSpacing/>
              <w:jc w:val="center"/>
              <w:rPr>
                <w:color w:val="000000"/>
                <w:sz w:val="20"/>
                <w:szCs w:val="20"/>
              </w:rPr>
            </w:pPr>
            <w:r w:rsidRPr="00EC1913">
              <w:rPr>
                <w:color w:val="000000"/>
                <w:sz w:val="20"/>
                <w:szCs w:val="20"/>
              </w:rPr>
              <w:t>0.11</w:t>
            </w:r>
          </w:p>
        </w:tc>
        <w:tc>
          <w:tcPr>
            <w:tcW w:w="1008" w:type="dxa"/>
            <w:gridSpan w:val="2"/>
            <w:shd w:val="clear" w:color="auto" w:fill="auto"/>
            <w:noWrap/>
            <w:vAlign w:val="center"/>
          </w:tcPr>
          <w:p w14:paraId="5C328E7E" w14:textId="77777777" w:rsidR="008105F8" w:rsidRPr="00EC1913" w:rsidRDefault="008105F8" w:rsidP="00F54ACD">
            <w:pPr>
              <w:contextualSpacing/>
              <w:jc w:val="center"/>
              <w:rPr>
                <w:color w:val="000000"/>
                <w:sz w:val="20"/>
                <w:szCs w:val="20"/>
              </w:rPr>
            </w:pPr>
            <w:r w:rsidRPr="00EC1913">
              <w:rPr>
                <w:color w:val="000000"/>
                <w:sz w:val="20"/>
                <w:szCs w:val="20"/>
              </w:rPr>
              <w:t>0.45</w:t>
            </w:r>
          </w:p>
        </w:tc>
        <w:tc>
          <w:tcPr>
            <w:tcW w:w="1052" w:type="dxa"/>
            <w:gridSpan w:val="2"/>
            <w:shd w:val="clear" w:color="auto" w:fill="auto"/>
            <w:noWrap/>
            <w:vAlign w:val="center"/>
          </w:tcPr>
          <w:p w14:paraId="1A915F41" w14:textId="77777777" w:rsidR="008105F8" w:rsidRPr="00EC1913" w:rsidRDefault="008105F8" w:rsidP="00F54ACD">
            <w:pPr>
              <w:contextualSpacing/>
              <w:jc w:val="center"/>
              <w:rPr>
                <w:color w:val="000000"/>
                <w:sz w:val="20"/>
                <w:szCs w:val="20"/>
              </w:rPr>
            </w:pPr>
            <w:r w:rsidRPr="00EC1913">
              <w:rPr>
                <w:color w:val="000000"/>
                <w:sz w:val="20"/>
                <w:szCs w:val="20"/>
              </w:rPr>
              <w:t>0.18</w:t>
            </w:r>
          </w:p>
        </w:tc>
        <w:tc>
          <w:tcPr>
            <w:tcW w:w="978" w:type="dxa"/>
            <w:gridSpan w:val="2"/>
            <w:shd w:val="clear" w:color="auto" w:fill="auto"/>
            <w:noWrap/>
            <w:vAlign w:val="center"/>
          </w:tcPr>
          <w:p w14:paraId="55FFEE2B" w14:textId="77777777" w:rsidR="008105F8" w:rsidRPr="00EC1913" w:rsidRDefault="008105F8" w:rsidP="00F54ACD">
            <w:pPr>
              <w:contextualSpacing/>
              <w:jc w:val="center"/>
              <w:rPr>
                <w:color w:val="000000"/>
                <w:sz w:val="20"/>
                <w:szCs w:val="20"/>
              </w:rPr>
            </w:pPr>
            <w:r w:rsidRPr="00EC1913">
              <w:rPr>
                <w:color w:val="000000"/>
                <w:sz w:val="20"/>
                <w:szCs w:val="20"/>
              </w:rPr>
              <w:t>0.11</w:t>
            </w:r>
          </w:p>
        </w:tc>
        <w:tc>
          <w:tcPr>
            <w:tcW w:w="851" w:type="dxa"/>
            <w:gridSpan w:val="2"/>
            <w:shd w:val="clear" w:color="auto" w:fill="auto"/>
            <w:noWrap/>
            <w:vAlign w:val="center"/>
          </w:tcPr>
          <w:p w14:paraId="5660D23E" w14:textId="77777777" w:rsidR="008105F8" w:rsidRPr="00EC1913" w:rsidRDefault="008105F8" w:rsidP="00F54ACD">
            <w:pPr>
              <w:contextualSpacing/>
              <w:jc w:val="center"/>
              <w:rPr>
                <w:color w:val="000000"/>
                <w:sz w:val="20"/>
                <w:szCs w:val="20"/>
              </w:rPr>
            </w:pPr>
            <w:r w:rsidRPr="00EC1913">
              <w:rPr>
                <w:color w:val="000000"/>
                <w:sz w:val="20"/>
                <w:szCs w:val="20"/>
              </w:rPr>
              <w:t>0.10</w:t>
            </w:r>
          </w:p>
        </w:tc>
        <w:tc>
          <w:tcPr>
            <w:tcW w:w="974" w:type="dxa"/>
            <w:gridSpan w:val="2"/>
            <w:shd w:val="clear" w:color="auto" w:fill="auto"/>
            <w:noWrap/>
            <w:vAlign w:val="center"/>
          </w:tcPr>
          <w:p w14:paraId="5B6E8092" w14:textId="77777777" w:rsidR="008105F8" w:rsidRPr="00EC1913" w:rsidRDefault="008105F8" w:rsidP="00F54ACD">
            <w:pPr>
              <w:contextualSpacing/>
              <w:jc w:val="center"/>
              <w:rPr>
                <w:color w:val="000000"/>
                <w:sz w:val="20"/>
                <w:szCs w:val="20"/>
                <w:highlight w:val="yellow"/>
              </w:rPr>
            </w:pPr>
            <w:r w:rsidRPr="00EC1913">
              <w:rPr>
                <w:color w:val="000000"/>
                <w:sz w:val="20"/>
                <w:szCs w:val="20"/>
                <w:highlight w:val="yellow"/>
              </w:rPr>
              <w:t>0.26</w:t>
            </w:r>
          </w:p>
        </w:tc>
        <w:tc>
          <w:tcPr>
            <w:tcW w:w="905" w:type="dxa"/>
            <w:gridSpan w:val="2"/>
            <w:shd w:val="clear" w:color="auto" w:fill="auto"/>
            <w:noWrap/>
            <w:vAlign w:val="center"/>
          </w:tcPr>
          <w:p w14:paraId="39473808" w14:textId="77777777" w:rsidR="008105F8" w:rsidRPr="00EC1913" w:rsidRDefault="008105F8" w:rsidP="00F54ACD">
            <w:pPr>
              <w:contextualSpacing/>
              <w:jc w:val="center"/>
              <w:rPr>
                <w:color w:val="000000"/>
                <w:sz w:val="20"/>
                <w:szCs w:val="20"/>
                <w:highlight w:val="yellow"/>
              </w:rPr>
            </w:pPr>
            <w:r w:rsidRPr="00EC1913">
              <w:rPr>
                <w:color w:val="000000"/>
                <w:sz w:val="20"/>
                <w:szCs w:val="20"/>
                <w:highlight w:val="yellow"/>
              </w:rPr>
              <w:t>0.11</w:t>
            </w:r>
          </w:p>
        </w:tc>
        <w:tc>
          <w:tcPr>
            <w:tcW w:w="1014" w:type="dxa"/>
            <w:gridSpan w:val="2"/>
            <w:shd w:val="clear" w:color="auto" w:fill="auto"/>
            <w:noWrap/>
            <w:vAlign w:val="center"/>
          </w:tcPr>
          <w:p w14:paraId="7C3D6052" w14:textId="77777777" w:rsidR="008105F8" w:rsidRPr="00EC1913" w:rsidRDefault="008105F8" w:rsidP="00F54ACD">
            <w:pPr>
              <w:contextualSpacing/>
              <w:jc w:val="center"/>
              <w:rPr>
                <w:color w:val="333333"/>
                <w:sz w:val="20"/>
                <w:szCs w:val="20"/>
                <w:highlight w:val="yellow"/>
              </w:rPr>
            </w:pPr>
            <w:r w:rsidRPr="00EC1913">
              <w:rPr>
                <w:color w:val="333333"/>
                <w:sz w:val="20"/>
                <w:szCs w:val="20"/>
                <w:highlight w:val="yellow"/>
              </w:rPr>
              <w:t>0.02</w:t>
            </w:r>
          </w:p>
        </w:tc>
      </w:tr>
      <w:tr w:rsidR="008105F8" w:rsidRPr="00EC1913" w14:paraId="4BDF546A" w14:textId="77777777" w:rsidTr="00F54ACD">
        <w:trPr>
          <w:trHeight w:val="166"/>
        </w:trPr>
        <w:tc>
          <w:tcPr>
            <w:tcW w:w="3702" w:type="dxa"/>
            <w:shd w:val="clear" w:color="auto" w:fill="auto"/>
            <w:vAlign w:val="center"/>
          </w:tcPr>
          <w:p w14:paraId="30B0425E" w14:textId="77777777" w:rsidR="008105F8" w:rsidRPr="00EC1913" w:rsidRDefault="008105F8" w:rsidP="00F54ACD">
            <w:pPr>
              <w:contextualSpacing/>
              <w:rPr>
                <w:color w:val="000000"/>
                <w:sz w:val="20"/>
                <w:szCs w:val="20"/>
              </w:rPr>
            </w:pPr>
            <w:r w:rsidRPr="00EC1913">
              <w:rPr>
                <w:i/>
                <w:iCs/>
                <w:color w:val="000000"/>
                <w:sz w:val="20"/>
                <w:szCs w:val="20"/>
              </w:rPr>
              <w:t>Social Health</w:t>
            </w:r>
          </w:p>
        </w:tc>
        <w:tc>
          <w:tcPr>
            <w:tcW w:w="1120" w:type="dxa"/>
            <w:gridSpan w:val="2"/>
            <w:shd w:val="clear" w:color="auto" w:fill="auto"/>
            <w:noWrap/>
            <w:vAlign w:val="bottom"/>
          </w:tcPr>
          <w:p w14:paraId="74EECF3C" w14:textId="77777777" w:rsidR="008105F8" w:rsidRPr="00EC1913" w:rsidRDefault="008105F8" w:rsidP="00F54ACD">
            <w:pPr>
              <w:contextualSpacing/>
              <w:jc w:val="center"/>
              <w:rPr>
                <w:color w:val="000000"/>
                <w:sz w:val="20"/>
                <w:szCs w:val="20"/>
              </w:rPr>
            </w:pPr>
          </w:p>
        </w:tc>
        <w:tc>
          <w:tcPr>
            <w:tcW w:w="956" w:type="dxa"/>
            <w:gridSpan w:val="2"/>
            <w:shd w:val="clear" w:color="auto" w:fill="auto"/>
            <w:noWrap/>
            <w:vAlign w:val="bottom"/>
          </w:tcPr>
          <w:p w14:paraId="08912EC1" w14:textId="77777777" w:rsidR="008105F8" w:rsidRPr="00EC1913" w:rsidRDefault="008105F8" w:rsidP="00F54ACD">
            <w:pPr>
              <w:contextualSpacing/>
              <w:jc w:val="center"/>
              <w:rPr>
                <w:color w:val="000000"/>
                <w:sz w:val="20"/>
                <w:szCs w:val="20"/>
              </w:rPr>
            </w:pPr>
          </w:p>
        </w:tc>
        <w:tc>
          <w:tcPr>
            <w:tcW w:w="1008" w:type="dxa"/>
            <w:gridSpan w:val="2"/>
            <w:shd w:val="clear" w:color="auto" w:fill="auto"/>
            <w:noWrap/>
            <w:vAlign w:val="bottom"/>
          </w:tcPr>
          <w:p w14:paraId="44BB62A0" w14:textId="77777777" w:rsidR="008105F8" w:rsidRPr="00EC1913" w:rsidRDefault="008105F8" w:rsidP="00F54ACD">
            <w:pPr>
              <w:contextualSpacing/>
              <w:jc w:val="center"/>
              <w:rPr>
                <w:color w:val="000000"/>
                <w:sz w:val="20"/>
                <w:szCs w:val="20"/>
              </w:rPr>
            </w:pPr>
          </w:p>
        </w:tc>
        <w:tc>
          <w:tcPr>
            <w:tcW w:w="1052" w:type="dxa"/>
            <w:gridSpan w:val="2"/>
            <w:shd w:val="clear" w:color="auto" w:fill="auto"/>
            <w:noWrap/>
            <w:vAlign w:val="bottom"/>
          </w:tcPr>
          <w:p w14:paraId="63C37D06" w14:textId="77777777" w:rsidR="008105F8" w:rsidRPr="00EC1913" w:rsidRDefault="008105F8" w:rsidP="00F54ACD">
            <w:pPr>
              <w:contextualSpacing/>
              <w:jc w:val="center"/>
              <w:rPr>
                <w:color w:val="000000"/>
                <w:sz w:val="20"/>
                <w:szCs w:val="20"/>
              </w:rPr>
            </w:pPr>
          </w:p>
        </w:tc>
        <w:tc>
          <w:tcPr>
            <w:tcW w:w="978" w:type="dxa"/>
            <w:gridSpan w:val="2"/>
            <w:shd w:val="clear" w:color="auto" w:fill="auto"/>
            <w:noWrap/>
            <w:vAlign w:val="bottom"/>
          </w:tcPr>
          <w:p w14:paraId="5DA03468" w14:textId="77777777" w:rsidR="008105F8" w:rsidRPr="00EC1913" w:rsidRDefault="008105F8" w:rsidP="00F54ACD">
            <w:pPr>
              <w:contextualSpacing/>
              <w:jc w:val="center"/>
              <w:rPr>
                <w:color w:val="000000"/>
                <w:sz w:val="20"/>
                <w:szCs w:val="20"/>
              </w:rPr>
            </w:pPr>
          </w:p>
        </w:tc>
        <w:tc>
          <w:tcPr>
            <w:tcW w:w="851" w:type="dxa"/>
            <w:gridSpan w:val="2"/>
            <w:shd w:val="clear" w:color="auto" w:fill="auto"/>
            <w:noWrap/>
            <w:vAlign w:val="bottom"/>
          </w:tcPr>
          <w:p w14:paraId="660762D4" w14:textId="77777777" w:rsidR="008105F8" w:rsidRPr="00EC1913" w:rsidRDefault="008105F8" w:rsidP="00F54ACD">
            <w:pPr>
              <w:contextualSpacing/>
              <w:jc w:val="center"/>
              <w:rPr>
                <w:color w:val="000000"/>
                <w:sz w:val="20"/>
                <w:szCs w:val="20"/>
              </w:rPr>
            </w:pPr>
          </w:p>
        </w:tc>
        <w:tc>
          <w:tcPr>
            <w:tcW w:w="974" w:type="dxa"/>
            <w:gridSpan w:val="2"/>
            <w:shd w:val="clear" w:color="auto" w:fill="auto"/>
            <w:noWrap/>
            <w:vAlign w:val="center"/>
          </w:tcPr>
          <w:p w14:paraId="4467522E" w14:textId="77777777" w:rsidR="008105F8" w:rsidRPr="00EC1913" w:rsidRDefault="008105F8" w:rsidP="00F54ACD">
            <w:pPr>
              <w:contextualSpacing/>
              <w:jc w:val="center"/>
              <w:rPr>
                <w:color w:val="000000"/>
                <w:sz w:val="20"/>
                <w:szCs w:val="20"/>
              </w:rPr>
            </w:pPr>
          </w:p>
        </w:tc>
        <w:tc>
          <w:tcPr>
            <w:tcW w:w="905" w:type="dxa"/>
            <w:gridSpan w:val="2"/>
            <w:shd w:val="clear" w:color="auto" w:fill="auto"/>
            <w:noWrap/>
            <w:vAlign w:val="center"/>
          </w:tcPr>
          <w:p w14:paraId="4AC88F85" w14:textId="77777777" w:rsidR="008105F8" w:rsidRPr="00EC1913" w:rsidRDefault="008105F8" w:rsidP="00F54ACD">
            <w:pPr>
              <w:contextualSpacing/>
              <w:jc w:val="center"/>
              <w:rPr>
                <w:color w:val="000000"/>
                <w:sz w:val="20"/>
                <w:szCs w:val="20"/>
              </w:rPr>
            </w:pPr>
          </w:p>
        </w:tc>
        <w:tc>
          <w:tcPr>
            <w:tcW w:w="1014" w:type="dxa"/>
            <w:gridSpan w:val="2"/>
            <w:shd w:val="clear" w:color="auto" w:fill="auto"/>
            <w:noWrap/>
            <w:vAlign w:val="center"/>
          </w:tcPr>
          <w:p w14:paraId="0B36AEDF" w14:textId="77777777" w:rsidR="008105F8" w:rsidRPr="00EC1913" w:rsidRDefault="008105F8" w:rsidP="00F54ACD">
            <w:pPr>
              <w:contextualSpacing/>
              <w:jc w:val="center"/>
              <w:rPr>
                <w:color w:val="333333"/>
                <w:sz w:val="20"/>
                <w:szCs w:val="20"/>
              </w:rPr>
            </w:pPr>
          </w:p>
        </w:tc>
      </w:tr>
      <w:tr w:rsidR="008105F8" w:rsidRPr="00EC1913" w14:paraId="13D5E953" w14:textId="77777777" w:rsidTr="00F54ACD">
        <w:trPr>
          <w:trHeight w:val="166"/>
        </w:trPr>
        <w:tc>
          <w:tcPr>
            <w:tcW w:w="3702" w:type="dxa"/>
            <w:shd w:val="clear" w:color="auto" w:fill="auto"/>
            <w:vAlign w:val="center"/>
          </w:tcPr>
          <w:p w14:paraId="51B63136" w14:textId="77777777" w:rsidR="008105F8" w:rsidRPr="00EC1913" w:rsidRDefault="008105F8" w:rsidP="00F54ACD">
            <w:pPr>
              <w:contextualSpacing/>
              <w:rPr>
                <w:i/>
                <w:iCs/>
                <w:color w:val="000000"/>
                <w:sz w:val="20"/>
                <w:szCs w:val="20"/>
              </w:rPr>
            </w:pPr>
            <w:r w:rsidRPr="00EC1913">
              <w:rPr>
                <w:color w:val="000000"/>
                <w:sz w:val="20"/>
                <w:szCs w:val="20"/>
              </w:rPr>
              <w:t xml:space="preserve">   Social Problems</w:t>
            </w:r>
          </w:p>
        </w:tc>
        <w:tc>
          <w:tcPr>
            <w:tcW w:w="1120" w:type="dxa"/>
            <w:gridSpan w:val="2"/>
            <w:shd w:val="clear" w:color="auto" w:fill="auto"/>
            <w:noWrap/>
            <w:vAlign w:val="center"/>
          </w:tcPr>
          <w:p w14:paraId="558AC220" w14:textId="77777777" w:rsidR="008105F8" w:rsidRPr="00EC1913" w:rsidRDefault="008105F8" w:rsidP="00F54ACD">
            <w:pPr>
              <w:contextualSpacing/>
              <w:jc w:val="center"/>
              <w:rPr>
                <w:color w:val="000000"/>
                <w:sz w:val="20"/>
                <w:szCs w:val="20"/>
              </w:rPr>
            </w:pPr>
            <w:r w:rsidRPr="00EC1913">
              <w:rPr>
                <w:color w:val="000000"/>
                <w:sz w:val="20"/>
                <w:szCs w:val="20"/>
              </w:rPr>
              <w:t>-0.16</w:t>
            </w:r>
          </w:p>
        </w:tc>
        <w:tc>
          <w:tcPr>
            <w:tcW w:w="956" w:type="dxa"/>
            <w:gridSpan w:val="2"/>
            <w:shd w:val="clear" w:color="auto" w:fill="auto"/>
            <w:noWrap/>
            <w:vAlign w:val="center"/>
          </w:tcPr>
          <w:p w14:paraId="474639D7" w14:textId="77777777" w:rsidR="008105F8" w:rsidRPr="00EC1913" w:rsidRDefault="008105F8" w:rsidP="00F54ACD">
            <w:pPr>
              <w:contextualSpacing/>
              <w:jc w:val="center"/>
              <w:rPr>
                <w:color w:val="000000"/>
                <w:sz w:val="20"/>
                <w:szCs w:val="20"/>
              </w:rPr>
            </w:pPr>
            <w:r w:rsidRPr="00EC1913">
              <w:rPr>
                <w:color w:val="000000"/>
                <w:sz w:val="20"/>
                <w:szCs w:val="20"/>
              </w:rPr>
              <w:t>0.27</w:t>
            </w:r>
          </w:p>
        </w:tc>
        <w:tc>
          <w:tcPr>
            <w:tcW w:w="1008" w:type="dxa"/>
            <w:gridSpan w:val="2"/>
            <w:shd w:val="clear" w:color="auto" w:fill="auto"/>
            <w:noWrap/>
            <w:vAlign w:val="center"/>
          </w:tcPr>
          <w:p w14:paraId="6C25BC61" w14:textId="77777777" w:rsidR="008105F8" w:rsidRPr="00EC1913" w:rsidRDefault="008105F8" w:rsidP="00F54ACD">
            <w:pPr>
              <w:contextualSpacing/>
              <w:jc w:val="center"/>
              <w:rPr>
                <w:color w:val="000000"/>
                <w:sz w:val="20"/>
                <w:szCs w:val="20"/>
              </w:rPr>
            </w:pPr>
            <w:r w:rsidRPr="00EC1913">
              <w:rPr>
                <w:color w:val="000000"/>
                <w:sz w:val="20"/>
                <w:szCs w:val="20"/>
              </w:rPr>
              <w:t>0.55</w:t>
            </w:r>
          </w:p>
        </w:tc>
        <w:tc>
          <w:tcPr>
            <w:tcW w:w="1052" w:type="dxa"/>
            <w:gridSpan w:val="2"/>
            <w:shd w:val="clear" w:color="auto" w:fill="auto"/>
            <w:noWrap/>
            <w:vAlign w:val="center"/>
          </w:tcPr>
          <w:p w14:paraId="7EB8B5D1" w14:textId="77777777" w:rsidR="008105F8" w:rsidRPr="00EC1913" w:rsidRDefault="008105F8" w:rsidP="00F54ACD">
            <w:pPr>
              <w:contextualSpacing/>
              <w:jc w:val="center"/>
              <w:rPr>
                <w:color w:val="000000"/>
                <w:sz w:val="20"/>
                <w:szCs w:val="20"/>
              </w:rPr>
            </w:pPr>
            <w:r w:rsidRPr="00EC1913">
              <w:rPr>
                <w:color w:val="000000"/>
                <w:sz w:val="20"/>
                <w:szCs w:val="20"/>
              </w:rPr>
              <w:t>0.15</w:t>
            </w:r>
          </w:p>
        </w:tc>
        <w:tc>
          <w:tcPr>
            <w:tcW w:w="978" w:type="dxa"/>
            <w:gridSpan w:val="2"/>
            <w:shd w:val="clear" w:color="auto" w:fill="auto"/>
            <w:noWrap/>
            <w:vAlign w:val="center"/>
          </w:tcPr>
          <w:p w14:paraId="0F241860" w14:textId="77777777" w:rsidR="008105F8" w:rsidRPr="00EC1913" w:rsidRDefault="008105F8" w:rsidP="00F54ACD">
            <w:pPr>
              <w:contextualSpacing/>
              <w:jc w:val="center"/>
              <w:rPr>
                <w:color w:val="000000"/>
                <w:sz w:val="20"/>
                <w:szCs w:val="20"/>
              </w:rPr>
            </w:pPr>
            <w:r w:rsidRPr="00EC1913">
              <w:rPr>
                <w:color w:val="000000"/>
                <w:sz w:val="20"/>
                <w:szCs w:val="20"/>
              </w:rPr>
              <w:t>0.28</w:t>
            </w:r>
          </w:p>
        </w:tc>
        <w:tc>
          <w:tcPr>
            <w:tcW w:w="851" w:type="dxa"/>
            <w:gridSpan w:val="2"/>
            <w:shd w:val="clear" w:color="auto" w:fill="auto"/>
            <w:noWrap/>
            <w:vAlign w:val="center"/>
          </w:tcPr>
          <w:p w14:paraId="76C7E1AE" w14:textId="77777777" w:rsidR="008105F8" w:rsidRPr="00EC1913" w:rsidRDefault="008105F8" w:rsidP="00F54ACD">
            <w:pPr>
              <w:contextualSpacing/>
              <w:jc w:val="center"/>
              <w:rPr>
                <w:color w:val="000000"/>
                <w:sz w:val="20"/>
                <w:szCs w:val="20"/>
              </w:rPr>
            </w:pPr>
            <w:r w:rsidRPr="00EC1913">
              <w:rPr>
                <w:color w:val="000000"/>
                <w:sz w:val="20"/>
                <w:szCs w:val="20"/>
              </w:rPr>
              <w:t>0.58</w:t>
            </w:r>
          </w:p>
        </w:tc>
        <w:tc>
          <w:tcPr>
            <w:tcW w:w="974" w:type="dxa"/>
            <w:gridSpan w:val="2"/>
            <w:shd w:val="clear" w:color="auto" w:fill="auto"/>
            <w:noWrap/>
            <w:vAlign w:val="center"/>
          </w:tcPr>
          <w:p w14:paraId="6D29C300" w14:textId="77777777" w:rsidR="008105F8" w:rsidRPr="00EC1913" w:rsidRDefault="008105F8" w:rsidP="00F54ACD">
            <w:pPr>
              <w:contextualSpacing/>
              <w:jc w:val="center"/>
              <w:rPr>
                <w:color w:val="000000"/>
                <w:sz w:val="20"/>
                <w:szCs w:val="20"/>
              </w:rPr>
            </w:pPr>
            <w:r w:rsidRPr="00EC1913">
              <w:rPr>
                <w:color w:val="000000"/>
                <w:sz w:val="20"/>
                <w:szCs w:val="20"/>
              </w:rPr>
              <w:t>0.32</w:t>
            </w:r>
          </w:p>
        </w:tc>
        <w:tc>
          <w:tcPr>
            <w:tcW w:w="905" w:type="dxa"/>
            <w:gridSpan w:val="2"/>
            <w:shd w:val="clear" w:color="auto" w:fill="auto"/>
            <w:noWrap/>
            <w:vAlign w:val="center"/>
          </w:tcPr>
          <w:p w14:paraId="762ABB53" w14:textId="77777777" w:rsidR="008105F8" w:rsidRPr="00EC1913" w:rsidRDefault="008105F8" w:rsidP="00F54ACD">
            <w:pPr>
              <w:contextualSpacing/>
              <w:jc w:val="center"/>
              <w:rPr>
                <w:color w:val="000000"/>
                <w:sz w:val="20"/>
                <w:szCs w:val="20"/>
              </w:rPr>
            </w:pPr>
            <w:r w:rsidRPr="00EC1913">
              <w:rPr>
                <w:color w:val="000000"/>
                <w:sz w:val="20"/>
                <w:szCs w:val="20"/>
              </w:rPr>
              <w:t>0.28</w:t>
            </w:r>
          </w:p>
        </w:tc>
        <w:tc>
          <w:tcPr>
            <w:tcW w:w="1014" w:type="dxa"/>
            <w:gridSpan w:val="2"/>
            <w:shd w:val="clear" w:color="auto" w:fill="auto"/>
            <w:noWrap/>
            <w:vAlign w:val="center"/>
          </w:tcPr>
          <w:p w14:paraId="606167BF" w14:textId="77777777" w:rsidR="008105F8" w:rsidRPr="00EC1913" w:rsidRDefault="008105F8" w:rsidP="00F54ACD">
            <w:pPr>
              <w:contextualSpacing/>
              <w:jc w:val="center"/>
              <w:rPr>
                <w:color w:val="333333"/>
                <w:sz w:val="20"/>
                <w:szCs w:val="20"/>
              </w:rPr>
            </w:pPr>
            <w:r w:rsidRPr="00EC1913">
              <w:rPr>
                <w:color w:val="333333"/>
                <w:sz w:val="20"/>
                <w:szCs w:val="20"/>
              </w:rPr>
              <w:t>0.26</w:t>
            </w:r>
          </w:p>
        </w:tc>
      </w:tr>
      <w:tr w:rsidR="008105F8" w:rsidRPr="00EC1913" w14:paraId="5640174F" w14:textId="77777777" w:rsidTr="00F54ACD">
        <w:trPr>
          <w:trHeight w:val="166"/>
        </w:trPr>
        <w:tc>
          <w:tcPr>
            <w:tcW w:w="3702" w:type="dxa"/>
            <w:shd w:val="clear" w:color="auto" w:fill="auto"/>
            <w:vAlign w:val="center"/>
          </w:tcPr>
          <w:p w14:paraId="1064CDF4" w14:textId="77777777" w:rsidR="008105F8" w:rsidRPr="00EC1913" w:rsidRDefault="008105F8" w:rsidP="00F54ACD">
            <w:pPr>
              <w:contextualSpacing/>
              <w:rPr>
                <w:color w:val="000000"/>
                <w:sz w:val="20"/>
                <w:szCs w:val="20"/>
              </w:rPr>
            </w:pPr>
            <w:r w:rsidRPr="00EC1913">
              <w:rPr>
                <w:color w:val="000000"/>
                <w:sz w:val="20"/>
                <w:szCs w:val="20"/>
              </w:rPr>
              <w:t xml:space="preserve">   Composite</w:t>
            </w:r>
          </w:p>
        </w:tc>
        <w:tc>
          <w:tcPr>
            <w:tcW w:w="1120" w:type="dxa"/>
            <w:gridSpan w:val="2"/>
            <w:shd w:val="clear" w:color="auto" w:fill="auto"/>
            <w:noWrap/>
            <w:vAlign w:val="center"/>
          </w:tcPr>
          <w:p w14:paraId="063DB0FB" w14:textId="77777777" w:rsidR="008105F8" w:rsidRPr="00EC1913" w:rsidRDefault="008105F8" w:rsidP="00F54ACD">
            <w:pPr>
              <w:contextualSpacing/>
              <w:jc w:val="center"/>
              <w:rPr>
                <w:color w:val="000000"/>
                <w:sz w:val="20"/>
                <w:szCs w:val="20"/>
              </w:rPr>
            </w:pPr>
            <w:r w:rsidRPr="00EC1913">
              <w:rPr>
                <w:color w:val="000000"/>
                <w:sz w:val="20"/>
                <w:szCs w:val="20"/>
              </w:rPr>
              <w:t>-0.08</w:t>
            </w:r>
          </w:p>
        </w:tc>
        <w:tc>
          <w:tcPr>
            <w:tcW w:w="956" w:type="dxa"/>
            <w:gridSpan w:val="2"/>
            <w:shd w:val="clear" w:color="auto" w:fill="auto"/>
            <w:noWrap/>
            <w:vAlign w:val="center"/>
          </w:tcPr>
          <w:p w14:paraId="07BB4E86" w14:textId="77777777" w:rsidR="008105F8" w:rsidRPr="00EC1913" w:rsidRDefault="008105F8" w:rsidP="00F54ACD">
            <w:pPr>
              <w:contextualSpacing/>
              <w:jc w:val="center"/>
              <w:rPr>
                <w:color w:val="000000"/>
                <w:sz w:val="20"/>
                <w:szCs w:val="20"/>
              </w:rPr>
            </w:pPr>
            <w:r w:rsidRPr="00EC1913">
              <w:rPr>
                <w:color w:val="000000"/>
                <w:sz w:val="20"/>
                <w:szCs w:val="20"/>
              </w:rPr>
              <w:t>0.14</w:t>
            </w:r>
          </w:p>
        </w:tc>
        <w:tc>
          <w:tcPr>
            <w:tcW w:w="1008" w:type="dxa"/>
            <w:gridSpan w:val="2"/>
            <w:shd w:val="clear" w:color="auto" w:fill="auto"/>
            <w:noWrap/>
            <w:vAlign w:val="center"/>
          </w:tcPr>
          <w:p w14:paraId="37C02D24" w14:textId="77777777" w:rsidR="008105F8" w:rsidRPr="00EC1913" w:rsidRDefault="008105F8" w:rsidP="00F54ACD">
            <w:pPr>
              <w:contextualSpacing/>
              <w:jc w:val="center"/>
              <w:rPr>
                <w:color w:val="000000"/>
                <w:sz w:val="20"/>
                <w:szCs w:val="20"/>
              </w:rPr>
            </w:pPr>
            <w:r w:rsidRPr="00EC1913">
              <w:rPr>
                <w:color w:val="000000"/>
                <w:sz w:val="20"/>
                <w:szCs w:val="20"/>
              </w:rPr>
              <w:t>0.55</w:t>
            </w:r>
          </w:p>
        </w:tc>
        <w:tc>
          <w:tcPr>
            <w:tcW w:w="1052" w:type="dxa"/>
            <w:gridSpan w:val="2"/>
            <w:shd w:val="clear" w:color="auto" w:fill="auto"/>
            <w:noWrap/>
            <w:vAlign w:val="center"/>
          </w:tcPr>
          <w:p w14:paraId="62909C56" w14:textId="77777777" w:rsidR="008105F8" w:rsidRPr="00EC1913" w:rsidRDefault="008105F8" w:rsidP="00F54ACD">
            <w:pPr>
              <w:contextualSpacing/>
              <w:jc w:val="center"/>
              <w:rPr>
                <w:color w:val="000000"/>
                <w:sz w:val="20"/>
                <w:szCs w:val="20"/>
              </w:rPr>
            </w:pPr>
            <w:r w:rsidRPr="00EC1913">
              <w:rPr>
                <w:color w:val="000000"/>
                <w:sz w:val="20"/>
                <w:szCs w:val="20"/>
              </w:rPr>
              <w:t>0.08</w:t>
            </w:r>
          </w:p>
        </w:tc>
        <w:tc>
          <w:tcPr>
            <w:tcW w:w="978" w:type="dxa"/>
            <w:gridSpan w:val="2"/>
            <w:shd w:val="clear" w:color="auto" w:fill="auto"/>
            <w:noWrap/>
            <w:vAlign w:val="center"/>
          </w:tcPr>
          <w:p w14:paraId="60CA7C69" w14:textId="77777777" w:rsidR="008105F8" w:rsidRPr="00EC1913" w:rsidRDefault="008105F8" w:rsidP="00F54ACD">
            <w:pPr>
              <w:contextualSpacing/>
              <w:jc w:val="center"/>
              <w:rPr>
                <w:color w:val="000000"/>
                <w:sz w:val="20"/>
                <w:szCs w:val="20"/>
              </w:rPr>
            </w:pPr>
            <w:r w:rsidRPr="00EC1913">
              <w:rPr>
                <w:color w:val="000000"/>
                <w:sz w:val="20"/>
                <w:szCs w:val="20"/>
              </w:rPr>
              <w:t>0.14</w:t>
            </w:r>
          </w:p>
        </w:tc>
        <w:tc>
          <w:tcPr>
            <w:tcW w:w="851" w:type="dxa"/>
            <w:gridSpan w:val="2"/>
            <w:shd w:val="clear" w:color="auto" w:fill="auto"/>
            <w:noWrap/>
            <w:vAlign w:val="center"/>
          </w:tcPr>
          <w:p w14:paraId="5313BAEF" w14:textId="77777777" w:rsidR="008105F8" w:rsidRPr="00EC1913" w:rsidRDefault="008105F8" w:rsidP="00F54ACD">
            <w:pPr>
              <w:contextualSpacing/>
              <w:jc w:val="center"/>
              <w:rPr>
                <w:color w:val="000000"/>
                <w:sz w:val="20"/>
                <w:szCs w:val="20"/>
              </w:rPr>
            </w:pPr>
            <w:r w:rsidRPr="00EC1913">
              <w:rPr>
                <w:color w:val="000000"/>
                <w:sz w:val="20"/>
                <w:szCs w:val="20"/>
              </w:rPr>
              <w:t>0.58</w:t>
            </w:r>
          </w:p>
        </w:tc>
        <w:tc>
          <w:tcPr>
            <w:tcW w:w="974" w:type="dxa"/>
            <w:gridSpan w:val="2"/>
            <w:shd w:val="clear" w:color="auto" w:fill="auto"/>
            <w:noWrap/>
            <w:vAlign w:val="center"/>
          </w:tcPr>
          <w:p w14:paraId="36F74727" w14:textId="77777777" w:rsidR="008105F8" w:rsidRPr="00EC1913" w:rsidRDefault="008105F8" w:rsidP="00F54ACD">
            <w:pPr>
              <w:contextualSpacing/>
              <w:jc w:val="center"/>
              <w:rPr>
                <w:color w:val="000000"/>
                <w:sz w:val="20"/>
                <w:szCs w:val="20"/>
              </w:rPr>
            </w:pPr>
            <w:r w:rsidRPr="00EC1913">
              <w:rPr>
                <w:color w:val="000000"/>
                <w:sz w:val="20"/>
                <w:szCs w:val="20"/>
              </w:rPr>
              <w:t>0.16</w:t>
            </w:r>
          </w:p>
        </w:tc>
        <w:tc>
          <w:tcPr>
            <w:tcW w:w="905" w:type="dxa"/>
            <w:gridSpan w:val="2"/>
            <w:shd w:val="clear" w:color="auto" w:fill="auto"/>
            <w:noWrap/>
            <w:vAlign w:val="center"/>
          </w:tcPr>
          <w:p w14:paraId="47718553" w14:textId="77777777" w:rsidR="008105F8" w:rsidRPr="00EC1913" w:rsidRDefault="008105F8" w:rsidP="00F54ACD">
            <w:pPr>
              <w:contextualSpacing/>
              <w:jc w:val="center"/>
              <w:rPr>
                <w:color w:val="000000"/>
                <w:sz w:val="20"/>
                <w:szCs w:val="20"/>
              </w:rPr>
            </w:pPr>
            <w:r w:rsidRPr="00EC1913">
              <w:rPr>
                <w:color w:val="000000"/>
                <w:sz w:val="20"/>
                <w:szCs w:val="20"/>
              </w:rPr>
              <w:t>0.14</w:t>
            </w:r>
          </w:p>
        </w:tc>
        <w:tc>
          <w:tcPr>
            <w:tcW w:w="1014" w:type="dxa"/>
            <w:gridSpan w:val="2"/>
            <w:shd w:val="clear" w:color="auto" w:fill="auto"/>
            <w:noWrap/>
            <w:vAlign w:val="center"/>
          </w:tcPr>
          <w:p w14:paraId="6914990B" w14:textId="77777777" w:rsidR="008105F8" w:rsidRPr="00EC1913" w:rsidRDefault="008105F8" w:rsidP="00F54ACD">
            <w:pPr>
              <w:contextualSpacing/>
              <w:jc w:val="center"/>
              <w:rPr>
                <w:color w:val="333333"/>
                <w:sz w:val="20"/>
                <w:szCs w:val="20"/>
              </w:rPr>
            </w:pPr>
            <w:r w:rsidRPr="00EC1913">
              <w:rPr>
                <w:color w:val="333333"/>
                <w:sz w:val="20"/>
                <w:szCs w:val="20"/>
              </w:rPr>
              <w:t>0.26</w:t>
            </w:r>
          </w:p>
        </w:tc>
      </w:tr>
      <w:tr w:rsidR="008105F8" w:rsidRPr="00EC1913" w14:paraId="2111DF59" w14:textId="77777777" w:rsidTr="00F54ACD">
        <w:trPr>
          <w:trHeight w:val="166"/>
        </w:trPr>
        <w:tc>
          <w:tcPr>
            <w:tcW w:w="3702" w:type="dxa"/>
            <w:shd w:val="clear" w:color="auto" w:fill="auto"/>
            <w:vAlign w:val="center"/>
          </w:tcPr>
          <w:p w14:paraId="73CB0325" w14:textId="77777777" w:rsidR="008105F8" w:rsidRPr="00EC1913" w:rsidRDefault="008105F8" w:rsidP="00F54ACD">
            <w:pPr>
              <w:contextualSpacing/>
              <w:rPr>
                <w:color w:val="000000"/>
                <w:sz w:val="20"/>
                <w:szCs w:val="20"/>
              </w:rPr>
            </w:pPr>
            <w:r w:rsidRPr="00EC1913">
              <w:rPr>
                <w:i/>
                <w:iCs/>
                <w:color w:val="000000"/>
                <w:sz w:val="20"/>
                <w:szCs w:val="20"/>
              </w:rPr>
              <w:t>Physical Health</w:t>
            </w:r>
          </w:p>
        </w:tc>
        <w:tc>
          <w:tcPr>
            <w:tcW w:w="1120" w:type="dxa"/>
            <w:gridSpan w:val="2"/>
            <w:shd w:val="clear" w:color="auto" w:fill="auto"/>
            <w:noWrap/>
            <w:vAlign w:val="bottom"/>
          </w:tcPr>
          <w:p w14:paraId="4E448D4A" w14:textId="77777777" w:rsidR="008105F8" w:rsidRPr="00EC1913" w:rsidRDefault="008105F8" w:rsidP="00F54ACD">
            <w:pPr>
              <w:contextualSpacing/>
              <w:jc w:val="center"/>
              <w:rPr>
                <w:color w:val="000000"/>
                <w:sz w:val="20"/>
                <w:szCs w:val="20"/>
              </w:rPr>
            </w:pPr>
          </w:p>
        </w:tc>
        <w:tc>
          <w:tcPr>
            <w:tcW w:w="956" w:type="dxa"/>
            <w:gridSpan w:val="2"/>
            <w:shd w:val="clear" w:color="auto" w:fill="auto"/>
            <w:noWrap/>
            <w:vAlign w:val="bottom"/>
          </w:tcPr>
          <w:p w14:paraId="36ED2A9F" w14:textId="77777777" w:rsidR="008105F8" w:rsidRPr="00EC1913" w:rsidRDefault="008105F8" w:rsidP="00F54ACD">
            <w:pPr>
              <w:contextualSpacing/>
              <w:jc w:val="center"/>
              <w:rPr>
                <w:color w:val="000000"/>
                <w:sz w:val="20"/>
                <w:szCs w:val="20"/>
              </w:rPr>
            </w:pPr>
          </w:p>
        </w:tc>
        <w:tc>
          <w:tcPr>
            <w:tcW w:w="1008" w:type="dxa"/>
            <w:gridSpan w:val="2"/>
            <w:shd w:val="clear" w:color="auto" w:fill="auto"/>
            <w:noWrap/>
            <w:vAlign w:val="bottom"/>
          </w:tcPr>
          <w:p w14:paraId="4388EE54" w14:textId="77777777" w:rsidR="008105F8" w:rsidRPr="00EC1913" w:rsidRDefault="008105F8" w:rsidP="00F54ACD">
            <w:pPr>
              <w:contextualSpacing/>
              <w:jc w:val="center"/>
              <w:rPr>
                <w:color w:val="000000"/>
                <w:sz w:val="20"/>
                <w:szCs w:val="20"/>
              </w:rPr>
            </w:pPr>
          </w:p>
        </w:tc>
        <w:tc>
          <w:tcPr>
            <w:tcW w:w="1052" w:type="dxa"/>
            <w:gridSpan w:val="2"/>
            <w:shd w:val="clear" w:color="auto" w:fill="auto"/>
            <w:noWrap/>
            <w:vAlign w:val="bottom"/>
          </w:tcPr>
          <w:p w14:paraId="772BDAD0" w14:textId="77777777" w:rsidR="008105F8" w:rsidRPr="00EC1913" w:rsidRDefault="008105F8" w:rsidP="00F54ACD">
            <w:pPr>
              <w:contextualSpacing/>
              <w:jc w:val="center"/>
              <w:rPr>
                <w:color w:val="000000"/>
                <w:sz w:val="20"/>
                <w:szCs w:val="20"/>
              </w:rPr>
            </w:pPr>
          </w:p>
        </w:tc>
        <w:tc>
          <w:tcPr>
            <w:tcW w:w="978" w:type="dxa"/>
            <w:gridSpan w:val="2"/>
            <w:shd w:val="clear" w:color="auto" w:fill="auto"/>
            <w:noWrap/>
            <w:vAlign w:val="bottom"/>
          </w:tcPr>
          <w:p w14:paraId="687656A5" w14:textId="77777777" w:rsidR="008105F8" w:rsidRPr="00EC1913" w:rsidRDefault="008105F8" w:rsidP="00F54ACD">
            <w:pPr>
              <w:contextualSpacing/>
              <w:jc w:val="center"/>
              <w:rPr>
                <w:color w:val="000000"/>
                <w:sz w:val="20"/>
                <w:szCs w:val="20"/>
              </w:rPr>
            </w:pPr>
          </w:p>
        </w:tc>
        <w:tc>
          <w:tcPr>
            <w:tcW w:w="851" w:type="dxa"/>
            <w:gridSpan w:val="2"/>
            <w:shd w:val="clear" w:color="auto" w:fill="auto"/>
            <w:noWrap/>
            <w:vAlign w:val="bottom"/>
          </w:tcPr>
          <w:p w14:paraId="1EE6E62A" w14:textId="77777777" w:rsidR="008105F8" w:rsidRPr="00EC1913" w:rsidRDefault="008105F8" w:rsidP="00F54ACD">
            <w:pPr>
              <w:contextualSpacing/>
              <w:jc w:val="center"/>
              <w:rPr>
                <w:color w:val="000000"/>
                <w:sz w:val="20"/>
                <w:szCs w:val="20"/>
              </w:rPr>
            </w:pPr>
          </w:p>
        </w:tc>
        <w:tc>
          <w:tcPr>
            <w:tcW w:w="974" w:type="dxa"/>
            <w:gridSpan w:val="2"/>
            <w:shd w:val="clear" w:color="auto" w:fill="auto"/>
            <w:noWrap/>
            <w:vAlign w:val="center"/>
          </w:tcPr>
          <w:p w14:paraId="1B189427" w14:textId="77777777" w:rsidR="008105F8" w:rsidRPr="00EC1913" w:rsidRDefault="008105F8" w:rsidP="00F54ACD">
            <w:pPr>
              <w:contextualSpacing/>
              <w:jc w:val="center"/>
              <w:rPr>
                <w:color w:val="000000"/>
                <w:sz w:val="20"/>
                <w:szCs w:val="20"/>
              </w:rPr>
            </w:pPr>
          </w:p>
        </w:tc>
        <w:tc>
          <w:tcPr>
            <w:tcW w:w="905" w:type="dxa"/>
            <w:gridSpan w:val="2"/>
            <w:shd w:val="clear" w:color="auto" w:fill="auto"/>
            <w:noWrap/>
            <w:vAlign w:val="center"/>
          </w:tcPr>
          <w:p w14:paraId="18F86D2B" w14:textId="77777777" w:rsidR="008105F8" w:rsidRPr="00EC1913" w:rsidRDefault="008105F8" w:rsidP="00F54ACD">
            <w:pPr>
              <w:contextualSpacing/>
              <w:jc w:val="center"/>
              <w:rPr>
                <w:color w:val="000000"/>
                <w:sz w:val="20"/>
                <w:szCs w:val="20"/>
              </w:rPr>
            </w:pPr>
          </w:p>
        </w:tc>
        <w:tc>
          <w:tcPr>
            <w:tcW w:w="1014" w:type="dxa"/>
            <w:gridSpan w:val="2"/>
            <w:shd w:val="clear" w:color="auto" w:fill="auto"/>
            <w:noWrap/>
            <w:vAlign w:val="center"/>
          </w:tcPr>
          <w:p w14:paraId="0D80CBAA" w14:textId="77777777" w:rsidR="008105F8" w:rsidRPr="00EC1913" w:rsidRDefault="008105F8" w:rsidP="00F54ACD">
            <w:pPr>
              <w:contextualSpacing/>
              <w:jc w:val="center"/>
              <w:rPr>
                <w:color w:val="333333"/>
                <w:sz w:val="20"/>
                <w:szCs w:val="20"/>
              </w:rPr>
            </w:pPr>
          </w:p>
        </w:tc>
      </w:tr>
      <w:tr w:rsidR="008105F8" w:rsidRPr="00EC1913" w14:paraId="41B10974" w14:textId="77777777" w:rsidTr="00F54ACD">
        <w:trPr>
          <w:trHeight w:val="166"/>
        </w:trPr>
        <w:tc>
          <w:tcPr>
            <w:tcW w:w="3702" w:type="dxa"/>
            <w:shd w:val="clear" w:color="auto" w:fill="auto"/>
            <w:vAlign w:val="center"/>
          </w:tcPr>
          <w:p w14:paraId="45B221B6" w14:textId="77777777" w:rsidR="008105F8" w:rsidRPr="00EC1913" w:rsidRDefault="008105F8" w:rsidP="00F54ACD">
            <w:pPr>
              <w:contextualSpacing/>
              <w:rPr>
                <w:i/>
                <w:iCs/>
                <w:color w:val="000000"/>
                <w:sz w:val="20"/>
                <w:szCs w:val="20"/>
              </w:rPr>
            </w:pPr>
            <w:r w:rsidRPr="00EC1913">
              <w:rPr>
                <w:color w:val="000000"/>
                <w:sz w:val="20"/>
                <w:szCs w:val="20"/>
              </w:rPr>
              <w:t xml:space="preserve">   Somatic Complaints</w:t>
            </w:r>
          </w:p>
        </w:tc>
        <w:tc>
          <w:tcPr>
            <w:tcW w:w="1120" w:type="dxa"/>
            <w:gridSpan w:val="2"/>
            <w:shd w:val="clear" w:color="auto" w:fill="auto"/>
            <w:noWrap/>
            <w:vAlign w:val="center"/>
          </w:tcPr>
          <w:p w14:paraId="5DC42ECA" w14:textId="77777777" w:rsidR="008105F8" w:rsidRPr="00EC1913" w:rsidRDefault="008105F8" w:rsidP="00F54ACD">
            <w:pPr>
              <w:contextualSpacing/>
              <w:jc w:val="center"/>
              <w:rPr>
                <w:color w:val="000000"/>
                <w:sz w:val="20"/>
                <w:szCs w:val="20"/>
              </w:rPr>
            </w:pPr>
            <w:r w:rsidRPr="00EC1913">
              <w:rPr>
                <w:color w:val="000000"/>
                <w:sz w:val="20"/>
                <w:szCs w:val="20"/>
              </w:rPr>
              <w:t>-0.25</w:t>
            </w:r>
          </w:p>
        </w:tc>
        <w:tc>
          <w:tcPr>
            <w:tcW w:w="956" w:type="dxa"/>
            <w:gridSpan w:val="2"/>
            <w:shd w:val="clear" w:color="auto" w:fill="auto"/>
            <w:noWrap/>
            <w:vAlign w:val="center"/>
          </w:tcPr>
          <w:p w14:paraId="4A43D5E5" w14:textId="77777777" w:rsidR="008105F8" w:rsidRPr="00EC1913" w:rsidRDefault="008105F8" w:rsidP="00F54ACD">
            <w:pPr>
              <w:contextualSpacing/>
              <w:jc w:val="center"/>
              <w:rPr>
                <w:color w:val="000000"/>
                <w:sz w:val="20"/>
                <w:szCs w:val="20"/>
              </w:rPr>
            </w:pPr>
            <w:r w:rsidRPr="00EC1913">
              <w:rPr>
                <w:color w:val="000000"/>
                <w:sz w:val="20"/>
                <w:szCs w:val="20"/>
              </w:rPr>
              <w:t>0.37</w:t>
            </w:r>
          </w:p>
        </w:tc>
        <w:tc>
          <w:tcPr>
            <w:tcW w:w="1008" w:type="dxa"/>
            <w:gridSpan w:val="2"/>
            <w:shd w:val="clear" w:color="auto" w:fill="auto"/>
            <w:noWrap/>
            <w:vAlign w:val="center"/>
          </w:tcPr>
          <w:p w14:paraId="27719C37" w14:textId="77777777" w:rsidR="008105F8" w:rsidRPr="00EC1913" w:rsidRDefault="008105F8" w:rsidP="00F54ACD">
            <w:pPr>
              <w:contextualSpacing/>
              <w:jc w:val="center"/>
              <w:rPr>
                <w:color w:val="000000"/>
                <w:sz w:val="20"/>
                <w:szCs w:val="20"/>
              </w:rPr>
            </w:pPr>
            <w:r w:rsidRPr="00EC1913">
              <w:rPr>
                <w:color w:val="000000"/>
                <w:sz w:val="20"/>
                <w:szCs w:val="20"/>
              </w:rPr>
              <w:t>0.50</w:t>
            </w:r>
          </w:p>
        </w:tc>
        <w:tc>
          <w:tcPr>
            <w:tcW w:w="1052" w:type="dxa"/>
            <w:gridSpan w:val="2"/>
            <w:shd w:val="clear" w:color="auto" w:fill="auto"/>
            <w:noWrap/>
            <w:vAlign w:val="center"/>
          </w:tcPr>
          <w:p w14:paraId="4C82C4A5" w14:textId="77777777" w:rsidR="008105F8" w:rsidRPr="00EC1913" w:rsidRDefault="008105F8" w:rsidP="00F54ACD">
            <w:pPr>
              <w:contextualSpacing/>
              <w:jc w:val="center"/>
              <w:rPr>
                <w:color w:val="000000"/>
                <w:sz w:val="20"/>
                <w:szCs w:val="20"/>
              </w:rPr>
            </w:pPr>
            <w:r w:rsidRPr="00EC1913">
              <w:rPr>
                <w:color w:val="000000"/>
                <w:sz w:val="20"/>
                <w:szCs w:val="20"/>
              </w:rPr>
              <w:t>-0.34</w:t>
            </w:r>
          </w:p>
        </w:tc>
        <w:tc>
          <w:tcPr>
            <w:tcW w:w="978" w:type="dxa"/>
            <w:gridSpan w:val="2"/>
            <w:shd w:val="clear" w:color="auto" w:fill="auto"/>
            <w:noWrap/>
            <w:vAlign w:val="center"/>
          </w:tcPr>
          <w:p w14:paraId="4FBEBF8A" w14:textId="77777777" w:rsidR="008105F8" w:rsidRPr="00EC1913" w:rsidRDefault="008105F8" w:rsidP="00F54ACD">
            <w:pPr>
              <w:contextualSpacing/>
              <w:jc w:val="center"/>
              <w:rPr>
                <w:color w:val="000000"/>
                <w:sz w:val="20"/>
                <w:szCs w:val="20"/>
              </w:rPr>
            </w:pPr>
            <w:r w:rsidRPr="00EC1913">
              <w:rPr>
                <w:color w:val="000000"/>
                <w:sz w:val="20"/>
                <w:szCs w:val="20"/>
              </w:rPr>
              <w:t>0.38</w:t>
            </w:r>
          </w:p>
        </w:tc>
        <w:tc>
          <w:tcPr>
            <w:tcW w:w="851" w:type="dxa"/>
            <w:gridSpan w:val="2"/>
            <w:shd w:val="clear" w:color="auto" w:fill="auto"/>
            <w:noWrap/>
            <w:vAlign w:val="center"/>
          </w:tcPr>
          <w:p w14:paraId="63C6E38D" w14:textId="77777777" w:rsidR="008105F8" w:rsidRPr="00EC1913" w:rsidRDefault="008105F8" w:rsidP="00F54ACD">
            <w:pPr>
              <w:contextualSpacing/>
              <w:jc w:val="center"/>
              <w:rPr>
                <w:color w:val="000000"/>
                <w:sz w:val="20"/>
                <w:szCs w:val="20"/>
              </w:rPr>
            </w:pPr>
            <w:r w:rsidRPr="00EC1913">
              <w:rPr>
                <w:color w:val="000000"/>
                <w:sz w:val="20"/>
                <w:szCs w:val="20"/>
              </w:rPr>
              <w:t>0.37</w:t>
            </w:r>
          </w:p>
        </w:tc>
        <w:tc>
          <w:tcPr>
            <w:tcW w:w="974" w:type="dxa"/>
            <w:gridSpan w:val="2"/>
            <w:shd w:val="clear" w:color="auto" w:fill="auto"/>
            <w:noWrap/>
            <w:vAlign w:val="center"/>
          </w:tcPr>
          <w:p w14:paraId="601490EE" w14:textId="77777777" w:rsidR="008105F8" w:rsidRPr="00EC1913" w:rsidRDefault="008105F8" w:rsidP="00F54ACD">
            <w:pPr>
              <w:contextualSpacing/>
              <w:jc w:val="center"/>
              <w:rPr>
                <w:color w:val="000000"/>
                <w:sz w:val="20"/>
                <w:szCs w:val="20"/>
              </w:rPr>
            </w:pPr>
            <w:r w:rsidRPr="00EC1913">
              <w:rPr>
                <w:color w:val="000000"/>
                <w:sz w:val="20"/>
                <w:szCs w:val="20"/>
              </w:rPr>
              <w:t>-0.10</w:t>
            </w:r>
          </w:p>
        </w:tc>
        <w:tc>
          <w:tcPr>
            <w:tcW w:w="905" w:type="dxa"/>
            <w:gridSpan w:val="2"/>
            <w:shd w:val="clear" w:color="auto" w:fill="auto"/>
            <w:noWrap/>
            <w:vAlign w:val="center"/>
          </w:tcPr>
          <w:p w14:paraId="1008EC35" w14:textId="77777777" w:rsidR="008105F8" w:rsidRPr="00EC1913" w:rsidRDefault="008105F8" w:rsidP="00F54ACD">
            <w:pPr>
              <w:contextualSpacing/>
              <w:jc w:val="center"/>
              <w:rPr>
                <w:color w:val="000000"/>
                <w:sz w:val="20"/>
                <w:szCs w:val="20"/>
              </w:rPr>
            </w:pPr>
            <w:r w:rsidRPr="00EC1913">
              <w:rPr>
                <w:color w:val="000000"/>
                <w:sz w:val="20"/>
                <w:szCs w:val="20"/>
              </w:rPr>
              <w:t>0.38</w:t>
            </w:r>
          </w:p>
        </w:tc>
        <w:tc>
          <w:tcPr>
            <w:tcW w:w="1014" w:type="dxa"/>
            <w:gridSpan w:val="2"/>
            <w:shd w:val="clear" w:color="auto" w:fill="auto"/>
            <w:noWrap/>
            <w:vAlign w:val="center"/>
          </w:tcPr>
          <w:p w14:paraId="415A5664" w14:textId="77777777" w:rsidR="008105F8" w:rsidRPr="00EC1913" w:rsidRDefault="008105F8" w:rsidP="00F54ACD">
            <w:pPr>
              <w:contextualSpacing/>
              <w:jc w:val="center"/>
              <w:rPr>
                <w:color w:val="333333"/>
                <w:sz w:val="20"/>
                <w:szCs w:val="20"/>
              </w:rPr>
            </w:pPr>
            <w:r w:rsidRPr="00EC1913">
              <w:rPr>
                <w:color w:val="333333"/>
                <w:sz w:val="20"/>
                <w:szCs w:val="20"/>
              </w:rPr>
              <w:t>0.81</w:t>
            </w:r>
          </w:p>
        </w:tc>
      </w:tr>
      <w:tr w:rsidR="008105F8" w:rsidRPr="00EC1913" w14:paraId="12C72903" w14:textId="77777777" w:rsidTr="00F54ACD">
        <w:trPr>
          <w:trHeight w:val="166"/>
        </w:trPr>
        <w:tc>
          <w:tcPr>
            <w:tcW w:w="3702" w:type="dxa"/>
            <w:shd w:val="clear" w:color="auto" w:fill="auto"/>
            <w:vAlign w:val="center"/>
          </w:tcPr>
          <w:p w14:paraId="3FC479C9" w14:textId="77777777" w:rsidR="008105F8" w:rsidRPr="00EC1913" w:rsidRDefault="008105F8" w:rsidP="00F54ACD">
            <w:pPr>
              <w:contextualSpacing/>
              <w:rPr>
                <w:color w:val="000000"/>
                <w:sz w:val="20"/>
                <w:szCs w:val="20"/>
              </w:rPr>
            </w:pPr>
            <w:r w:rsidRPr="00EC1913">
              <w:rPr>
                <w:color w:val="000000"/>
                <w:sz w:val="20"/>
                <w:szCs w:val="20"/>
              </w:rPr>
              <w:t xml:space="preserve">   Composite</w:t>
            </w:r>
          </w:p>
        </w:tc>
        <w:tc>
          <w:tcPr>
            <w:tcW w:w="1120" w:type="dxa"/>
            <w:gridSpan w:val="2"/>
            <w:shd w:val="clear" w:color="auto" w:fill="auto"/>
            <w:noWrap/>
            <w:vAlign w:val="center"/>
          </w:tcPr>
          <w:p w14:paraId="6F80FB45" w14:textId="77777777" w:rsidR="008105F8" w:rsidRPr="00EC1913" w:rsidRDefault="008105F8" w:rsidP="00F54ACD">
            <w:pPr>
              <w:contextualSpacing/>
              <w:jc w:val="center"/>
              <w:rPr>
                <w:color w:val="000000"/>
                <w:sz w:val="20"/>
                <w:szCs w:val="20"/>
              </w:rPr>
            </w:pPr>
            <w:r w:rsidRPr="00EC1913">
              <w:rPr>
                <w:color w:val="000000"/>
                <w:sz w:val="20"/>
                <w:szCs w:val="20"/>
              </w:rPr>
              <w:t>-0.09</w:t>
            </w:r>
          </w:p>
        </w:tc>
        <w:tc>
          <w:tcPr>
            <w:tcW w:w="956" w:type="dxa"/>
            <w:gridSpan w:val="2"/>
            <w:shd w:val="clear" w:color="auto" w:fill="auto"/>
            <w:noWrap/>
            <w:vAlign w:val="center"/>
          </w:tcPr>
          <w:p w14:paraId="42346B72" w14:textId="77777777" w:rsidR="008105F8" w:rsidRPr="00EC1913" w:rsidRDefault="008105F8" w:rsidP="00F54ACD">
            <w:pPr>
              <w:contextualSpacing/>
              <w:jc w:val="center"/>
              <w:rPr>
                <w:color w:val="000000"/>
                <w:sz w:val="20"/>
                <w:szCs w:val="20"/>
              </w:rPr>
            </w:pPr>
            <w:r w:rsidRPr="00EC1913">
              <w:rPr>
                <w:color w:val="000000"/>
                <w:sz w:val="20"/>
                <w:szCs w:val="20"/>
              </w:rPr>
              <w:t>0.14</w:t>
            </w:r>
          </w:p>
        </w:tc>
        <w:tc>
          <w:tcPr>
            <w:tcW w:w="1008" w:type="dxa"/>
            <w:gridSpan w:val="2"/>
            <w:shd w:val="clear" w:color="auto" w:fill="auto"/>
            <w:noWrap/>
            <w:vAlign w:val="center"/>
          </w:tcPr>
          <w:p w14:paraId="700AC51C" w14:textId="77777777" w:rsidR="008105F8" w:rsidRPr="00EC1913" w:rsidRDefault="008105F8" w:rsidP="00F54ACD">
            <w:pPr>
              <w:contextualSpacing/>
              <w:jc w:val="center"/>
              <w:rPr>
                <w:color w:val="000000"/>
                <w:sz w:val="20"/>
                <w:szCs w:val="20"/>
              </w:rPr>
            </w:pPr>
            <w:r w:rsidRPr="00EC1913">
              <w:rPr>
                <w:color w:val="000000"/>
                <w:sz w:val="20"/>
                <w:szCs w:val="20"/>
              </w:rPr>
              <w:t>0.50</w:t>
            </w:r>
          </w:p>
        </w:tc>
        <w:tc>
          <w:tcPr>
            <w:tcW w:w="1052" w:type="dxa"/>
            <w:gridSpan w:val="2"/>
            <w:shd w:val="clear" w:color="auto" w:fill="auto"/>
            <w:noWrap/>
            <w:vAlign w:val="center"/>
          </w:tcPr>
          <w:p w14:paraId="6838B510" w14:textId="77777777" w:rsidR="008105F8" w:rsidRPr="00EC1913" w:rsidRDefault="008105F8" w:rsidP="00F54ACD">
            <w:pPr>
              <w:contextualSpacing/>
              <w:jc w:val="center"/>
              <w:rPr>
                <w:color w:val="000000"/>
                <w:sz w:val="20"/>
                <w:szCs w:val="20"/>
              </w:rPr>
            </w:pPr>
            <w:r w:rsidRPr="00EC1913">
              <w:rPr>
                <w:color w:val="000000"/>
                <w:sz w:val="20"/>
                <w:szCs w:val="20"/>
              </w:rPr>
              <w:t>-0.13</w:t>
            </w:r>
          </w:p>
        </w:tc>
        <w:tc>
          <w:tcPr>
            <w:tcW w:w="978" w:type="dxa"/>
            <w:gridSpan w:val="2"/>
            <w:shd w:val="clear" w:color="auto" w:fill="auto"/>
            <w:noWrap/>
            <w:vAlign w:val="center"/>
          </w:tcPr>
          <w:p w14:paraId="6287043F" w14:textId="77777777" w:rsidR="008105F8" w:rsidRPr="00EC1913" w:rsidRDefault="008105F8" w:rsidP="00F54ACD">
            <w:pPr>
              <w:contextualSpacing/>
              <w:jc w:val="center"/>
              <w:rPr>
                <w:color w:val="000000"/>
                <w:sz w:val="20"/>
                <w:szCs w:val="20"/>
              </w:rPr>
            </w:pPr>
            <w:r w:rsidRPr="00EC1913">
              <w:rPr>
                <w:color w:val="000000"/>
                <w:sz w:val="20"/>
                <w:szCs w:val="20"/>
              </w:rPr>
              <w:t>0.14</w:t>
            </w:r>
          </w:p>
        </w:tc>
        <w:tc>
          <w:tcPr>
            <w:tcW w:w="851" w:type="dxa"/>
            <w:gridSpan w:val="2"/>
            <w:shd w:val="clear" w:color="auto" w:fill="auto"/>
            <w:noWrap/>
            <w:vAlign w:val="center"/>
          </w:tcPr>
          <w:p w14:paraId="70BAD221" w14:textId="77777777" w:rsidR="008105F8" w:rsidRPr="00EC1913" w:rsidRDefault="008105F8" w:rsidP="00F54ACD">
            <w:pPr>
              <w:contextualSpacing/>
              <w:jc w:val="center"/>
              <w:rPr>
                <w:color w:val="000000"/>
                <w:sz w:val="20"/>
                <w:szCs w:val="20"/>
              </w:rPr>
            </w:pPr>
            <w:r w:rsidRPr="00EC1913">
              <w:rPr>
                <w:color w:val="000000"/>
                <w:sz w:val="20"/>
                <w:szCs w:val="20"/>
              </w:rPr>
              <w:t>0.37</w:t>
            </w:r>
          </w:p>
        </w:tc>
        <w:tc>
          <w:tcPr>
            <w:tcW w:w="974" w:type="dxa"/>
            <w:gridSpan w:val="2"/>
            <w:shd w:val="clear" w:color="auto" w:fill="auto"/>
            <w:noWrap/>
            <w:vAlign w:val="center"/>
          </w:tcPr>
          <w:p w14:paraId="4A1C35BF" w14:textId="77777777" w:rsidR="008105F8" w:rsidRPr="00EC1913" w:rsidRDefault="008105F8" w:rsidP="00F54ACD">
            <w:pPr>
              <w:contextualSpacing/>
              <w:jc w:val="center"/>
              <w:rPr>
                <w:color w:val="000000"/>
                <w:sz w:val="20"/>
                <w:szCs w:val="20"/>
              </w:rPr>
            </w:pPr>
            <w:r w:rsidRPr="00EC1913">
              <w:rPr>
                <w:color w:val="000000"/>
                <w:sz w:val="20"/>
                <w:szCs w:val="20"/>
              </w:rPr>
              <w:t>-0.04</w:t>
            </w:r>
          </w:p>
        </w:tc>
        <w:tc>
          <w:tcPr>
            <w:tcW w:w="905" w:type="dxa"/>
            <w:gridSpan w:val="2"/>
            <w:shd w:val="clear" w:color="auto" w:fill="auto"/>
            <w:noWrap/>
            <w:vAlign w:val="center"/>
          </w:tcPr>
          <w:p w14:paraId="3746C0AC" w14:textId="77777777" w:rsidR="008105F8" w:rsidRPr="00EC1913" w:rsidRDefault="008105F8" w:rsidP="00F54ACD">
            <w:pPr>
              <w:contextualSpacing/>
              <w:jc w:val="center"/>
              <w:rPr>
                <w:color w:val="000000"/>
                <w:sz w:val="20"/>
                <w:szCs w:val="20"/>
              </w:rPr>
            </w:pPr>
            <w:r w:rsidRPr="00EC1913">
              <w:rPr>
                <w:color w:val="000000"/>
                <w:sz w:val="20"/>
                <w:szCs w:val="20"/>
              </w:rPr>
              <w:t>0.14</w:t>
            </w:r>
          </w:p>
        </w:tc>
        <w:tc>
          <w:tcPr>
            <w:tcW w:w="1014" w:type="dxa"/>
            <w:gridSpan w:val="2"/>
            <w:shd w:val="clear" w:color="auto" w:fill="auto"/>
            <w:noWrap/>
            <w:vAlign w:val="center"/>
          </w:tcPr>
          <w:p w14:paraId="305A499F" w14:textId="77777777" w:rsidR="008105F8" w:rsidRPr="00EC1913" w:rsidRDefault="008105F8" w:rsidP="00F54ACD">
            <w:pPr>
              <w:contextualSpacing/>
              <w:jc w:val="center"/>
              <w:rPr>
                <w:color w:val="333333"/>
                <w:sz w:val="20"/>
                <w:szCs w:val="20"/>
              </w:rPr>
            </w:pPr>
            <w:r w:rsidRPr="00EC1913">
              <w:rPr>
                <w:color w:val="333333"/>
                <w:sz w:val="20"/>
                <w:szCs w:val="20"/>
              </w:rPr>
              <w:t>0.81</w:t>
            </w:r>
          </w:p>
        </w:tc>
      </w:tr>
    </w:tbl>
    <w:p w14:paraId="7D7D202B" w14:textId="77777777" w:rsidR="008105F8" w:rsidRDefault="008105F8" w:rsidP="008105F8">
      <w:pPr>
        <w:contextualSpacing/>
        <w:rPr>
          <w:i/>
          <w:sz w:val="20"/>
        </w:rPr>
      </w:pPr>
    </w:p>
    <w:p w14:paraId="444807C8" w14:textId="77777777" w:rsidR="008105F8" w:rsidRPr="002138F5" w:rsidRDefault="008105F8" w:rsidP="008105F8">
      <w:pPr>
        <w:contextualSpacing/>
      </w:pPr>
      <w:r w:rsidRPr="002138F5">
        <w:rPr>
          <w:i/>
        </w:rPr>
        <w:t>Note</w:t>
      </w:r>
      <w:r w:rsidRPr="002138F5">
        <w:t>. *indicates primary outcomes of the trial. All models adjusted for age and sex. Treatment effect = TranS-C (coded 1) vs. PE (coded 0)</w:t>
      </w:r>
    </w:p>
    <w:p w14:paraId="1A5F6EBB" w14:textId="77777777" w:rsidR="008105F8" w:rsidRPr="00EC1913" w:rsidRDefault="008105F8" w:rsidP="008105F8"/>
    <w:p w14:paraId="5A27C510" w14:textId="77777777" w:rsidR="008105F8" w:rsidRPr="00EC1913" w:rsidRDefault="008105F8" w:rsidP="008105F8">
      <w:pPr>
        <w:sectPr w:rsidR="008105F8" w:rsidRPr="00EC1913" w:rsidSect="00F91D1B">
          <w:pgSz w:w="15840" w:h="12240" w:orient="landscape"/>
          <w:pgMar w:top="1440" w:right="1440" w:bottom="1440" w:left="1440" w:header="720" w:footer="720" w:gutter="0"/>
          <w:cols w:space="720"/>
          <w:docGrid w:linePitch="360"/>
        </w:sectPr>
      </w:pPr>
    </w:p>
    <w:p w14:paraId="733E5C3D" w14:textId="380D0836" w:rsidR="005A6228" w:rsidRPr="008105F8" w:rsidRDefault="008105F8" w:rsidP="005A6228">
      <w:pPr>
        <w:pStyle w:val="Caption"/>
        <w:keepNext/>
        <w:rPr>
          <w:rFonts w:ascii="Times New Roman" w:hAnsi="Times New Roman" w:cs="Times New Roman"/>
          <w:i w:val="0"/>
          <w:color w:val="auto"/>
          <w:sz w:val="24"/>
          <w:szCs w:val="24"/>
        </w:rPr>
      </w:pPr>
      <w:r w:rsidRPr="008105F8">
        <w:rPr>
          <w:rFonts w:ascii="Times New Roman" w:hAnsi="Times New Roman" w:cs="Times New Roman"/>
          <w:i w:val="0"/>
          <w:color w:val="auto"/>
          <w:sz w:val="24"/>
          <w:szCs w:val="24"/>
        </w:rPr>
        <w:lastRenderedPageBreak/>
        <w:t>Table 5</w:t>
      </w:r>
    </w:p>
    <w:p w14:paraId="3A6589EB" w14:textId="77777777" w:rsidR="005A6228" w:rsidRPr="00292779" w:rsidRDefault="005A6228" w:rsidP="005A6228">
      <w:pPr>
        <w:pStyle w:val="Caption"/>
        <w:keepNext/>
        <w:rPr>
          <w:rFonts w:ascii="Times New Roman" w:hAnsi="Times New Roman" w:cs="Times New Roman"/>
          <w:color w:val="auto"/>
          <w:sz w:val="24"/>
          <w:szCs w:val="24"/>
        </w:rPr>
      </w:pPr>
      <w:r w:rsidRPr="00292779">
        <w:rPr>
          <w:rFonts w:ascii="Times New Roman" w:hAnsi="Times New Roman" w:cs="Times New Roman"/>
          <w:color w:val="auto"/>
          <w:sz w:val="24"/>
          <w:szCs w:val="24"/>
        </w:rPr>
        <w:t>Test for Treatment by Time by Moderator (Sex, Age, or Risk Count at Baseline) 3-Way Interaction</w:t>
      </w:r>
    </w:p>
    <w:tbl>
      <w:tblPr>
        <w:tblW w:w="12663" w:type="dxa"/>
        <w:tblBorders>
          <w:top w:val="single" w:sz="4" w:space="0" w:color="auto"/>
          <w:bottom w:val="single" w:sz="4" w:space="0" w:color="auto"/>
        </w:tblBorders>
        <w:tblLook w:val="04A0" w:firstRow="1" w:lastRow="0" w:firstColumn="1" w:lastColumn="0" w:noHBand="0" w:noVBand="1"/>
      </w:tblPr>
      <w:tblGrid>
        <w:gridCol w:w="4295"/>
        <w:gridCol w:w="599"/>
        <w:gridCol w:w="769"/>
        <w:gridCol w:w="770"/>
        <w:gridCol w:w="332"/>
        <w:gridCol w:w="630"/>
        <w:gridCol w:w="888"/>
        <w:gridCol w:w="1247"/>
        <w:gridCol w:w="327"/>
        <w:gridCol w:w="669"/>
        <w:gridCol w:w="888"/>
        <w:gridCol w:w="1249"/>
      </w:tblGrid>
      <w:tr w:rsidR="005A6228" w:rsidRPr="00292779" w14:paraId="2FAF34BC" w14:textId="77777777" w:rsidTr="008F3F33">
        <w:trPr>
          <w:trHeight w:val="318"/>
        </w:trPr>
        <w:tc>
          <w:tcPr>
            <w:tcW w:w="4295" w:type="dxa"/>
            <w:tcBorders>
              <w:bottom w:val="nil"/>
            </w:tcBorders>
            <w:shd w:val="clear" w:color="auto" w:fill="auto"/>
            <w:noWrap/>
            <w:vAlign w:val="bottom"/>
          </w:tcPr>
          <w:p w14:paraId="6468DCA7" w14:textId="77777777" w:rsidR="005A6228" w:rsidRPr="00292779" w:rsidRDefault="005A6228" w:rsidP="007B0150">
            <w:pPr>
              <w:rPr>
                <w:color w:val="000000"/>
                <w:u w:val="single"/>
              </w:rPr>
            </w:pPr>
          </w:p>
        </w:tc>
        <w:tc>
          <w:tcPr>
            <w:tcW w:w="2138" w:type="dxa"/>
            <w:gridSpan w:val="3"/>
            <w:tcBorders>
              <w:bottom w:val="nil"/>
            </w:tcBorders>
            <w:shd w:val="clear" w:color="auto" w:fill="auto"/>
            <w:noWrap/>
            <w:vAlign w:val="center"/>
          </w:tcPr>
          <w:p w14:paraId="25E5DC2B" w14:textId="77777777" w:rsidR="005A6228" w:rsidRPr="00292779" w:rsidRDefault="005A6228" w:rsidP="002C05DF">
            <w:pPr>
              <w:jc w:val="center"/>
              <w:rPr>
                <w:iCs/>
                <w:color w:val="000000"/>
                <w:u w:val="single"/>
              </w:rPr>
            </w:pPr>
            <w:r w:rsidRPr="00292779">
              <w:rPr>
                <w:iCs/>
                <w:color w:val="000000"/>
                <w:u w:val="single"/>
              </w:rPr>
              <w:t>Sex</w:t>
            </w:r>
          </w:p>
        </w:tc>
        <w:tc>
          <w:tcPr>
            <w:tcW w:w="332" w:type="dxa"/>
            <w:tcBorders>
              <w:bottom w:val="nil"/>
            </w:tcBorders>
            <w:shd w:val="clear" w:color="auto" w:fill="auto"/>
            <w:noWrap/>
            <w:vAlign w:val="center"/>
          </w:tcPr>
          <w:p w14:paraId="7E3C2DDE" w14:textId="77777777" w:rsidR="005A6228" w:rsidRPr="00292779" w:rsidRDefault="005A6228" w:rsidP="002C05DF">
            <w:pPr>
              <w:jc w:val="center"/>
              <w:rPr>
                <w:iCs/>
                <w:color w:val="000000"/>
                <w:u w:val="single"/>
              </w:rPr>
            </w:pPr>
          </w:p>
        </w:tc>
        <w:tc>
          <w:tcPr>
            <w:tcW w:w="2765" w:type="dxa"/>
            <w:gridSpan w:val="3"/>
            <w:tcBorders>
              <w:bottom w:val="nil"/>
            </w:tcBorders>
            <w:shd w:val="clear" w:color="auto" w:fill="auto"/>
            <w:noWrap/>
            <w:vAlign w:val="center"/>
          </w:tcPr>
          <w:p w14:paraId="65B88C17" w14:textId="77777777" w:rsidR="005A6228" w:rsidRPr="00292779" w:rsidRDefault="005A6228" w:rsidP="002C05DF">
            <w:pPr>
              <w:jc w:val="center"/>
              <w:rPr>
                <w:color w:val="000000"/>
                <w:u w:val="single"/>
              </w:rPr>
            </w:pPr>
            <w:r w:rsidRPr="00292779">
              <w:rPr>
                <w:color w:val="000000"/>
                <w:u w:val="single"/>
              </w:rPr>
              <w:t>Age</w:t>
            </w:r>
          </w:p>
        </w:tc>
        <w:tc>
          <w:tcPr>
            <w:tcW w:w="327" w:type="dxa"/>
            <w:tcBorders>
              <w:bottom w:val="nil"/>
            </w:tcBorders>
            <w:shd w:val="clear" w:color="auto" w:fill="auto"/>
            <w:noWrap/>
            <w:vAlign w:val="center"/>
          </w:tcPr>
          <w:p w14:paraId="73E344AA" w14:textId="77777777" w:rsidR="005A6228" w:rsidRPr="00292779" w:rsidRDefault="005A6228" w:rsidP="002C05DF">
            <w:pPr>
              <w:jc w:val="center"/>
              <w:rPr>
                <w:color w:val="000000"/>
                <w:u w:val="single"/>
              </w:rPr>
            </w:pPr>
          </w:p>
        </w:tc>
        <w:tc>
          <w:tcPr>
            <w:tcW w:w="2806" w:type="dxa"/>
            <w:gridSpan w:val="3"/>
            <w:tcBorders>
              <w:bottom w:val="nil"/>
            </w:tcBorders>
            <w:shd w:val="clear" w:color="auto" w:fill="auto"/>
            <w:noWrap/>
            <w:vAlign w:val="center"/>
          </w:tcPr>
          <w:p w14:paraId="70CE26B0" w14:textId="2D9ED775" w:rsidR="005A6228" w:rsidRPr="00292779" w:rsidRDefault="002C05DF" w:rsidP="002C05DF">
            <w:pPr>
              <w:jc w:val="center"/>
              <w:rPr>
                <w:color w:val="000000"/>
                <w:u w:val="single"/>
              </w:rPr>
            </w:pPr>
            <w:r>
              <w:rPr>
                <w:color w:val="000000"/>
                <w:sz w:val="22"/>
                <w:szCs w:val="22"/>
                <w:u w:val="single"/>
              </w:rPr>
              <w:t xml:space="preserve">Number of </w:t>
            </w:r>
            <w:r w:rsidRPr="004D3531">
              <w:rPr>
                <w:color w:val="000000"/>
                <w:sz w:val="22"/>
                <w:szCs w:val="22"/>
                <w:u w:val="single"/>
              </w:rPr>
              <w:t>Risk</w:t>
            </w:r>
            <w:r>
              <w:rPr>
                <w:color w:val="000000"/>
                <w:sz w:val="22"/>
                <w:szCs w:val="22"/>
                <w:u w:val="single"/>
              </w:rPr>
              <w:t xml:space="preserve"> Domains at Baseline</w:t>
            </w:r>
          </w:p>
        </w:tc>
      </w:tr>
      <w:tr w:rsidR="0093195C" w:rsidRPr="00292779" w14:paraId="5D37ACAE" w14:textId="77777777" w:rsidTr="008F3F33">
        <w:trPr>
          <w:trHeight w:val="236"/>
        </w:trPr>
        <w:tc>
          <w:tcPr>
            <w:tcW w:w="4295" w:type="dxa"/>
            <w:tcBorders>
              <w:top w:val="nil"/>
              <w:bottom w:val="single" w:sz="4" w:space="0" w:color="auto"/>
            </w:tcBorders>
            <w:shd w:val="clear" w:color="auto" w:fill="auto"/>
            <w:noWrap/>
            <w:vAlign w:val="bottom"/>
            <w:hideMark/>
          </w:tcPr>
          <w:p w14:paraId="6F86E171" w14:textId="77777777" w:rsidR="005A6228" w:rsidRPr="00806E12" w:rsidRDefault="005A6228" w:rsidP="007B0150">
            <w:pPr>
              <w:rPr>
                <w:color w:val="000000"/>
              </w:rPr>
            </w:pPr>
            <w:r w:rsidRPr="00806E12">
              <w:rPr>
                <w:color w:val="000000"/>
              </w:rPr>
              <w:t>Outcome</w:t>
            </w:r>
          </w:p>
        </w:tc>
        <w:tc>
          <w:tcPr>
            <w:tcW w:w="599" w:type="dxa"/>
            <w:tcBorders>
              <w:top w:val="nil"/>
              <w:bottom w:val="single" w:sz="4" w:space="0" w:color="auto"/>
            </w:tcBorders>
            <w:shd w:val="clear" w:color="auto" w:fill="auto"/>
            <w:noWrap/>
            <w:vAlign w:val="bottom"/>
            <w:hideMark/>
          </w:tcPr>
          <w:p w14:paraId="2483A164" w14:textId="77777777" w:rsidR="005A6228" w:rsidRPr="00806E12" w:rsidRDefault="005A6228" w:rsidP="007B0150">
            <w:pPr>
              <w:jc w:val="center"/>
              <w:rPr>
                <w:i/>
                <w:iCs/>
                <w:color w:val="000000"/>
              </w:rPr>
            </w:pPr>
            <w:proofErr w:type="spellStart"/>
            <w:r w:rsidRPr="00806E12">
              <w:rPr>
                <w:i/>
                <w:iCs/>
                <w:color w:val="000000"/>
              </w:rPr>
              <w:t>df</w:t>
            </w:r>
            <w:proofErr w:type="spellEnd"/>
          </w:p>
        </w:tc>
        <w:tc>
          <w:tcPr>
            <w:tcW w:w="769" w:type="dxa"/>
            <w:tcBorders>
              <w:top w:val="nil"/>
              <w:bottom w:val="single" w:sz="4" w:space="0" w:color="auto"/>
            </w:tcBorders>
            <w:shd w:val="clear" w:color="auto" w:fill="auto"/>
            <w:noWrap/>
            <w:vAlign w:val="bottom"/>
            <w:hideMark/>
          </w:tcPr>
          <w:p w14:paraId="68D33E2F" w14:textId="77777777" w:rsidR="005A6228" w:rsidRPr="00806E12" w:rsidRDefault="005A6228" w:rsidP="007B0150">
            <w:pPr>
              <w:jc w:val="center"/>
              <w:rPr>
                <w:i/>
                <w:iCs/>
                <w:color w:val="000000"/>
                <w:vertAlign w:val="superscript"/>
              </w:rPr>
            </w:pPr>
            <w:r w:rsidRPr="00292779">
              <w:rPr>
                <w:i/>
                <w:iCs/>
                <w:color w:val="000000"/>
              </w:rPr>
              <w:sym w:font="Symbol" w:char="F063"/>
            </w:r>
            <w:r w:rsidRPr="00292779">
              <w:rPr>
                <w:i/>
                <w:iCs/>
                <w:color w:val="000000"/>
                <w:vertAlign w:val="superscript"/>
              </w:rPr>
              <w:t>2</w:t>
            </w:r>
          </w:p>
        </w:tc>
        <w:tc>
          <w:tcPr>
            <w:tcW w:w="769" w:type="dxa"/>
            <w:tcBorders>
              <w:top w:val="nil"/>
              <w:bottom w:val="single" w:sz="4" w:space="0" w:color="auto"/>
            </w:tcBorders>
            <w:shd w:val="clear" w:color="auto" w:fill="auto"/>
            <w:noWrap/>
            <w:vAlign w:val="bottom"/>
            <w:hideMark/>
          </w:tcPr>
          <w:p w14:paraId="0B058E82" w14:textId="77777777" w:rsidR="005A6228" w:rsidRPr="00806E12" w:rsidRDefault="005A6228" w:rsidP="007B0150">
            <w:pPr>
              <w:jc w:val="center"/>
              <w:rPr>
                <w:i/>
                <w:iCs/>
                <w:color w:val="000000"/>
              </w:rPr>
            </w:pPr>
            <w:r w:rsidRPr="00806E12">
              <w:rPr>
                <w:i/>
                <w:iCs/>
                <w:color w:val="000000"/>
              </w:rPr>
              <w:t>p</w:t>
            </w:r>
          </w:p>
        </w:tc>
        <w:tc>
          <w:tcPr>
            <w:tcW w:w="332" w:type="dxa"/>
            <w:tcBorders>
              <w:top w:val="nil"/>
              <w:bottom w:val="single" w:sz="4" w:space="0" w:color="auto"/>
            </w:tcBorders>
            <w:shd w:val="clear" w:color="auto" w:fill="auto"/>
            <w:noWrap/>
            <w:vAlign w:val="bottom"/>
            <w:hideMark/>
          </w:tcPr>
          <w:p w14:paraId="6F38C73F" w14:textId="77777777" w:rsidR="005A6228" w:rsidRPr="00806E12" w:rsidRDefault="005A6228" w:rsidP="007B0150">
            <w:pPr>
              <w:jc w:val="center"/>
              <w:rPr>
                <w:i/>
                <w:iCs/>
                <w:color w:val="000000"/>
              </w:rPr>
            </w:pPr>
          </w:p>
        </w:tc>
        <w:tc>
          <w:tcPr>
            <w:tcW w:w="630" w:type="dxa"/>
            <w:tcBorders>
              <w:top w:val="nil"/>
              <w:bottom w:val="single" w:sz="4" w:space="0" w:color="auto"/>
            </w:tcBorders>
            <w:shd w:val="clear" w:color="auto" w:fill="auto"/>
            <w:noWrap/>
            <w:vAlign w:val="bottom"/>
            <w:hideMark/>
          </w:tcPr>
          <w:p w14:paraId="7040BAAA" w14:textId="77777777" w:rsidR="005A6228" w:rsidRPr="00806E12" w:rsidRDefault="005A6228" w:rsidP="007B0150">
            <w:pPr>
              <w:jc w:val="center"/>
              <w:rPr>
                <w:i/>
                <w:color w:val="000000"/>
              </w:rPr>
            </w:pPr>
            <w:proofErr w:type="spellStart"/>
            <w:r w:rsidRPr="00806E12">
              <w:rPr>
                <w:i/>
                <w:color w:val="000000"/>
              </w:rPr>
              <w:t>df</w:t>
            </w:r>
            <w:proofErr w:type="spellEnd"/>
          </w:p>
        </w:tc>
        <w:tc>
          <w:tcPr>
            <w:tcW w:w="888" w:type="dxa"/>
            <w:tcBorders>
              <w:top w:val="nil"/>
              <w:bottom w:val="single" w:sz="4" w:space="0" w:color="auto"/>
            </w:tcBorders>
            <w:shd w:val="clear" w:color="auto" w:fill="auto"/>
            <w:noWrap/>
            <w:vAlign w:val="bottom"/>
            <w:hideMark/>
          </w:tcPr>
          <w:p w14:paraId="7E45F27B" w14:textId="77777777" w:rsidR="005A6228" w:rsidRPr="00806E12" w:rsidRDefault="005A6228" w:rsidP="007B0150">
            <w:pPr>
              <w:jc w:val="center"/>
              <w:rPr>
                <w:i/>
                <w:color w:val="000000"/>
              </w:rPr>
            </w:pPr>
            <w:r w:rsidRPr="00292779">
              <w:rPr>
                <w:i/>
                <w:iCs/>
                <w:color w:val="000000"/>
              </w:rPr>
              <w:sym w:font="Symbol" w:char="F063"/>
            </w:r>
            <w:r w:rsidRPr="00292779">
              <w:rPr>
                <w:i/>
                <w:iCs/>
                <w:color w:val="000000"/>
                <w:vertAlign w:val="superscript"/>
              </w:rPr>
              <w:t>2</w:t>
            </w:r>
          </w:p>
        </w:tc>
        <w:tc>
          <w:tcPr>
            <w:tcW w:w="1246" w:type="dxa"/>
            <w:tcBorders>
              <w:top w:val="nil"/>
              <w:bottom w:val="single" w:sz="4" w:space="0" w:color="auto"/>
            </w:tcBorders>
            <w:shd w:val="clear" w:color="auto" w:fill="auto"/>
            <w:noWrap/>
            <w:vAlign w:val="bottom"/>
            <w:hideMark/>
          </w:tcPr>
          <w:p w14:paraId="5C745A15" w14:textId="77777777" w:rsidR="005A6228" w:rsidRPr="00806E12" w:rsidRDefault="005A6228" w:rsidP="007B0150">
            <w:pPr>
              <w:jc w:val="center"/>
              <w:rPr>
                <w:i/>
                <w:color w:val="000000"/>
              </w:rPr>
            </w:pPr>
            <w:r w:rsidRPr="00806E12">
              <w:rPr>
                <w:i/>
                <w:color w:val="000000"/>
              </w:rPr>
              <w:t>p</w:t>
            </w:r>
          </w:p>
        </w:tc>
        <w:tc>
          <w:tcPr>
            <w:tcW w:w="327" w:type="dxa"/>
            <w:tcBorders>
              <w:top w:val="nil"/>
              <w:bottom w:val="single" w:sz="4" w:space="0" w:color="auto"/>
            </w:tcBorders>
            <w:shd w:val="clear" w:color="auto" w:fill="auto"/>
            <w:noWrap/>
            <w:vAlign w:val="bottom"/>
            <w:hideMark/>
          </w:tcPr>
          <w:p w14:paraId="76B0CC24" w14:textId="77777777" w:rsidR="005A6228" w:rsidRPr="00806E12" w:rsidRDefault="005A6228" w:rsidP="007B0150">
            <w:pPr>
              <w:jc w:val="center"/>
              <w:rPr>
                <w:color w:val="000000"/>
              </w:rPr>
            </w:pPr>
          </w:p>
        </w:tc>
        <w:tc>
          <w:tcPr>
            <w:tcW w:w="669" w:type="dxa"/>
            <w:tcBorders>
              <w:top w:val="nil"/>
              <w:bottom w:val="single" w:sz="4" w:space="0" w:color="auto"/>
            </w:tcBorders>
            <w:shd w:val="clear" w:color="auto" w:fill="auto"/>
            <w:noWrap/>
            <w:vAlign w:val="bottom"/>
            <w:hideMark/>
          </w:tcPr>
          <w:p w14:paraId="77946C39" w14:textId="77777777" w:rsidR="005A6228" w:rsidRPr="00806E12" w:rsidRDefault="005A6228" w:rsidP="007B0150">
            <w:pPr>
              <w:jc w:val="center"/>
              <w:rPr>
                <w:i/>
                <w:color w:val="000000"/>
              </w:rPr>
            </w:pPr>
            <w:proofErr w:type="spellStart"/>
            <w:r w:rsidRPr="00806E12">
              <w:rPr>
                <w:i/>
                <w:color w:val="000000"/>
              </w:rPr>
              <w:t>df</w:t>
            </w:r>
            <w:proofErr w:type="spellEnd"/>
          </w:p>
        </w:tc>
        <w:tc>
          <w:tcPr>
            <w:tcW w:w="888" w:type="dxa"/>
            <w:tcBorders>
              <w:top w:val="nil"/>
              <w:bottom w:val="single" w:sz="4" w:space="0" w:color="auto"/>
            </w:tcBorders>
            <w:shd w:val="clear" w:color="auto" w:fill="auto"/>
            <w:noWrap/>
            <w:vAlign w:val="bottom"/>
            <w:hideMark/>
          </w:tcPr>
          <w:p w14:paraId="1408BD52" w14:textId="77777777" w:rsidR="005A6228" w:rsidRPr="00806E12" w:rsidRDefault="005A6228" w:rsidP="007B0150">
            <w:pPr>
              <w:jc w:val="center"/>
              <w:rPr>
                <w:i/>
                <w:color w:val="000000"/>
              </w:rPr>
            </w:pPr>
            <w:r w:rsidRPr="00292779">
              <w:rPr>
                <w:i/>
                <w:iCs/>
                <w:color w:val="000000"/>
              </w:rPr>
              <w:sym w:font="Symbol" w:char="F063"/>
            </w:r>
            <w:r w:rsidRPr="00292779">
              <w:rPr>
                <w:i/>
                <w:iCs/>
                <w:color w:val="000000"/>
                <w:vertAlign w:val="superscript"/>
              </w:rPr>
              <w:t>2</w:t>
            </w:r>
          </w:p>
        </w:tc>
        <w:tc>
          <w:tcPr>
            <w:tcW w:w="1248" w:type="dxa"/>
            <w:tcBorders>
              <w:top w:val="nil"/>
              <w:bottom w:val="single" w:sz="4" w:space="0" w:color="auto"/>
            </w:tcBorders>
            <w:shd w:val="clear" w:color="auto" w:fill="auto"/>
            <w:noWrap/>
            <w:vAlign w:val="bottom"/>
            <w:hideMark/>
          </w:tcPr>
          <w:p w14:paraId="2E53BAF2" w14:textId="77777777" w:rsidR="005A6228" w:rsidRPr="00806E12" w:rsidRDefault="005A6228" w:rsidP="007B0150">
            <w:pPr>
              <w:jc w:val="center"/>
              <w:rPr>
                <w:i/>
                <w:color w:val="000000"/>
              </w:rPr>
            </w:pPr>
            <w:r w:rsidRPr="00806E12">
              <w:rPr>
                <w:i/>
                <w:color w:val="000000"/>
              </w:rPr>
              <w:t>p</w:t>
            </w:r>
          </w:p>
        </w:tc>
      </w:tr>
      <w:tr w:rsidR="0093195C" w:rsidRPr="00292779" w14:paraId="74DF8783" w14:textId="77777777" w:rsidTr="008F3F33">
        <w:trPr>
          <w:trHeight w:val="236"/>
        </w:trPr>
        <w:tc>
          <w:tcPr>
            <w:tcW w:w="4295" w:type="dxa"/>
            <w:tcBorders>
              <w:top w:val="single" w:sz="4" w:space="0" w:color="auto"/>
            </w:tcBorders>
            <w:shd w:val="clear" w:color="auto" w:fill="auto"/>
            <w:vAlign w:val="center"/>
          </w:tcPr>
          <w:p w14:paraId="3BE87617" w14:textId="77777777" w:rsidR="005A6228" w:rsidRPr="00292779" w:rsidRDefault="005A6228" w:rsidP="007B0150">
            <w:pPr>
              <w:rPr>
                <w:i/>
                <w:color w:val="000000"/>
                <w:u w:val="single"/>
              </w:rPr>
            </w:pPr>
            <w:r w:rsidRPr="00292779">
              <w:rPr>
                <w:i/>
                <w:color w:val="000000"/>
                <w:u w:val="single"/>
              </w:rPr>
              <w:t>Sleep and Circadian Outcomes</w:t>
            </w:r>
          </w:p>
        </w:tc>
        <w:tc>
          <w:tcPr>
            <w:tcW w:w="599" w:type="dxa"/>
            <w:tcBorders>
              <w:top w:val="single" w:sz="4" w:space="0" w:color="auto"/>
            </w:tcBorders>
            <w:shd w:val="clear" w:color="auto" w:fill="auto"/>
            <w:noWrap/>
            <w:vAlign w:val="center"/>
          </w:tcPr>
          <w:p w14:paraId="600712E4" w14:textId="77777777" w:rsidR="005A6228" w:rsidRPr="00292779" w:rsidRDefault="005A6228" w:rsidP="007B0150">
            <w:pPr>
              <w:jc w:val="center"/>
              <w:rPr>
                <w:i/>
                <w:color w:val="000000"/>
                <w:u w:val="single"/>
              </w:rPr>
            </w:pPr>
          </w:p>
        </w:tc>
        <w:tc>
          <w:tcPr>
            <w:tcW w:w="769" w:type="dxa"/>
            <w:tcBorders>
              <w:top w:val="single" w:sz="4" w:space="0" w:color="auto"/>
            </w:tcBorders>
            <w:shd w:val="clear" w:color="auto" w:fill="auto"/>
            <w:noWrap/>
            <w:vAlign w:val="center"/>
          </w:tcPr>
          <w:p w14:paraId="0A6C9A0F" w14:textId="77777777" w:rsidR="005A6228" w:rsidRPr="00292779" w:rsidRDefault="005A6228" w:rsidP="007B0150">
            <w:pPr>
              <w:jc w:val="center"/>
              <w:rPr>
                <w:i/>
                <w:color w:val="000000"/>
                <w:u w:val="single"/>
              </w:rPr>
            </w:pPr>
          </w:p>
        </w:tc>
        <w:tc>
          <w:tcPr>
            <w:tcW w:w="769" w:type="dxa"/>
            <w:tcBorders>
              <w:top w:val="single" w:sz="4" w:space="0" w:color="auto"/>
            </w:tcBorders>
            <w:shd w:val="clear" w:color="auto" w:fill="auto"/>
            <w:noWrap/>
            <w:vAlign w:val="center"/>
          </w:tcPr>
          <w:p w14:paraId="035EF424" w14:textId="77777777" w:rsidR="005A6228" w:rsidRPr="00292779" w:rsidRDefault="005A6228" w:rsidP="007B0150">
            <w:pPr>
              <w:jc w:val="center"/>
              <w:rPr>
                <w:i/>
                <w:color w:val="000000"/>
                <w:u w:val="single"/>
              </w:rPr>
            </w:pPr>
          </w:p>
        </w:tc>
        <w:tc>
          <w:tcPr>
            <w:tcW w:w="332" w:type="dxa"/>
            <w:tcBorders>
              <w:top w:val="single" w:sz="4" w:space="0" w:color="auto"/>
            </w:tcBorders>
            <w:shd w:val="clear" w:color="auto" w:fill="auto"/>
            <w:noWrap/>
            <w:vAlign w:val="center"/>
          </w:tcPr>
          <w:p w14:paraId="6CC8AF84" w14:textId="77777777" w:rsidR="005A6228" w:rsidRPr="00292779" w:rsidRDefault="005A6228" w:rsidP="007B0150">
            <w:pPr>
              <w:jc w:val="center"/>
              <w:rPr>
                <w:i/>
                <w:color w:val="000000"/>
                <w:u w:val="single"/>
              </w:rPr>
            </w:pPr>
          </w:p>
        </w:tc>
        <w:tc>
          <w:tcPr>
            <w:tcW w:w="630" w:type="dxa"/>
            <w:tcBorders>
              <w:top w:val="single" w:sz="4" w:space="0" w:color="auto"/>
            </w:tcBorders>
            <w:shd w:val="clear" w:color="auto" w:fill="auto"/>
            <w:noWrap/>
            <w:vAlign w:val="center"/>
          </w:tcPr>
          <w:p w14:paraId="6A023BC2" w14:textId="77777777" w:rsidR="005A6228" w:rsidRPr="00292779" w:rsidRDefault="005A6228" w:rsidP="007B0150">
            <w:pPr>
              <w:jc w:val="center"/>
              <w:rPr>
                <w:i/>
                <w:color w:val="000000"/>
                <w:u w:val="single"/>
              </w:rPr>
            </w:pPr>
          </w:p>
        </w:tc>
        <w:tc>
          <w:tcPr>
            <w:tcW w:w="888" w:type="dxa"/>
            <w:tcBorders>
              <w:top w:val="single" w:sz="4" w:space="0" w:color="auto"/>
            </w:tcBorders>
            <w:shd w:val="clear" w:color="auto" w:fill="auto"/>
            <w:noWrap/>
            <w:vAlign w:val="center"/>
          </w:tcPr>
          <w:p w14:paraId="72BB7563" w14:textId="77777777" w:rsidR="005A6228" w:rsidRPr="00292779" w:rsidRDefault="005A6228" w:rsidP="007B0150">
            <w:pPr>
              <w:jc w:val="center"/>
              <w:rPr>
                <w:i/>
                <w:color w:val="000000"/>
                <w:u w:val="single"/>
              </w:rPr>
            </w:pPr>
          </w:p>
        </w:tc>
        <w:tc>
          <w:tcPr>
            <w:tcW w:w="1246" w:type="dxa"/>
            <w:tcBorders>
              <w:top w:val="single" w:sz="4" w:space="0" w:color="auto"/>
            </w:tcBorders>
            <w:shd w:val="clear" w:color="auto" w:fill="auto"/>
            <w:noWrap/>
            <w:vAlign w:val="center"/>
          </w:tcPr>
          <w:p w14:paraId="1C935718" w14:textId="77777777" w:rsidR="005A6228" w:rsidRPr="00292779" w:rsidRDefault="005A6228" w:rsidP="007B0150">
            <w:pPr>
              <w:jc w:val="center"/>
              <w:rPr>
                <w:i/>
                <w:color w:val="000000"/>
                <w:u w:val="single"/>
              </w:rPr>
            </w:pPr>
          </w:p>
        </w:tc>
        <w:tc>
          <w:tcPr>
            <w:tcW w:w="327" w:type="dxa"/>
            <w:tcBorders>
              <w:top w:val="single" w:sz="4" w:space="0" w:color="auto"/>
            </w:tcBorders>
            <w:shd w:val="clear" w:color="auto" w:fill="auto"/>
            <w:noWrap/>
            <w:vAlign w:val="center"/>
          </w:tcPr>
          <w:p w14:paraId="5B80FE92" w14:textId="77777777" w:rsidR="005A6228" w:rsidRPr="00292779" w:rsidRDefault="005A6228" w:rsidP="007B0150">
            <w:pPr>
              <w:jc w:val="center"/>
              <w:rPr>
                <w:i/>
                <w:color w:val="000000"/>
                <w:u w:val="single"/>
              </w:rPr>
            </w:pPr>
          </w:p>
        </w:tc>
        <w:tc>
          <w:tcPr>
            <w:tcW w:w="669" w:type="dxa"/>
            <w:tcBorders>
              <w:top w:val="single" w:sz="4" w:space="0" w:color="auto"/>
            </w:tcBorders>
            <w:shd w:val="clear" w:color="auto" w:fill="auto"/>
            <w:noWrap/>
            <w:vAlign w:val="center"/>
          </w:tcPr>
          <w:p w14:paraId="7EB3127C" w14:textId="77777777" w:rsidR="005A6228" w:rsidRPr="00292779" w:rsidRDefault="005A6228" w:rsidP="007B0150">
            <w:pPr>
              <w:jc w:val="center"/>
              <w:rPr>
                <w:i/>
                <w:color w:val="000000"/>
                <w:u w:val="single"/>
              </w:rPr>
            </w:pPr>
          </w:p>
        </w:tc>
        <w:tc>
          <w:tcPr>
            <w:tcW w:w="888" w:type="dxa"/>
            <w:tcBorders>
              <w:top w:val="single" w:sz="4" w:space="0" w:color="auto"/>
            </w:tcBorders>
            <w:shd w:val="clear" w:color="auto" w:fill="auto"/>
            <w:noWrap/>
            <w:vAlign w:val="center"/>
          </w:tcPr>
          <w:p w14:paraId="36D90B05" w14:textId="77777777" w:rsidR="005A6228" w:rsidRPr="00292779" w:rsidRDefault="005A6228" w:rsidP="007B0150">
            <w:pPr>
              <w:jc w:val="center"/>
              <w:rPr>
                <w:i/>
                <w:color w:val="000000"/>
                <w:u w:val="single"/>
              </w:rPr>
            </w:pPr>
          </w:p>
        </w:tc>
        <w:tc>
          <w:tcPr>
            <w:tcW w:w="1248" w:type="dxa"/>
            <w:tcBorders>
              <w:top w:val="single" w:sz="4" w:space="0" w:color="auto"/>
            </w:tcBorders>
            <w:shd w:val="clear" w:color="auto" w:fill="auto"/>
            <w:noWrap/>
            <w:vAlign w:val="center"/>
          </w:tcPr>
          <w:p w14:paraId="3F888EEA" w14:textId="77777777" w:rsidR="005A6228" w:rsidRPr="00292779" w:rsidRDefault="005A6228" w:rsidP="007B0150">
            <w:pPr>
              <w:jc w:val="center"/>
              <w:rPr>
                <w:i/>
                <w:color w:val="000000"/>
                <w:u w:val="single"/>
              </w:rPr>
            </w:pPr>
          </w:p>
        </w:tc>
      </w:tr>
      <w:tr w:rsidR="0093195C" w:rsidRPr="00292779" w14:paraId="3525C3B6" w14:textId="77777777" w:rsidTr="008F3F33">
        <w:trPr>
          <w:trHeight w:val="236"/>
        </w:trPr>
        <w:tc>
          <w:tcPr>
            <w:tcW w:w="4295" w:type="dxa"/>
            <w:shd w:val="clear" w:color="auto" w:fill="auto"/>
            <w:vAlign w:val="center"/>
            <w:hideMark/>
          </w:tcPr>
          <w:p w14:paraId="3E5EAAFF" w14:textId="77777777" w:rsidR="005A6228" w:rsidRPr="00806E12" w:rsidRDefault="005A6228" w:rsidP="007B0150">
            <w:proofErr w:type="spellStart"/>
            <w:r w:rsidRPr="00806E12">
              <w:t>TST</w:t>
            </w:r>
            <w:proofErr w:type="spellEnd"/>
            <w:r w:rsidRPr="00806E12">
              <w:t xml:space="preserve"> weeknights*</w:t>
            </w:r>
          </w:p>
        </w:tc>
        <w:tc>
          <w:tcPr>
            <w:tcW w:w="599" w:type="dxa"/>
            <w:shd w:val="clear" w:color="auto" w:fill="auto"/>
            <w:noWrap/>
            <w:vAlign w:val="center"/>
            <w:hideMark/>
          </w:tcPr>
          <w:p w14:paraId="50D2BC99"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F9A09C1" w14:textId="77777777" w:rsidR="005A6228" w:rsidRPr="00806E12" w:rsidRDefault="005A6228" w:rsidP="007B0150">
            <w:pPr>
              <w:jc w:val="center"/>
              <w:rPr>
                <w:color w:val="000000"/>
              </w:rPr>
            </w:pPr>
            <w:r w:rsidRPr="00806E12">
              <w:rPr>
                <w:color w:val="000000"/>
              </w:rPr>
              <w:t>1.81</w:t>
            </w:r>
          </w:p>
        </w:tc>
        <w:tc>
          <w:tcPr>
            <w:tcW w:w="769" w:type="dxa"/>
            <w:shd w:val="clear" w:color="auto" w:fill="auto"/>
            <w:noWrap/>
            <w:vAlign w:val="center"/>
            <w:hideMark/>
          </w:tcPr>
          <w:p w14:paraId="13751898" w14:textId="77777777" w:rsidR="005A6228" w:rsidRPr="00806E12" w:rsidRDefault="005A6228" w:rsidP="007B0150">
            <w:pPr>
              <w:jc w:val="center"/>
              <w:rPr>
                <w:color w:val="000000"/>
              </w:rPr>
            </w:pPr>
            <w:r w:rsidRPr="00806E12">
              <w:rPr>
                <w:color w:val="000000"/>
              </w:rPr>
              <w:t>0.40</w:t>
            </w:r>
          </w:p>
        </w:tc>
        <w:tc>
          <w:tcPr>
            <w:tcW w:w="332" w:type="dxa"/>
            <w:shd w:val="clear" w:color="auto" w:fill="auto"/>
            <w:noWrap/>
            <w:vAlign w:val="center"/>
            <w:hideMark/>
          </w:tcPr>
          <w:p w14:paraId="0E3D2CC7" w14:textId="77777777" w:rsidR="005A6228" w:rsidRPr="00806E12" w:rsidRDefault="005A6228" w:rsidP="007B0150">
            <w:pPr>
              <w:jc w:val="center"/>
              <w:rPr>
                <w:color w:val="000000"/>
              </w:rPr>
            </w:pPr>
          </w:p>
        </w:tc>
        <w:tc>
          <w:tcPr>
            <w:tcW w:w="630" w:type="dxa"/>
            <w:shd w:val="clear" w:color="auto" w:fill="auto"/>
            <w:noWrap/>
            <w:vAlign w:val="center"/>
            <w:hideMark/>
          </w:tcPr>
          <w:p w14:paraId="5BEB928D"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7621744" w14:textId="77777777" w:rsidR="005A6228" w:rsidRPr="00806E12" w:rsidRDefault="005A6228" w:rsidP="007B0150">
            <w:pPr>
              <w:jc w:val="center"/>
              <w:rPr>
                <w:color w:val="000000"/>
              </w:rPr>
            </w:pPr>
            <w:r w:rsidRPr="00806E12">
              <w:rPr>
                <w:color w:val="000000"/>
              </w:rPr>
              <w:t>1.17</w:t>
            </w:r>
          </w:p>
        </w:tc>
        <w:tc>
          <w:tcPr>
            <w:tcW w:w="1246" w:type="dxa"/>
            <w:shd w:val="clear" w:color="auto" w:fill="auto"/>
            <w:noWrap/>
            <w:vAlign w:val="center"/>
            <w:hideMark/>
          </w:tcPr>
          <w:p w14:paraId="09238910" w14:textId="77777777" w:rsidR="005A6228" w:rsidRPr="00806E12" w:rsidRDefault="005A6228" w:rsidP="007B0150">
            <w:pPr>
              <w:jc w:val="center"/>
              <w:rPr>
                <w:color w:val="000000"/>
              </w:rPr>
            </w:pPr>
            <w:r w:rsidRPr="00806E12">
              <w:rPr>
                <w:color w:val="000000"/>
              </w:rPr>
              <w:t>0.56</w:t>
            </w:r>
          </w:p>
        </w:tc>
        <w:tc>
          <w:tcPr>
            <w:tcW w:w="327" w:type="dxa"/>
            <w:shd w:val="clear" w:color="auto" w:fill="auto"/>
            <w:noWrap/>
            <w:vAlign w:val="center"/>
            <w:hideMark/>
          </w:tcPr>
          <w:p w14:paraId="334DD9F2" w14:textId="77777777" w:rsidR="005A6228" w:rsidRPr="00806E12" w:rsidRDefault="005A6228" w:rsidP="007B0150">
            <w:pPr>
              <w:jc w:val="center"/>
              <w:rPr>
                <w:color w:val="000000"/>
              </w:rPr>
            </w:pPr>
          </w:p>
        </w:tc>
        <w:tc>
          <w:tcPr>
            <w:tcW w:w="669" w:type="dxa"/>
            <w:shd w:val="clear" w:color="auto" w:fill="auto"/>
            <w:noWrap/>
            <w:vAlign w:val="center"/>
            <w:hideMark/>
          </w:tcPr>
          <w:p w14:paraId="4CAED60E"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A56B951" w14:textId="77777777" w:rsidR="005A6228" w:rsidRPr="00806E12" w:rsidRDefault="005A6228" w:rsidP="007B0150">
            <w:pPr>
              <w:jc w:val="center"/>
              <w:rPr>
                <w:color w:val="000000"/>
              </w:rPr>
            </w:pPr>
            <w:r w:rsidRPr="00806E12">
              <w:rPr>
                <w:color w:val="000000"/>
              </w:rPr>
              <w:t>0.68</w:t>
            </w:r>
          </w:p>
        </w:tc>
        <w:tc>
          <w:tcPr>
            <w:tcW w:w="1248" w:type="dxa"/>
            <w:shd w:val="clear" w:color="auto" w:fill="auto"/>
            <w:noWrap/>
            <w:vAlign w:val="center"/>
            <w:hideMark/>
          </w:tcPr>
          <w:p w14:paraId="1C10374A" w14:textId="77777777" w:rsidR="005A6228" w:rsidRPr="00806E12" w:rsidRDefault="005A6228" w:rsidP="007B0150">
            <w:pPr>
              <w:jc w:val="center"/>
              <w:rPr>
                <w:color w:val="000000"/>
              </w:rPr>
            </w:pPr>
            <w:r w:rsidRPr="00806E12">
              <w:rPr>
                <w:color w:val="000000"/>
              </w:rPr>
              <w:t>0.71</w:t>
            </w:r>
          </w:p>
        </w:tc>
      </w:tr>
      <w:tr w:rsidR="0093195C" w:rsidRPr="00292779" w14:paraId="7030C35C" w14:textId="77777777" w:rsidTr="008F3F33">
        <w:trPr>
          <w:trHeight w:val="236"/>
        </w:trPr>
        <w:tc>
          <w:tcPr>
            <w:tcW w:w="4295" w:type="dxa"/>
            <w:shd w:val="clear" w:color="auto" w:fill="auto"/>
            <w:vAlign w:val="center"/>
            <w:hideMark/>
          </w:tcPr>
          <w:p w14:paraId="04D1EEF1" w14:textId="77777777" w:rsidR="005A6228" w:rsidRPr="00806E12" w:rsidRDefault="005A6228" w:rsidP="007B0150">
            <w:r w:rsidRPr="00806E12">
              <w:t>BT weeknights*</w:t>
            </w:r>
          </w:p>
        </w:tc>
        <w:tc>
          <w:tcPr>
            <w:tcW w:w="599" w:type="dxa"/>
            <w:shd w:val="clear" w:color="auto" w:fill="auto"/>
            <w:noWrap/>
            <w:vAlign w:val="center"/>
            <w:hideMark/>
          </w:tcPr>
          <w:p w14:paraId="04C85484"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145F11F0" w14:textId="77777777" w:rsidR="005A6228" w:rsidRPr="00806E12" w:rsidRDefault="005A6228" w:rsidP="007B0150">
            <w:pPr>
              <w:jc w:val="center"/>
              <w:rPr>
                <w:color w:val="000000"/>
              </w:rPr>
            </w:pPr>
            <w:r w:rsidRPr="00806E12">
              <w:rPr>
                <w:color w:val="000000"/>
              </w:rPr>
              <w:t>2.13</w:t>
            </w:r>
          </w:p>
        </w:tc>
        <w:tc>
          <w:tcPr>
            <w:tcW w:w="769" w:type="dxa"/>
            <w:shd w:val="clear" w:color="auto" w:fill="auto"/>
            <w:noWrap/>
            <w:vAlign w:val="center"/>
            <w:hideMark/>
          </w:tcPr>
          <w:p w14:paraId="1E3FF0B1" w14:textId="77777777" w:rsidR="005A6228" w:rsidRPr="00806E12" w:rsidRDefault="005A6228" w:rsidP="007B0150">
            <w:pPr>
              <w:jc w:val="center"/>
              <w:rPr>
                <w:color w:val="000000"/>
              </w:rPr>
            </w:pPr>
            <w:r w:rsidRPr="00806E12">
              <w:rPr>
                <w:color w:val="000000"/>
              </w:rPr>
              <w:t>0.35</w:t>
            </w:r>
          </w:p>
        </w:tc>
        <w:tc>
          <w:tcPr>
            <w:tcW w:w="332" w:type="dxa"/>
            <w:shd w:val="clear" w:color="auto" w:fill="auto"/>
            <w:noWrap/>
            <w:vAlign w:val="center"/>
            <w:hideMark/>
          </w:tcPr>
          <w:p w14:paraId="16017B3D" w14:textId="77777777" w:rsidR="005A6228" w:rsidRPr="00806E12" w:rsidRDefault="005A6228" w:rsidP="007B0150">
            <w:pPr>
              <w:jc w:val="center"/>
              <w:rPr>
                <w:color w:val="000000"/>
              </w:rPr>
            </w:pPr>
          </w:p>
        </w:tc>
        <w:tc>
          <w:tcPr>
            <w:tcW w:w="630" w:type="dxa"/>
            <w:shd w:val="clear" w:color="auto" w:fill="auto"/>
            <w:noWrap/>
            <w:vAlign w:val="center"/>
            <w:hideMark/>
          </w:tcPr>
          <w:p w14:paraId="51E18AD5" w14:textId="77777777" w:rsidR="005A6228" w:rsidRPr="00806E12" w:rsidRDefault="005A6228" w:rsidP="007B0150">
            <w:pPr>
              <w:jc w:val="center"/>
              <w:rPr>
                <w:color w:val="FF0000"/>
              </w:rPr>
            </w:pPr>
            <w:r w:rsidRPr="00806E12">
              <w:rPr>
                <w:color w:val="FF0000"/>
              </w:rPr>
              <w:t>2</w:t>
            </w:r>
          </w:p>
        </w:tc>
        <w:tc>
          <w:tcPr>
            <w:tcW w:w="888" w:type="dxa"/>
            <w:shd w:val="clear" w:color="auto" w:fill="auto"/>
            <w:noWrap/>
            <w:vAlign w:val="center"/>
            <w:hideMark/>
          </w:tcPr>
          <w:p w14:paraId="5497E5A5" w14:textId="77777777" w:rsidR="005A6228" w:rsidRPr="00806E12" w:rsidRDefault="005A6228" w:rsidP="007B0150">
            <w:pPr>
              <w:jc w:val="center"/>
              <w:rPr>
                <w:color w:val="FF0000"/>
              </w:rPr>
            </w:pPr>
            <w:r w:rsidRPr="00806E12">
              <w:rPr>
                <w:color w:val="FF0000"/>
              </w:rPr>
              <w:t>15.19</w:t>
            </w:r>
          </w:p>
        </w:tc>
        <w:tc>
          <w:tcPr>
            <w:tcW w:w="1246" w:type="dxa"/>
            <w:shd w:val="clear" w:color="auto" w:fill="auto"/>
            <w:noWrap/>
            <w:vAlign w:val="center"/>
            <w:hideMark/>
          </w:tcPr>
          <w:p w14:paraId="6251C3BB" w14:textId="77777777" w:rsidR="005A6228" w:rsidRPr="00806E12" w:rsidRDefault="005A6228" w:rsidP="007B0150">
            <w:pPr>
              <w:jc w:val="center"/>
              <w:rPr>
                <w:color w:val="FF0000"/>
              </w:rPr>
            </w:pPr>
            <w:r w:rsidRPr="00806E12">
              <w:rPr>
                <w:color w:val="FF0000"/>
              </w:rPr>
              <w:t>0.0005**</w:t>
            </w:r>
          </w:p>
        </w:tc>
        <w:tc>
          <w:tcPr>
            <w:tcW w:w="327" w:type="dxa"/>
            <w:shd w:val="clear" w:color="auto" w:fill="auto"/>
            <w:noWrap/>
            <w:vAlign w:val="center"/>
            <w:hideMark/>
          </w:tcPr>
          <w:p w14:paraId="75CEC023" w14:textId="77777777" w:rsidR="005A6228" w:rsidRPr="00806E12" w:rsidRDefault="005A6228" w:rsidP="007B0150">
            <w:pPr>
              <w:jc w:val="center"/>
              <w:rPr>
                <w:color w:val="FF0000"/>
              </w:rPr>
            </w:pPr>
          </w:p>
        </w:tc>
        <w:tc>
          <w:tcPr>
            <w:tcW w:w="669" w:type="dxa"/>
            <w:shd w:val="clear" w:color="auto" w:fill="auto"/>
            <w:noWrap/>
            <w:vAlign w:val="center"/>
            <w:hideMark/>
          </w:tcPr>
          <w:p w14:paraId="17ADEB70"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62DF0BF" w14:textId="77777777" w:rsidR="005A6228" w:rsidRPr="00806E12" w:rsidRDefault="005A6228" w:rsidP="007B0150">
            <w:pPr>
              <w:jc w:val="center"/>
              <w:rPr>
                <w:color w:val="000000"/>
              </w:rPr>
            </w:pPr>
            <w:r w:rsidRPr="00806E12">
              <w:rPr>
                <w:color w:val="000000"/>
              </w:rPr>
              <w:t>0.13</w:t>
            </w:r>
          </w:p>
        </w:tc>
        <w:tc>
          <w:tcPr>
            <w:tcW w:w="1248" w:type="dxa"/>
            <w:shd w:val="clear" w:color="auto" w:fill="auto"/>
            <w:noWrap/>
            <w:vAlign w:val="center"/>
            <w:hideMark/>
          </w:tcPr>
          <w:p w14:paraId="2B7986AF" w14:textId="77777777" w:rsidR="005A6228" w:rsidRPr="00806E12" w:rsidRDefault="005A6228" w:rsidP="007B0150">
            <w:pPr>
              <w:jc w:val="center"/>
              <w:rPr>
                <w:color w:val="000000"/>
              </w:rPr>
            </w:pPr>
            <w:r w:rsidRPr="00806E12">
              <w:rPr>
                <w:color w:val="000000"/>
              </w:rPr>
              <w:t>0.94</w:t>
            </w:r>
          </w:p>
        </w:tc>
      </w:tr>
      <w:tr w:rsidR="0093195C" w:rsidRPr="00292779" w14:paraId="6518E3B9" w14:textId="77777777" w:rsidTr="008F3F33">
        <w:trPr>
          <w:trHeight w:val="236"/>
        </w:trPr>
        <w:tc>
          <w:tcPr>
            <w:tcW w:w="4295" w:type="dxa"/>
            <w:shd w:val="clear" w:color="auto" w:fill="auto"/>
            <w:vAlign w:val="center"/>
            <w:hideMark/>
          </w:tcPr>
          <w:p w14:paraId="19C38DD2" w14:textId="77777777" w:rsidR="005A6228" w:rsidRPr="00806E12" w:rsidRDefault="005A6228" w:rsidP="007B0150">
            <w:proofErr w:type="spellStart"/>
            <w:r w:rsidRPr="00806E12">
              <w:t>TST</w:t>
            </w:r>
            <w:proofErr w:type="spellEnd"/>
            <w:r w:rsidRPr="00806E12">
              <w:t xml:space="preserve"> weeknight-weekend discrepancy</w:t>
            </w:r>
          </w:p>
        </w:tc>
        <w:tc>
          <w:tcPr>
            <w:tcW w:w="599" w:type="dxa"/>
            <w:shd w:val="clear" w:color="auto" w:fill="auto"/>
            <w:noWrap/>
            <w:vAlign w:val="center"/>
            <w:hideMark/>
          </w:tcPr>
          <w:p w14:paraId="7E246C41"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5659F7F1" w14:textId="77777777" w:rsidR="005A6228" w:rsidRPr="00806E12" w:rsidRDefault="005A6228" w:rsidP="007B0150">
            <w:pPr>
              <w:jc w:val="center"/>
              <w:rPr>
                <w:color w:val="000000"/>
              </w:rPr>
            </w:pPr>
            <w:r w:rsidRPr="00806E12">
              <w:rPr>
                <w:color w:val="000000"/>
              </w:rPr>
              <w:t>1.49</w:t>
            </w:r>
          </w:p>
        </w:tc>
        <w:tc>
          <w:tcPr>
            <w:tcW w:w="769" w:type="dxa"/>
            <w:shd w:val="clear" w:color="auto" w:fill="auto"/>
            <w:noWrap/>
            <w:vAlign w:val="center"/>
            <w:hideMark/>
          </w:tcPr>
          <w:p w14:paraId="5489BBFB" w14:textId="77777777" w:rsidR="005A6228" w:rsidRPr="00806E12" w:rsidRDefault="005A6228" w:rsidP="007B0150">
            <w:pPr>
              <w:jc w:val="center"/>
              <w:rPr>
                <w:color w:val="000000"/>
              </w:rPr>
            </w:pPr>
            <w:r w:rsidRPr="00806E12">
              <w:rPr>
                <w:color w:val="000000"/>
              </w:rPr>
              <w:t>0.47</w:t>
            </w:r>
          </w:p>
        </w:tc>
        <w:tc>
          <w:tcPr>
            <w:tcW w:w="332" w:type="dxa"/>
            <w:shd w:val="clear" w:color="auto" w:fill="auto"/>
            <w:noWrap/>
            <w:vAlign w:val="center"/>
            <w:hideMark/>
          </w:tcPr>
          <w:p w14:paraId="42FD6772" w14:textId="77777777" w:rsidR="005A6228" w:rsidRPr="00806E12" w:rsidRDefault="005A6228" w:rsidP="007B0150">
            <w:pPr>
              <w:jc w:val="center"/>
              <w:rPr>
                <w:color w:val="000000"/>
              </w:rPr>
            </w:pPr>
          </w:p>
        </w:tc>
        <w:tc>
          <w:tcPr>
            <w:tcW w:w="630" w:type="dxa"/>
            <w:shd w:val="clear" w:color="auto" w:fill="auto"/>
            <w:noWrap/>
            <w:vAlign w:val="center"/>
            <w:hideMark/>
          </w:tcPr>
          <w:p w14:paraId="0E766366"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ECFF181" w14:textId="77777777" w:rsidR="005A6228" w:rsidRPr="00806E12" w:rsidRDefault="005A6228" w:rsidP="007B0150">
            <w:pPr>
              <w:jc w:val="center"/>
              <w:rPr>
                <w:color w:val="000000"/>
              </w:rPr>
            </w:pPr>
            <w:r w:rsidRPr="00806E12">
              <w:rPr>
                <w:color w:val="000000"/>
              </w:rPr>
              <w:t>0.05</w:t>
            </w:r>
          </w:p>
        </w:tc>
        <w:tc>
          <w:tcPr>
            <w:tcW w:w="1246" w:type="dxa"/>
            <w:shd w:val="clear" w:color="auto" w:fill="auto"/>
            <w:noWrap/>
            <w:vAlign w:val="center"/>
            <w:hideMark/>
          </w:tcPr>
          <w:p w14:paraId="3A70DD92" w14:textId="77777777" w:rsidR="005A6228" w:rsidRPr="00806E12" w:rsidRDefault="005A6228" w:rsidP="007B0150">
            <w:pPr>
              <w:jc w:val="center"/>
              <w:rPr>
                <w:color w:val="000000"/>
              </w:rPr>
            </w:pPr>
            <w:r w:rsidRPr="00806E12">
              <w:rPr>
                <w:color w:val="000000"/>
              </w:rPr>
              <w:t>0.98</w:t>
            </w:r>
          </w:p>
        </w:tc>
        <w:tc>
          <w:tcPr>
            <w:tcW w:w="327" w:type="dxa"/>
            <w:shd w:val="clear" w:color="auto" w:fill="auto"/>
            <w:noWrap/>
            <w:vAlign w:val="center"/>
            <w:hideMark/>
          </w:tcPr>
          <w:p w14:paraId="16F0FFAF" w14:textId="77777777" w:rsidR="005A6228" w:rsidRPr="00806E12" w:rsidRDefault="005A6228" w:rsidP="007B0150">
            <w:pPr>
              <w:jc w:val="center"/>
              <w:rPr>
                <w:color w:val="000000"/>
              </w:rPr>
            </w:pPr>
          </w:p>
        </w:tc>
        <w:tc>
          <w:tcPr>
            <w:tcW w:w="669" w:type="dxa"/>
            <w:shd w:val="clear" w:color="auto" w:fill="auto"/>
            <w:noWrap/>
            <w:vAlign w:val="center"/>
            <w:hideMark/>
          </w:tcPr>
          <w:p w14:paraId="368DA7A7"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3658BA7" w14:textId="77777777" w:rsidR="005A6228" w:rsidRPr="00806E12" w:rsidRDefault="005A6228" w:rsidP="007B0150">
            <w:pPr>
              <w:jc w:val="center"/>
              <w:rPr>
                <w:color w:val="000000"/>
              </w:rPr>
            </w:pPr>
            <w:r w:rsidRPr="00806E12">
              <w:rPr>
                <w:color w:val="000000"/>
              </w:rPr>
              <w:t>0.90</w:t>
            </w:r>
          </w:p>
        </w:tc>
        <w:tc>
          <w:tcPr>
            <w:tcW w:w="1248" w:type="dxa"/>
            <w:shd w:val="clear" w:color="auto" w:fill="auto"/>
            <w:noWrap/>
            <w:vAlign w:val="center"/>
            <w:hideMark/>
          </w:tcPr>
          <w:p w14:paraId="19AB8BA4" w14:textId="77777777" w:rsidR="005A6228" w:rsidRPr="00806E12" w:rsidRDefault="005A6228" w:rsidP="007B0150">
            <w:pPr>
              <w:jc w:val="center"/>
              <w:rPr>
                <w:color w:val="000000"/>
              </w:rPr>
            </w:pPr>
            <w:r w:rsidRPr="00806E12">
              <w:rPr>
                <w:color w:val="000000"/>
              </w:rPr>
              <w:t>0.64</w:t>
            </w:r>
          </w:p>
        </w:tc>
      </w:tr>
      <w:tr w:rsidR="0093195C" w:rsidRPr="00292779" w14:paraId="06604209" w14:textId="77777777" w:rsidTr="008F3F33">
        <w:trPr>
          <w:trHeight w:val="236"/>
        </w:trPr>
        <w:tc>
          <w:tcPr>
            <w:tcW w:w="4295" w:type="dxa"/>
            <w:shd w:val="clear" w:color="auto" w:fill="auto"/>
            <w:vAlign w:val="center"/>
            <w:hideMark/>
          </w:tcPr>
          <w:p w14:paraId="06E5258C" w14:textId="77777777" w:rsidR="005A6228" w:rsidRPr="00806E12" w:rsidRDefault="005A6228" w:rsidP="007B0150">
            <w:r w:rsidRPr="00806E12">
              <w:t>BT weeknight-weekend discrepancy</w:t>
            </w:r>
          </w:p>
        </w:tc>
        <w:tc>
          <w:tcPr>
            <w:tcW w:w="599" w:type="dxa"/>
            <w:shd w:val="clear" w:color="auto" w:fill="auto"/>
            <w:noWrap/>
            <w:vAlign w:val="center"/>
            <w:hideMark/>
          </w:tcPr>
          <w:p w14:paraId="1FDE3092"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29FA1A2C" w14:textId="77777777" w:rsidR="005A6228" w:rsidRPr="00806E12" w:rsidRDefault="005A6228" w:rsidP="007B0150">
            <w:pPr>
              <w:jc w:val="center"/>
              <w:rPr>
                <w:color w:val="000000"/>
              </w:rPr>
            </w:pPr>
            <w:r w:rsidRPr="00806E12">
              <w:rPr>
                <w:color w:val="000000"/>
              </w:rPr>
              <w:t>3.81</w:t>
            </w:r>
          </w:p>
        </w:tc>
        <w:tc>
          <w:tcPr>
            <w:tcW w:w="769" w:type="dxa"/>
            <w:shd w:val="clear" w:color="auto" w:fill="auto"/>
            <w:noWrap/>
            <w:vAlign w:val="center"/>
            <w:hideMark/>
          </w:tcPr>
          <w:p w14:paraId="7ACAC83F" w14:textId="77777777" w:rsidR="005A6228" w:rsidRPr="00806E12" w:rsidRDefault="005A6228" w:rsidP="007B0150">
            <w:pPr>
              <w:jc w:val="center"/>
              <w:rPr>
                <w:color w:val="000000"/>
              </w:rPr>
            </w:pPr>
            <w:r w:rsidRPr="00806E12">
              <w:rPr>
                <w:color w:val="000000"/>
              </w:rPr>
              <w:t>0.15</w:t>
            </w:r>
          </w:p>
        </w:tc>
        <w:tc>
          <w:tcPr>
            <w:tcW w:w="332" w:type="dxa"/>
            <w:shd w:val="clear" w:color="auto" w:fill="auto"/>
            <w:noWrap/>
            <w:vAlign w:val="center"/>
            <w:hideMark/>
          </w:tcPr>
          <w:p w14:paraId="507116EA" w14:textId="77777777" w:rsidR="005A6228" w:rsidRPr="00806E12" w:rsidRDefault="005A6228" w:rsidP="007B0150">
            <w:pPr>
              <w:jc w:val="center"/>
              <w:rPr>
                <w:color w:val="000000"/>
              </w:rPr>
            </w:pPr>
          </w:p>
        </w:tc>
        <w:tc>
          <w:tcPr>
            <w:tcW w:w="630" w:type="dxa"/>
            <w:shd w:val="clear" w:color="auto" w:fill="auto"/>
            <w:noWrap/>
            <w:vAlign w:val="center"/>
            <w:hideMark/>
          </w:tcPr>
          <w:p w14:paraId="1D88FCEE"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B5BFBD9" w14:textId="77777777" w:rsidR="005A6228" w:rsidRPr="00806E12" w:rsidRDefault="005A6228" w:rsidP="007B0150">
            <w:pPr>
              <w:jc w:val="center"/>
              <w:rPr>
                <w:color w:val="000000"/>
              </w:rPr>
            </w:pPr>
            <w:r w:rsidRPr="00806E12">
              <w:rPr>
                <w:color w:val="000000"/>
              </w:rPr>
              <w:t>6.78</w:t>
            </w:r>
          </w:p>
        </w:tc>
        <w:tc>
          <w:tcPr>
            <w:tcW w:w="1246" w:type="dxa"/>
            <w:shd w:val="clear" w:color="auto" w:fill="auto"/>
            <w:noWrap/>
            <w:vAlign w:val="center"/>
            <w:hideMark/>
          </w:tcPr>
          <w:p w14:paraId="02D96EF4" w14:textId="77777777" w:rsidR="005A6228" w:rsidRPr="00806E12" w:rsidRDefault="005A6228" w:rsidP="007B0150">
            <w:pPr>
              <w:jc w:val="center"/>
              <w:rPr>
                <w:color w:val="000000"/>
              </w:rPr>
            </w:pPr>
            <w:r w:rsidRPr="00806E12">
              <w:rPr>
                <w:color w:val="000000"/>
              </w:rPr>
              <w:t>0.038</w:t>
            </w:r>
          </w:p>
        </w:tc>
        <w:tc>
          <w:tcPr>
            <w:tcW w:w="327" w:type="dxa"/>
            <w:shd w:val="clear" w:color="auto" w:fill="auto"/>
            <w:noWrap/>
            <w:vAlign w:val="center"/>
            <w:hideMark/>
          </w:tcPr>
          <w:p w14:paraId="6A82462D" w14:textId="77777777" w:rsidR="005A6228" w:rsidRPr="00806E12" w:rsidRDefault="005A6228" w:rsidP="007B0150">
            <w:pPr>
              <w:jc w:val="center"/>
              <w:rPr>
                <w:color w:val="000000"/>
              </w:rPr>
            </w:pPr>
          </w:p>
        </w:tc>
        <w:tc>
          <w:tcPr>
            <w:tcW w:w="669" w:type="dxa"/>
            <w:shd w:val="clear" w:color="auto" w:fill="auto"/>
            <w:noWrap/>
            <w:vAlign w:val="center"/>
            <w:hideMark/>
          </w:tcPr>
          <w:p w14:paraId="22CB2DC1"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7A703D3" w14:textId="77777777" w:rsidR="005A6228" w:rsidRPr="00806E12" w:rsidRDefault="005A6228" w:rsidP="007B0150">
            <w:pPr>
              <w:jc w:val="center"/>
              <w:rPr>
                <w:color w:val="000000"/>
              </w:rPr>
            </w:pPr>
            <w:r w:rsidRPr="00806E12">
              <w:rPr>
                <w:color w:val="000000"/>
              </w:rPr>
              <w:t>0.29</w:t>
            </w:r>
          </w:p>
        </w:tc>
        <w:tc>
          <w:tcPr>
            <w:tcW w:w="1248" w:type="dxa"/>
            <w:shd w:val="clear" w:color="auto" w:fill="auto"/>
            <w:noWrap/>
            <w:vAlign w:val="center"/>
            <w:hideMark/>
          </w:tcPr>
          <w:p w14:paraId="0D4AB722" w14:textId="77777777" w:rsidR="005A6228" w:rsidRPr="00806E12" w:rsidRDefault="005A6228" w:rsidP="007B0150">
            <w:pPr>
              <w:jc w:val="center"/>
              <w:rPr>
                <w:color w:val="000000"/>
              </w:rPr>
            </w:pPr>
            <w:r w:rsidRPr="00806E12">
              <w:rPr>
                <w:color w:val="000000"/>
              </w:rPr>
              <w:t>0.86</w:t>
            </w:r>
          </w:p>
        </w:tc>
      </w:tr>
      <w:tr w:rsidR="0093195C" w:rsidRPr="00292779" w14:paraId="1F861F3F" w14:textId="77777777" w:rsidTr="008F3F33">
        <w:trPr>
          <w:trHeight w:val="236"/>
        </w:trPr>
        <w:tc>
          <w:tcPr>
            <w:tcW w:w="4295" w:type="dxa"/>
            <w:shd w:val="clear" w:color="auto" w:fill="auto"/>
            <w:vAlign w:val="center"/>
            <w:hideMark/>
          </w:tcPr>
          <w:p w14:paraId="35D20CF7" w14:textId="77777777" w:rsidR="005A6228" w:rsidRPr="00806E12" w:rsidRDefault="005A6228" w:rsidP="007B0150">
            <w:proofErr w:type="spellStart"/>
            <w:r w:rsidRPr="00806E12">
              <w:t>WUP</w:t>
            </w:r>
            <w:proofErr w:type="spellEnd"/>
            <w:r w:rsidRPr="00806E12">
              <w:t xml:space="preserve"> weeknight-weekend discrepancy</w:t>
            </w:r>
          </w:p>
        </w:tc>
        <w:tc>
          <w:tcPr>
            <w:tcW w:w="599" w:type="dxa"/>
            <w:shd w:val="clear" w:color="auto" w:fill="auto"/>
            <w:noWrap/>
            <w:vAlign w:val="center"/>
            <w:hideMark/>
          </w:tcPr>
          <w:p w14:paraId="56483453"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2B0C30C4" w14:textId="77777777" w:rsidR="005A6228" w:rsidRPr="00806E12" w:rsidRDefault="005A6228" w:rsidP="007B0150">
            <w:pPr>
              <w:jc w:val="center"/>
              <w:rPr>
                <w:color w:val="000000"/>
              </w:rPr>
            </w:pPr>
            <w:r w:rsidRPr="00806E12">
              <w:rPr>
                <w:color w:val="000000"/>
              </w:rPr>
              <w:t>2.01</w:t>
            </w:r>
          </w:p>
        </w:tc>
        <w:tc>
          <w:tcPr>
            <w:tcW w:w="769" w:type="dxa"/>
            <w:shd w:val="clear" w:color="auto" w:fill="auto"/>
            <w:noWrap/>
            <w:vAlign w:val="center"/>
            <w:hideMark/>
          </w:tcPr>
          <w:p w14:paraId="0DB7962A" w14:textId="77777777" w:rsidR="005A6228" w:rsidRPr="00806E12" w:rsidRDefault="005A6228" w:rsidP="007B0150">
            <w:pPr>
              <w:jc w:val="center"/>
              <w:rPr>
                <w:color w:val="000000"/>
              </w:rPr>
            </w:pPr>
            <w:r w:rsidRPr="00806E12">
              <w:rPr>
                <w:color w:val="000000"/>
              </w:rPr>
              <w:t>0.37</w:t>
            </w:r>
          </w:p>
        </w:tc>
        <w:tc>
          <w:tcPr>
            <w:tcW w:w="332" w:type="dxa"/>
            <w:shd w:val="clear" w:color="auto" w:fill="auto"/>
            <w:noWrap/>
            <w:vAlign w:val="center"/>
            <w:hideMark/>
          </w:tcPr>
          <w:p w14:paraId="57087D42" w14:textId="77777777" w:rsidR="005A6228" w:rsidRPr="00806E12" w:rsidRDefault="005A6228" w:rsidP="007B0150">
            <w:pPr>
              <w:jc w:val="center"/>
              <w:rPr>
                <w:color w:val="000000"/>
              </w:rPr>
            </w:pPr>
          </w:p>
        </w:tc>
        <w:tc>
          <w:tcPr>
            <w:tcW w:w="630" w:type="dxa"/>
            <w:shd w:val="clear" w:color="auto" w:fill="auto"/>
            <w:noWrap/>
            <w:vAlign w:val="center"/>
            <w:hideMark/>
          </w:tcPr>
          <w:p w14:paraId="7BBA290F"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FC62DB8" w14:textId="77777777" w:rsidR="005A6228" w:rsidRPr="00806E12" w:rsidRDefault="005A6228" w:rsidP="007B0150">
            <w:pPr>
              <w:jc w:val="center"/>
              <w:rPr>
                <w:color w:val="000000"/>
              </w:rPr>
            </w:pPr>
            <w:r w:rsidRPr="00806E12">
              <w:rPr>
                <w:color w:val="000000"/>
              </w:rPr>
              <w:t>2.47</w:t>
            </w:r>
          </w:p>
        </w:tc>
        <w:tc>
          <w:tcPr>
            <w:tcW w:w="1246" w:type="dxa"/>
            <w:shd w:val="clear" w:color="auto" w:fill="auto"/>
            <w:noWrap/>
            <w:vAlign w:val="center"/>
            <w:hideMark/>
          </w:tcPr>
          <w:p w14:paraId="60D4BCB1" w14:textId="77777777" w:rsidR="005A6228" w:rsidRPr="00806E12" w:rsidRDefault="005A6228" w:rsidP="007B0150">
            <w:pPr>
              <w:jc w:val="center"/>
              <w:rPr>
                <w:color w:val="000000"/>
              </w:rPr>
            </w:pPr>
            <w:r w:rsidRPr="00806E12">
              <w:rPr>
                <w:color w:val="000000"/>
              </w:rPr>
              <w:t>0.29</w:t>
            </w:r>
          </w:p>
        </w:tc>
        <w:tc>
          <w:tcPr>
            <w:tcW w:w="327" w:type="dxa"/>
            <w:shd w:val="clear" w:color="auto" w:fill="auto"/>
            <w:noWrap/>
            <w:vAlign w:val="center"/>
            <w:hideMark/>
          </w:tcPr>
          <w:p w14:paraId="5C57ABC4" w14:textId="77777777" w:rsidR="005A6228" w:rsidRPr="00806E12" w:rsidRDefault="005A6228" w:rsidP="007B0150">
            <w:pPr>
              <w:jc w:val="center"/>
              <w:rPr>
                <w:color w:val="000000"/>
              </w:rPr>
            </w:pPr>
          </w:p>
        </w:tc>
        <w:tc>
          <w:tcPr>
            <w:tcW w:w="669" w:type="dxa"/>
            <w:shd w:val="clear" w:color="auto" w:fill="auto"/>
            <w:noWrap/>
            <w:vAlign w:val="center"/>
            <w:hideMark/>
          </w:tcPr>
          <w:p w14:paraId="2A655366"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C3D37B1" w14:textId="77777777" w:rsidR="005A6228" w:rsidRPr="00806E12" w:rsidRDefault="005A6228" w:rsidP="007B0150">
            <w:pPr>
              <w:jc w:val="center"/>
              <w:rPr>
                <w:color w:val="000000"/>
              </w:rPr>
            </w:pPr>
            <w:r w:rsidRPr="00806E12">
              <w:rPr>
                <w:color w:val="000000"/>
              </w:rPr>
              <w:t>0.86</w:t>
            </w:r>
          </w:p>
        </w:tc>
        <w:tc>
          <w:tcPr>
            <w:tcW w:w="1248" w:type="dxa"/>
            <w:shd w:val="clear" w:color="auto" w:fill="auto"/>
            <w:noWrap/>
            <w:vAlign w:val="center"/>
            <w:hideMark/>
          </w:tcPr>
          <w:p w14:paraId="238E274B" w14:textId="77777777" w:rsidR="005A6228" w:rsidRPr="00806E12" w:rsidRDefault="005A6228" w:rsidP="007B0150">
            <w:pPr>
              <w:jc w:val="center"/>
              <w:rPr>
                <w:color w:val="000000"/>
              </w:rPr>
            </w:pPr>
            <w:r w:rsidRPr="00806E12">
              <w:rPr>
                <w:color w:val="000000"/>
              </w:rPr>
              <w:t>0.65</w:t>
            </w:r>
          </w:p>
        </w:tc>
      </w:tr>
      <w:tr w:rsidR="0093195C" w:rsidRPr="00292779" w14:paraId="7430AD0A" w14:textId="77777777" w:rsidTr="008F3F33">
        <w:trPr>
          <w:trHeight w:val="236"/>
        </w:trPr>
        <w:tc>
          <w:tcPr>
            <w:tcW w:w="4295" w:type="dxa"/>
            <w:shd w:val="clear" w:color="auto" w:fill="auto"/>
            <w:vAlign w:val="center"/>
            <w:hideMark/>
          </w:tcPr>
          <w:p w14:paraId="776973CC" w14:textId="77777777" w:rsidR="005A6228" w:rsidRPr="00806E12" w:rsidRDefault="005A6228" w:rsidP="007B0150">
            <w:r w:rsidRPr="00806E12">
              <w:t>Sleepiness</w:t>
            </w:r>
          </w:p>
        </w:tc>
        <w:tc>
          <w:tcPr>
            <w:tcW w:w="599" w:type="dxa"/>
            <w:shd w:val="clear" w:color="auto" w:fill="auto"/>
            <w:noWrap/>
            <w:vAlign w:val="center"/>
            <w:hideMark/>
          </w:tcPr>
          <w:p w14:paraId="238C56FE"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59F207BE" w14:textId="77777777" w:rsidR="005A6228" w:rsidRPr="00806E12" w:rsidRDefault="005A6228" w:rsidP="007B0150">
            <w:pPr>
              <w:jc w:val="center"/>
              <w:rPr>
                <w:color w:val="000000"/>
              </w:rPr>
            </w:pPr>
            <w:r w:rsidRPr="00806E12">
              <w:rPr>
                <w:color w:val="000000"/>
              </w:rPr>
              <w:t>3.96</w:t>
            </w:r>
          </w:p>
        </w:tc>
        <w:tc>
          <w:tcPr>
            <w:tcW w:w="769" w:type="dxa"/>
            <w:shd w:val="clear" w:color="auto" w:fill="auto"/>
            <w:noWrap/>
            <w:vAlign w:val="center"/>
            <w:hideMark/>
          </w:tcPr>
          <w:p w14:paraId="351FEA14" w14:textId="77777777" w:rsidR="005A6228" w:rsidRPr="00806E12" w:rsidRDefault="005A6228" w:rsidP="007B0150">
            <w:pPr>
              <w:jc w:val="center"/>
              <w:rPr>
                <w:color w:val="000000"/>
              </w:rPr>
            </w:pPr>
            <w:r w:rsidRPr="00806E12">
              <w:rPr>
                <w:color w:val="000000"/>
              </w:rPr>
              <w:t>0.14</w:t>
            </w:r>
          </w:p>
        </w:tc>
        <w:tc>
          <w:tcPr>
            <w:tcW w:w="332" w:type="dxa"/>
            <w:shd w:val="clear" w:color="auto" w:fill="auto"/>
            <w:noWrap/>
            <w:vAlign w:val="center"/>
            <w:hideMark/>
          </w:tcPr>
          <w:p w14:paraId="2463C3E1" w14:textId="77777777" w:rsidR="005A6228" w:rsidRPr="00806E12" w:rsidRDefault="005A6228" w:rsidP="007B0150">
            <w:pPr>
              <w:jc w:val="center"/>
              <w:rPr>
                <w:color w:val="000000"/>
              </w:rPr>
            </w:pPr>
          </w:p>
        </w:tc>
        <w:tc>
          <w:tcPr>
            <w:tcW w:w="630" w:type="dxa"/>
            <w:shd w:val="clear" w:color="auto" w:fill="auto"/>
            <w:noWrap/>
            <w:vAlign w:val="center"/>
            <w:hideMark/>
          </w:tcPr>
          <w:p w14:paraId="225E5493"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17DF49F8" w14:textId="77777777" w:rsidR="005A6228" w:rsidRPr="00806E12" w:rsidRDefault="005A6228" w:rsidP="007B0150">
            <w:pPr>
              <w:jc w:val="center"/>
              <w:rPr>
                <w:color w:val="000000"/>
              </w:rPr>
            </w:pPr>
            <w:r w:rsidRPr="00806E12">
              <w:rPr>
                <w:color w:val="000000"/>
              </w:rPr>
              <w:t>3.52</w:t>
            </w:r>
          </w:p>
        </w:tc>
        <w:tc>
          <w:tcPr>
            <w:tcW w:w="1246" w:type="dxa"/>
            <w:shd w:val="clear" w:color="auto" w:fill="auto"/>
            <w:noWrap/>
            <w:vAlign w:val="center"/>
            <w:hideMark/>
          </w:tcPr>
          <w:p w14:paraId="6C257C44" w14:textId="77777777" w:rsidR="005A6228" w:rsidRPr="00806E12" w:rsidRDefault="005A6228" w:rsidP="007B0150">
            <w:pPr>
              <w:jc w:val="center"/>
              <w:rPr>
                <w:color w:val="000000"/>
              </w:rPr>
            </w:pPr>
            <w:r w:rsidRPr="00806E12">
              <w:rPr>
                <w:color w:val="000000"/>
              </w:rPr>
              <w:t>0.17</w:t>
            </w:r>
          </w:p>
        </w:tc>
        <w:tc>
          <w:tcPr>
            <w:tcW w:w="327" w:type="dxa"/>
            <w:shd w:val="clear" w:color="auto" w:fill="auto"/>
            <w:noWrap/>
            <w:vAlign w:val="center"/>
            <w:hideMark/>
          </w:tcPr>
          <w:p w14:paraId="751D4059" w14:textId="77777777" w:rsidR="005A6228" w:rsidRPr="00806E12" w:rsidRDefault="005A6228" w:rsidP="007B0150">
            <w:pPr>
              <w:jc w:val="center"/>
              <w:rPr>
                <w:color w:val="000000"/>
              </w:rPr>
            </w:pPr>
          </w:p>
        </w:tc>
        <w:tc>
          <w:tcPr>
            <w:tcW w:w="669" w:type="dxa"/>
            <w:shd w:val="clear" w:color="auto" w:fill="auto"/>
            <w:noWrap/>
            <w:vAlign w:val="center"/>
            <w:hideMark/>
          </w:tcPr>
          <w:p w14:paraId="7E3A9C13"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9828DF3" w14:textId="77777777" w:rsidR="005A6228" w:rsidRPr="00806E12" w:rsidRDefault="005A6228" w:rsidP="007B0150">
            <w:pPr>
              <w:jc w:val="center"/>
              <w:rPr>
                <w:color w:val="000000"/>
              </w:rPr>
            </w:pPr>
            <w:r w:rsidRPr="00806E12">
              <w:rPr>
                <w:color w:val="000000"/>
              </w:rPr>
              <w:t>4.44</w:t>
            </w:r>
          </w:p>
        </w:tc>
        <w:tc>
          <w:tcPr>
            <w:tcW w:w="1248" w:type="dxa"/>
            <w:shd w:val="clear" w:color="auto" w:fill="auto"/>
            <w:noWrap/>
            <w:vAlign w:val="center"/>
            <w:hideMark/>
          </w:tcPr>
          <w:p w14:paraId="108C5F4C" w14:textId="77777777" w:rsidR="005A6228" w:rsidRPr="00806E12" w:rsidRDefault="005A6228" w:rsidP="007B0150">
            <w:pPr>
              <w:jc w:val="center"/>
              <w:rPr>
                <w:color w:val="000000"/>
              </w:rPr>
            </w:pPr>
            <w:r w:rsidRPr="00806E12">
              <w:rPr>
                <w:color w:val="000000"/>
              </w:rPr>
              <w:t>0.11</w:t>
            </w:r>
          </w:p>
        </w:tc>
      </w:tr>
      <w:tr w:rsidR="0093195C" w:rsidRPr="00292779" w14:paraId="65E04F79" w14:textId="77777777" w:rsidTr="008F3F33">
        <w:trPr>
          <w:trHeight w:val="236"/>
        </w:trPr>
        <w:tc>
          <w:tcPr>
            <w:tcW w:w="4295" w:type="dxa"/>
            <w:shd w:val="clear" w:color="auto" w:fill="auto"/>
            <w:vAlign w:val="center"/>
            <w:hideMark/>
          </w:tcPr>
          <w:p w14:paraId="0A6B4EF3" w14:textId="77777777" w:rsidR="005A6228" w:rsidRPr="00806E12" w:rsidRDefault="005A6228" w:rsidP="007B0150">
            <w:proofErr w:type="spellStart"/>
            <w:r w:rsidRPr="00806E12">
              <w:t>PSQI</w:t>
            </w:r>
            <w:proofErr w:type="spellEnd"/>
          </w:p>
        </w:tc>
        <w:tc>
          <w:tcPr>
            <w:tcW w:w="599" w:type="dxa"/>
            <w:shd w:val="clear" w:color="auto" w:fill="auto"/>
            <w:noWrap/>
            <w:vAlign w:val="center"/>
            <w:hideMark/>
          </w:tcPr>
          <w:p w14:paraId="51C06C8F"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5E119133" w14:textId="77777777" w:rsidR="005A6228" w:rsidRPr="00806E12" w:rsidRDefault="005A6228" w:rsidP="007B0150">
            <w:pPr>
              <w:jc w:val="center"/>
              <w:rPr>
                <w:color w:val="000000"/>
              </w:rPr>
            </w:pPr>
            <w:r w:rsidRPr="00806E12">
              <w:rPr>
                <w:color w:val="000000"/>
              </w:rPr>
              <w:t>2.66</w:t>
            </w:r>
          </w:p>
        </w:tc>
        <w:tc>
          <w:tcPr>
            <w:tcW w:w="769" w:type="dxa"/>
            <w:shd w:val="clear" w:color="auto" w:fill="auto"/>
            <w:noWrap/>
            <w:vAlign w:val="center"/>
            <w:hideMark/>
          </w:tcPr>
          <w:p w14:paraId="62FC36E7" w14:textId="77777777" w:rsidR="005A6228" w:rsidRPr="00806E12" w:rsidRDefault="005A6228" w:rsidP="007B0150">
            <w:pPr>
              <w:jc w:val="center"/>
              <w:rPr>
                <w:color w:val="000000"/>
              </w:rPr>
            </w:pPr>
            <w:r w:rsidRPr="00806E12">
              <w:rPr>
                <w:color w:val="000000"/>
              </w:rPr>
              <w:t>0.26</w:t>
            </w:r>
          </w:p>
        </w:tc>
        <w:tc>
          <w:tcPr>
            <w:tcW w:w="332" w:type="dxa"/>
            <w:shd w:val="clear" w:color="auto" w:fill="auto"/>
            <w:noWrap/>
            <w:vAlign w:val="center"/>
            <w:hideMark/>
          </w:tcPr>
          <w:p w14:paraId="00D332E9" w14:textId="77777777" w:rsidR="005A6228" w:rsidRPr="00806E12" w:rsidRDefault="005A6228" w:rsidP="007B0150">
            <w:pPr>
              <w:jc w:val="center"/>
              <w:rPr>
                <w:color w:val="000000"/>
              </w:rPr>
            </w:pPr>
          </w:p>
        </w:tc>
        <w:tc>
          <w:tcPr>
            <w:tcW w:w="630" w:type="dxa"/>
            <w:shd w:val="clear" w:color="auto" w:fill="auto"/>
            <w:noWrap/>
            <w:vAlign w:val="center"/>
            <w:hideMark/>
          </w:tcPr>
          <w:p w14:paraId="4154B2D7"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95DC3A9" w14:textId="77777777" w:rsidR="005A6228" w:rsidRPr="00806E12" w:rsidRDefault="005A6228" w:rsidP="007B0150">
            <w:pPr>
              <w:jc w:val="center"/>
              <w:rPr>
                <w:color w:val="000000"/>
              </w:rPr>
            </w:pPr>
            <w:r w:rsidRPr="00806E12">
              <w:rPr>
                <w:color w:val="000000"/>
              </w:rPr>
              <w:t>3.28</w:t>
            </w:r>
          </w:p>
        </w:tc>
        <w:tc>
          <w:tcPr>
            <w:tcW w:w="1246" w:type="dxa"/>
            <w:shd w:val="clear" w:color="auto" w:fill="auto"/>
            <w:noWrap/>
            <w:vAlign w:val="center"/>
            <w:hideMark/>
          </w:tcPr>
          <w:p w14:paraId="4D2822BB" w14:textId="77777777" w:rsidR="005A6228" w:rsidRPr="00806E12" w:rsidRDefault="005A6228" w:rsidP="007B0150">
            <w:pPr>
              <w:jc w:val="center"/>
              <w:rPr>
                <w:color w:val="000000"/>
              </w:rPr>
            </w:pPr>
            <w:r w:rsidRPr="00806E12">
              <w:rPr>
                <w:color w:val="000000"/>
              </w:rPr>
              <w:t>0.19</w:t>
            </w:r>
          </w:p>
        </w:tc>
        <w:tc>
          <w:tcPr>
            <w:tcW w:w="327" w:type="dxa"/>
            <w:shd w:val="clear" w:color="auto" w:fill="auto"/>
            <w:noWrap/>
            <w:vAlign w:val="center"/>
            <w:hideMark/>
          </w:tcPr>
          <w:p w14:paraId="17C92ED6" w14:textId="77777777" w:rsidR="005A6228" w:rsidRPr="00806E12" w:rsidRDefault="005A6228" w:rsidP="007B0150">
            <w:pPr>
              <w:jc w:val="center"/>
              <w:rPr>
                <w:color w:val="000000"/>
              </w:rPr>
            </w:pPr>
          </w:p>
        </w:tc>
        <w:tc>
          <w:tcPr>
            <w:tcW w:w="669" w:type="dxa"/>
            <w:shd w:val="clear" w:color="auto" w:fill="auto"/>
            <w:noWrap/>
            <w:vAlign w:val="center"/>
            <w:hideMark/>
          </w:tcPr>
          <w:p w14:paraId="1C16857C"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70BB34D" w14:textId="77777777" w:rsidR="005A6228" w:rsidRPr="00806E12" w:rsidRDefault="005A6228" w:rsidP="007B0150">
            <w:pPr>
              <w:jc w:val="center"/>
              <w:rPr>
                <w:color w:val="000000"/>
              </w:rPr>
            </w:pPr>
            <w:r w:rsidRPr="00806E12">
              <w:rPr>
                <w:color w:val="000000"/>
              </w:rPr>
              <w:t>0.09</w:t>
            </w:r>
          </w:p>
        </w:tc>
        <w:tc>
          <w:tcPr>
            <w:tcW w:w="1248" w:type="dxa"/>
            <w:shd w:val="clear" w:color="auto" w:fill="auto"/>
            <w:noWrap/>
            <w:vAlign w:val="center"/>
            <w:hideMark/>
          </w:tcPr>
          <w:p w14:paraId="06EA4EDE" w14:textId="77777777" w:rsidR="005A6228" w:rsidRPr="00806E12" w:rsidRDefault="005A6228" w:rsidP="007B0150">
            <w:pPr>
              <w:jc w:val="center"/>
              <w:rPr>
                <w:color w:val="000000"/>
              </w:rPr>
            </w:pPr>
            <w:r w:rsidRPr="00806E12">
              <w:rPr>
                <w:color w:val="000000"/>
              </w:rPr>
              <w:t>0.96</w:t>
            </w:r>
          </w:p>
        </w:tc>
      </w:tr>
      <w:tr w:rsidR="0093195C" w:rsidRPr="00292779" w14:paraId="78CEC335" w14:textId="77777777" w:rsidTr="008F3F33">
        <w:trPr>
          <w:trHeight w:val="236"/>
        </w:trPr>
        <w:tc>
          <w:tcPr>
            <w:tcW w:w="4295" w:type="dxa"/>
            <w:shd w:val="clear" w:color="auto" w:fill="auto"/>
            <w:vAlign w:val="center"/>
            <w:hideMark/>
          </w:tcPr>
          <w:p w14:paraId="6955B0F7" w14:textId="77777777" w:rsidR="005A6228" w:rsidRPr="00806E12" w:rsidRDefault="005A6228" w:rsidP="007B0150">
            <w:r w:rsidRPr="00806E12">
              <w:t>CBCL Sleep Composite</w:t>
            </w:r>
          </w:p>
        </w:tc>
        <w:tc>
          <w:tcPr>
            <w:tcW w:w="599" w:type="dxa"/>
            <w:shd w:val="clear" w:color="auto" w:fill="auto"/>
            <w:noWrap/>
            <w:vAlign w:val="center"/>
            <w:hideMark/>
          </w:tcPr>
          <w:p w14:paraId="1772F609"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05565E0" w14:textId="77777777" w:rsidR="005A6228" w:rsidRPr="00806E12" w:rsidRDefault="005A6228" w:rsidP="007B0150">
            <w:pPr>
              <w:jc w:val="center"/>
              <w:rPr>
                <w:color w:val="000000"/>
              </w:rPr>
            </w:pPr>
            <w:r w:rsidRPr="00806E12">
              <w:rPr>
                <w:color w:val="000000"/>
              </w:rPr>
              <w:t>2.73</w:t>
            </w:r>
          </w:p>
        </w:tc>
        <w:tc>
          <w:tcPr>
            <w:tcW w:w="769" w:type="dxa"/>
            <w:shd w:val="clear" w:color="auto" w:fill="auto"/>
            <w:noWrap/>
            <w:vAlign w:val="center"/>
            <w:hideMark/>
          </w:tcPr>
          <w:p w14:paraId="57321B77" w14:textId="77777777" w:rsidR="005A6228" w:rsidRPr="00806E12" w:rsidRDefault="005A6228" w:rsidP="007B0150">
            <w:pPr>
              <w:jc w:val="center"/>
              <w:rPr>
                <w:color w:val="000000"/>
              </w:rPr>
            </w:pPr>
            <w:r w:rsidRPr="00806E12">
              <w:rPr>
                <w:color w:val="000000"/>
              </w:rPr>
              <w:t>0.26</w:t>
            </w:r>
          </w:p>
        </w:tc>
        <w:tc>
          <w:tcPr>
            <w:tcW w:w="332" w:type="dxa"/>
            <w:shd w:val="clear" w:color="auto" w:fill="auto"/>
            <w:noWrap/>
            <w:vAlign w:val="center"/>
            <w:hideMark/>
          </w:tcPr>
          <w:p w14:paraId="38547CF2" w14:textId="77777777" w:rsidR="005A6228" w:rsidRPr="00806E12" w:rsidRDefault="005A6228" w:rsidP="007B0150">
            <w:pPr>
              <w:jc w:val="center"/>
              <w:rPr>
                <w:color w:val="000000"/>
              </w:rPr>
            </w:pPr>
          </w:p>
        </w:tc>
        <w:tc>
          <w:tcPr>
            <w:tcW w:w="630" w:type="dxa"/>
            <w:shd w:val="clear" w:color="auto" w:fill="auto"/>
            <w:noWrap/>
            <w:vAlign w:val="center"/>
            <w:hideMark/>
          </w:tcPr>
          <w:p w14:paraId="1C4A2C27"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48C9EA5" w14:textId="77777777" w:rsidR="005A6228" w:rsidRPr="00806E12" w:rsidRDefault="005A6228" w:rsidP="007B0150">
            <w:pPr>
              <w:jc w:val="center"/>
              <w:rPr>
                <w:color w:val="000000"/>
              </w:rPr>
            </w:pPr>
            <w:r w:rsidRPr="00806E12">
              <w:rPr>
                <w:color w:val="000000"/>
              </w:rPr>
              <w:t>0.34</w:t>
            </w:r>
          </w:p>
        </w:tc>
        <w:tc>
          <w:tcPr>
            <w:tcW w:w="1246" w:type="dxa"/>
            <w:shd w:val="clear" w:color="auto" w:fill="auto"/>
            <w:noWrap/>
            <w:vAlign w:val="center"/>
            <w:hideMark/>
          </w:tcPr>
          <w:p w14:paraId="01AF0EEA" w14:textId="77777777" w:rsidR="005A6228" w:rsidRPr="00806E12" w:rsidRDefault="005A6228" w:rsidP="007B0150">
            <w:pPr>
              <w:jc w:val="center"/>
              <w:rPr>
                <w:color w:val="000000"/>
              </w:rPr>
            </w:pPr>
            <w:r w:rsidRPr="00806E12">
              <w:rPr>
                <w:color w:val="000000"/>
              </w:rPr>
              <w:t>0.84</w:t>
            </w:r>
          </w:p>
        </w:tc>
        <w:tc>
          <w:tcPr>
            <w:tcW w:w="327" w:type="dxa"/>
            <w:shd w:val="clear" w:color="auto" w:fill="auto"/>
            <w:noWrap/>
            <w:vAlign w:val="center"/>
            <w:hideMark/>
          </w:tcPr>
          <w:p w14:paraId="33DBDADC" w14:textId="77777777" w:rsidR="005A6228" w:rsidRPr="00806E12" w:rsidRDefault="005A6228" w:rsidP="007B0150">
            <w:pPr>
              <w:jc w:val="center"/>
              <w:rPr>
                <w:color w:val="000000"/>
              </w:rPr>
            </w:pPr>
          </w:p>
        </w:tc>
        <w:tc>
          <w:tcPr>
            <w:tcW w:w="669" w:type="dxa"/>
            <w:shd w:val="clear" w:color="auto" w:fill="auto"/>
            <w:noWrap/>
            <w:vAlign w:val="center"/>
            <w:hideMark/>
          </w:tcPr>
          <w:p w14:paraId="1467F814"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3A4CCB0" w14:textId="77777777" w:rsidR="005A6228" w:rsidRPr="00806E12" w:rsidRDefault="005A6228" w:rsidP="007B0150">
            <w:pPr>
              <w:jc w:val="center"/>
              <w:rPr>
                <w:color w:val="000000"/>
              </w:rPr>
            </w:pPr>
            <w:r w:rsidRPr="00806E12">
              <w:rPr>
                <w:color w:val="000000"/>
              </w:rPr>
              <w:t>3.02</w:t>
            </w:r>
          </w:p>
        </w:tc>
        <w:tc>
          <w:tcPr>
            <w:tcW w:w="1248" w:type="dxa"/>
            <w:shd w:val="clear" w:color="auto" w:fill="auto"/>
            <w:noWrap/>
            <w:vAlign w:val="center"/>
            <w:hideMark/>
          </w:tcPr>
          <w:p w14:paraId="144D6956" w14:textId="77777777" w:rsidR="005A6228" w:rsidRPr="00806E12" w:rsidRDefault="005A6228" w:rsidP="007B0150">
            <w:pPr>
              <w:jc w:val="center"/>
              <w:rPr>
                <w:color w:val="000000"/>
              </w:rPr>
            </w:pPr>
            <w:r w:rsidRPr="00806E12">
              <w:rPr>
                <w:color w:val="000000"/>
              </w:rPr>
              <w:t>0.22</w:t>
            </w:r>
          </w:p>
        </w:tc>
      </w:tr>
      <w:tr w:rsidR="004F4C5D" w:rsidRPr="00292779" w14:paraId="48696ECE" w14:textId="77777777" w:rsidTr="008F3F33">
        <w:trPr>
          <w:trHeight w:val="236"/>
        </w:trPr>
        <w:tc>
          <w:tcPr>
            <w:tcW w:w="4295" w:type="dxa"/>
            <w:shd w:val="clear" w:color="auto" w:fill="auto"/>
            <w:vAlign w:val="center"/>
            <w:hideMark/>
          </w:tcPr>
          <w:p w14:paraId="2F23C696" w14:textId="77777777" w:rsidR="005A6228" w:rsidRPr="00806E12" w:rsidRDefault="005A6228" w:rsidP="007B0150">
            <w:r w:rsidRPr="00806E12">
              <w:t>CMEP*</w:t>
            </w:r>
          </w:p>
        </w:tc>
        <w:tc>
          <w:tcPr>
            <w:tcW w:w="599" w:type="dxa"/>
            <w:shd w:val="clear" w:color="auto" w:fill="auto"/>
            <w:noWrap/>
            <w:vAlign w:val="center"/>
            <w:hideMark/>
          </w:tcPr>
          <w:p w14:paraId="0A862590" w14:textId="77777777" w:rsidR="005A6228" w:rsidRPr="00806E12" w:rsidRDefault="005A6228" w:rsidP="007B0150">
            <w:pPr>
              <w:jc w:val="center"/>
            </w:pPr>
            <w:r w:rsidRPr="00806E12">
              <w:t>2</w:t>
            </w:r>
          </w:p>
        </w:tc>
        <w:tc>
          <w:tcPr>
            <w:tcW w:w="769" w:type="dxa"/>
            <w:shd w:val="clear" w:color="auto" w:fill="auto"/>
            <w:noWrap/>
            <w:vAlign w:val="center"/>
            <w:hideMark/>
          </w:tcPr>
          <w:p w14:paraId="575BBA36" w14:textId="77777777" w:rsidR="005A6228" w:rsidRPr="00806E12" w:rsidRDefault="005A6228" w:rsidP="007B0150">
            <w:pPr>
              <w:jc w:val="center"/>
            </w:pPr>
            <w:r w:rsidRPr="00806E12">
              <w:t>0.20</w:t>
            </w:r>
          </w:p>
        </w:tc>
        <w:tc>
          <w:tcPr>
            <w:tcW w:w="769" w:type="dxa"/>
            <w:shd w:val="clear" w:color="auto" w:fill="auto"/>
            <w:noWrap/>
            <w:vAlign w:val="center"/>
            <w:hideMark/>
          </w:tcPr>
          <w:p w14:paraId="75038C98" w14:textId="77777777" w:rsidR="005A6228" w:rsidRPr="00806E12" w:rsidRDefault="005A6228" w:rsidP="007B0150">
            <w:pPr>
              <w:jc w:val="center"/>
            </w:pPr>
            <w:r w:rsidRPr="00806E12">
              <w:t>0.90</w:t>
            </w:r>
          </w:p>
        </w:tc>
        <w:tc>
          <w:tcPr>
            <w:tcW w:w="332" w:type="dxa"/>
            <w:shd w:val="clear" w:color="auto" w:fill="auto"/>
            <w:noWrap/>
            <w:vAlign w:val="center"/>
            <w:hideMark/>
          </w:tcPr>
          <w:p w14:paraId="2435A166" w14:textId="77777777" w:rsidR="005A6228" w:rsidRPr="00806E12" w:rsidRDefault="005A6228" w:rsidP="007B0150">
            <w:pPr>
              <w:jc w:val="center"/>
            </w:pPr>
          </w:p>
        </w:tc>
        <w:tc>
          <w:tcPr>
            <w:tcW w:w="630" w:type="dxa"/>
            <w:shd w:val="clear" w:color="auto" w:fill="auto"/>
            <w:noWrap/>
            <w:vAlign w:val="center"/>
            <w:hideMark/>
          </w:tcPr>
          <w:p w14:paraId="387D9B66" w14:textId="77777777" w:rsidR="005A6228" w:rsidRPr="00806E12" w:rsidRDefault="005A6228" w:rsidP="007B0150">
            <w:pPr>
              <w:jc w:val="center"/>
            </w:pPr>
            <w:r w:rsidRPr="00806E12">
              <w:t>2</w:t>
            </w:r>
          </w:p>
        </w:tc>
        <w:tc>
          <w:tcPr>
            <w:tcW w:w="888" w:type="dxa"/>
            <w:shd w:val="clear" w:color="auto" w:fill="auto"/>
            <w:noWrap/>
            <w:vAlign w:val="center"/>
            <w:hideMark/>
          </w:tcPr>
          <w:p w14:paraId="45BF6D9F" w14:textId="77777777" w:rsidR="005A6228" w:rsidRPr="00806E12" w:rsidRDefault="005A6228" w:rsidP="007B0150">
            <w:pPr>
              <w:jc w:val="center"/>
            </w:pPr>
            <w:r w:rsidRPr="00806E12">
              <w:t>0.33</w:t>
            </w:r>
          </w:p>
        </w:tc>
        <w:tc>
          <w:tcPr>
            <w:tcW w:w="1246" w:type="dxa"/>
            <w:shd w:val="clear" w:color="auto" w:fill="auto"/>
            <w:noWrap/>
            <w:vAlign w:val="center"/>
            <w:hideMark/>
          </w:tcPr>
          <w:p w14:paraId="5BDD573C" w14:textId="77777777" w:rsidR="005A6228" w:rsidRPr="00806E12" w:rsidRDefault="005A6228" w:rsidP="007B0150">
            <w:pPr>
              <w:jc w:val="center"/>
            </w:pPr>
            <w:r w:rsidRPr="00806E12">
              <w:t>0.85</w:t>
            </w:r>
          </w:p>
        </w:tc>
        <w:tc>
          <w:tcPr>
            <w:tcW w:w="327" w:type="dxa"/>
            <w:shd w:val="clear" w:color="auto" w:fill="auto"/>
            <w:noWrap/>
            <w:vAlign w:val="center"/>
            <w:hideMark/>
          </w:tcPr>
          <w:p w14:paraId="556876E8" w14:textId="77777777" w:rsidR="005A6228" w:rsidRPr="00806E12" w:rsidRDefault="005A6228" w:rsidP="007B0150">
            <w:pPr>
              <w:jc w:val="center"/>
            </w:pPr>
          </w:p>
        </w:tc>
        <w:tc>
          <w:tcPr>
            <w:tcW w:w="669" w:type="dxa"/>
            <w:shd w:val="clear" w:color="auto" w:fill="auto"/>
            <w:noWrap/>
            <w:vAlign w:val="center"/>
            <w:hideMark/>
          </w:tcPr>
          <w:p w14:paraId="23A68184" w14:textId="77777777" w:rsidR="005A6228" w:rsidRPr="00806E12" w:rsidRDefault="005A6228" w:rsidP="007B0150">
            <w:pPr>
              <w:jc w:val="center"/>
            </w:pPr>
            <w:r w:rsidRPr="00806E12">
              <w:t>2</w:t>
            </w:r>
          </w:p>
        </w:tc>
        <w:tc>
          <w:tcPr>
            <w:tcW w:w="888" w:type="dxa"/>
            <w:shd w:val="clear" w:color="auto" w:fill="auto"/>
            <w:noWrap/>
            <w:vAlign w:val="center"/>
            <w:hideMark/>
          </w:tcPr>
          <w:p w14:paraId="45C3799F" w14:textId="77777777" w:rsidR="005A6228" w:rsidRPr="00806E12" w:rsidRDefault="005A6228" w:rsidP="007B0150">
            <w:pPr>
              <w:jc w:val="center"/>
            </w:pPr>
            <w:r w:rsidRPr="00806E12">
              <w:t>8.14</w:t>
            </w:r>
          </w:p>
        </w:tc>
        <w:tc>
          <w:tcPr>
            <w:tcW w:w="1248" w:type="dxa"/>
            <w:shd w:val="clear" w:color="auto" w:fill="auto"/>
            <w:noWrap/>
            <w:vAlign w:val="center"/>
            <w:hideMark/>
          </w:tcPr>
          <w:p w14:paraId="771DAC57" w14:textId="77777777" w:rsidR="005A6228" w:rsidRPr="00806E12" w:rsidRDefault="005A6228" w:rsidP="007B0150">
            <w:pPr>
              <w:jc w:val="center"/>
            </w:pPr>
            <w:r w:rsidRPr="00806E12">
              <w:t>0.017</w:t>
            </w:r>
          </w:p>
        </w:tc>
      </w:tr>
      <w:tr w:rsidR="0093195C" w:rsidRPr="00292779" w14:paraId="38A5B3EB" w14:textId="77777777" w:rsidTr="008F3F33">
        <w:trPr>
          <w:trHeight w:val="236"/>
        </w:trPr>
        <w:tc>
          <w:tcPr>
            <w:tcW w:w="4295" w:type="dxa"/>
            <w:shd w:val="clear" w:color="auto" w:fill="auto"/>
            <w:noWrap/>
            <w:vAlign w:val="bottom"/>
          </w:tcPr>
          <w:p w14:paraId="0FCCAF94" w14:textId="77777777" w:rsidR="005A6228" w:rsidRPr="00292779" w:rsidRDefault="005A6228" w:rsidP="007B0150"/>
        </w:tc>
        <w:tc>
          <w:tcPr>
            <w:tcW w:w="599" w:type="dxa"/>
            <w:shd w:val="clear" w:color="auto" w:fill="auto"/>
            <w:noWrap/>
            <w:vAlign w:val="center"/>
          </w:tcPr>
          <w:p w14:paraId="3A7872F8" w14:textId="77777777" w:rsidR="005A6228" w:rsidRPr="00292779" w:rsidRDefault="005A6228" w:rsidP="007B0150">
            <w:pPr>
              <w:jc w:val="center"/>
            </w:pPr>
          </w:p>
        </w:tc>
        <w:tc>
          <w:tcPr>
            <w:tcW w:w="769" w:type="dxa"/>
            <w:shd w:val="clear" w:color="auto" w:fill="auto"/>
            <w:noWrap/>
            <w:vAlign w:val="center"/>
          </w:tcPr>
          <w:p w14:paraId="39DF6265" w14:textId="77777777" w:rsidR="005A6228" w:rsidRPr="00292779" w:rsidRDefault="005A6228" w:rsidP="007B0150">
            <w:pPr>
              <w:jc w:val="center"/>
            </w:pPr>
          </w:p>
        </w:tc>
        <w:tc>
          <w:tcPr>
            <w:tcW w:w="769" w:type="dxa"/>
            <w:shd w:val="clear" w:color="auto" w:fill="auto"/>
            <w:noWrap/>
            <w:vAlign w:val="center"/>
          </w:tcPr>
          <w:p w14:paraId="49CE8F69" w14:textId="77777777" w:rsidR="005A6228" w:rsidRPr="00292779" w:rsidRDefault="005A6228" w:rsidP="007B0150">
            <w:pPr>
              <w:jc w:val="center"/>
            </w:pPr>
          </w:p>
        </w:tc>
        <w:tc>
          <w:tcPr>
            <w:tcW w:w="332" w:type="dxa"/>
            <w:shd w:val="clear" w:color="auto" w:fill="auto"/>
            <w:noWrap/>
            <w:vAlign w:val="center"/>
          </w:tcPr>
          <w:p w14:paraId="14609D5E" w14:textId="77777777" w:rsidR="005A6228" w:rsidRPr="00292779" w:rsidRDefault="005A6228" w:rsidP="007B0150">
            <w:pPr>
              <w:jc w:val="center"/>
            </w:pPr>
          </w:p>
        </w:tc>
        <w:tc>
          <w:tcPr>
            <w:tcW w:w="630" w:type="dxa"/>
            <w:shd w:val="clear" w:color="auto" w:fill="auto"/>
            <w:noWrap/>
            <w:vAlign w:val="center"/>
          </w:tcPr>
          <w:p w14:paraId="5981DA0A" w14:textId="77777777" w:rsidR="005A6228" w:rsidRPr="00292779" w:rsidRDefault="005A6228" w:rsidP="007B0150">
            <w:pPr>
              <w:jc w:val="center"/>
            </w:pPr>
          </w:p>
        </w:tc>
        <w:tc>
          <w:tcPr>
            <w:tcW w:w="888" w:type="dxa"/>
            <w:shd w:val="clear" w:color="auto" w:fill="auto"/>
            <w:noWrap/>
            <w:vAlign w:val="center"/>
          </w:tcPr>
          <w:p w14:paraId="6596A8FE" w14:textId="77777777" w:rsidR="005A6228" w:rsidRPr="00292779" w:rsidRDefault="005A6228" w:rsidP="007B0150">
            <w:pPr>
              <w:jc w:val="center"/>
            </w:pPr>
          </w:p>
        </w:tc>
        <w:tc>
          <w:tcPr>
            <w:tcW w:w="1246" w:type="dxa"/>
            <w:shd w:val="clear" w:color="auto" w:fill="auto"/>
            <w:noWrap/>
            <w:vAlign w:val="center"/>
          </w:tcPr>
          <w:p w14:paraId="5FDDFFAC" w14:textId="77777777" w:rsidR="005A6228" w:rsidRPr="00292779" w:rsidRDefault="005A6228" w:rsidP="007B0150">
            <w:pPr>
              <w:jc w:val="center"/>
            </w:pPr>
          </w:p>
        </w:tc>
        <w:tc>
          <w:tcPr>
            <w:tcW w:w="327" w:type="dxa"/>
            <w:shd w:val="clear" w:color="auto" w:fill="auto"/>
            <w:noWrap/>
            <w:vAlign w:val="center"/>
          </w:tcPr>
          <w:p w14:paraId="62A65CCC" w14:textId="77777777" w:rsidR="005A6228" w:rsidRPr="00292779" w:rsidRDefault="005A6228" w:rsidP="007B0150">
            <w:pPr>
              <w:jc w:val="center"/>
            </w:pPr>
          </w:p>
        </w:tc>
        <w:tc>
          <w:tcPr>
            <w:tcW w:w="669" w:type="dxa"/>
            <w:shd w:val="clear" w:color="auto" w:fill="auto"/>
            <w:noWrap/>
            <w:vAlign w:val="center"/>
          </w:tcPr>
          <w:p w14:paraId="2342ECDB" w14:textId="77777777" w:rsidR="005A6228" w:rsidRPr="00292779" w:rsidRDefault="005A6228" w:rsidP="007B0150">
            <w:pPr>
              <w:jc w:val="center"/>
            </w:pPr>
          </w:p>
        </w:tc>
        <w:tc>
          <w:tcPr>
            <w:tcW w:w="888" w:type="dxa"/>
            <w:shd w:val="clear" w:color="auto" w:fill="auto"/>
            <w:noWrap/>
            <w:vAlign w:val="center"/>
          </w:tcPr>
          <w:p w14:paraId="598552DE" w14:textId="77777777" w:rsidR="005A6228" w:rsidRPr="00292779" w:rsidRDefault="005A6228" w:rsidP="007B0150">
            <w:pPr>
              <w:jc w:val="center"/>
            </w:pPr>
          </w:p>
        </w:tc>
        <w:tc>
          <w:tcPr>
            <w:tcW w:w="1248" w:type="dxa"/>
            <w:shd w:val="clear" w:color="auto" w:fill="auto"/>
            <w:noWrap/>
            <w:vAlign w:val="center"/>
          </w:tcPr>
          <w:p w14:paraId="6AC8E929" w14:textId="77777777" w:rsidR="005A6228" w:rsidRPr="00292779" w:rsidRDefault="005A6228" w:rsidP="007B0150">
            <w:pPr>
              <w:jc w:val="center"/>
            </w:pPr>
          </w:p>
        </w:tc>
      </w:tr>
      <w:tr w:rsidR="0093195C" w:rsidRPr="00292779" w14:paraId="2DE1C7DE" w14:textId="77777777" w:rsidTr="008F3F33">
        <w:trPr>
          <w:trHeight w:val="236"/>
        </w:trPr>
        <w:tc>
          <w:tcPr>
            <w:tcW w:w="4295" w:type="dxa"/>
            <w:shd w:val="clear" w:color="auto" w:fill="auto"/>
            <w:noWrap/>
            <w:vAlign w:val="bottom"/>
            <w:hideMark/>
          </w:tcPr>
          <w:p w14:paraId="47F4191C" w14:textId="77777777" w:rsidR="005A6228" w:rsidRPr="00806E12" w:rsidRDefault="005A6228" w:rsidP="007B0150">
            <w:pPr>
              <w:rPr>
                <w:i/>
                <w:u w:val="single"/>
              </w:rPr>
            </w:pPr>
            <w:r w:rsidRPr="00292779">
              <w:rPr>
                <w:i/>
                <w:u w:val="single"/>
              </w:rPr>
              <w:t>Youth Self-Report Composite Risk Scores</w:t>
            </w:r>
          </w:p>
        </w:tc>
        <w:tc>
          <w:tcPr>
            <w:tcW w:w="599" w:type="dxa"/>
            <w:shd w:val="clear" w:color="auto" w:fill="auto"/>
            <w:noWrap/>
            <w:vAlign w:val="center"/>
            <w:hideMark/>
          </w:tcPr>
          <w:p w14:paraId="7A741FBC" w14:textId="77777777" w:rsidR="005A6228" w:rsidRPr="00806E12" w:rsidRDefault="005A6228" w:rsidP="007B0150">
            <w:pPr>
              <w:jc w:val="center"/>
              <w:rPr>
                <w:i/>
                <w:u w:val="single"/>
              </w:rPr>
            </w:pPr>
          </w:p>
        </w:tc>
        <w:tc>
          <w:tcPr>
            <w:tcW w:w="769" w:type="dxa"/>
            <w:shd w:val="clear" w:color="auto" w:fill="auto"/>
            <w:noWrap/>
            <w:vAlign w:val="center"/>
            <w:hideMark/>
          </w:tcPr>
          <w:p w14:paraId="53F263F6" w14:textId="77777777" w:rsidR="005A6228" w:rsidRPr="00806E12" w:rsidRDefault="005A6228" w:rsidP="007B0150">
            <w:pPr>
              <w:jc w:val="center"/>
              <w:rPr>
                <w:i/>
                <w:u w:val="single"/>
              </w:rPr>
            </w:pPr>
          </w:p>
        </w:tc>
        <w:tc>
          <w:tcPr>
            <w:tcW w:w="769" w:type="dxa"/>
            <w:shd w:val="clear" w:color="auto" w:fill="auto"/>
            <w:noWrap/>
            <w:vAlign w:val="center"/>
            <w:hideMark/>
          </w:tcPr>
          <w:p w14:paraId="14F1A72A" w14:textId="77777777" w:rsidR="005A6228" w:rsidRPr="00806E12" w:rsidRDefault="005A6228" w:rsidP="007B0150">
            <w:pPr>
              <w:jc w:val="center"/>
              <w:rPr>
                <w:i/>
                <w:u w:val="single"/>
              </w:rPr>
            </w:pPr>
          </w:p>
        </w:tc>
        <w:tc>
          <w:tcPr>
            <w:tcW w:w="332" w:type="dxa"/>
            <w:shd w:val="clear" w:color="auto" w:fill="auto"/>
            <w:noWrap/>
            <w:vAlign w:val="center"/>
            <w:hideMark/>
          </w:tcPr>
          <w:p w14:paraId="15A6C516" w14:textId="77777777" w:rsidR="005A6228" w:rsidRPr="00806E12" w:rsidRDefault="005A6228" w:rsidP="007B0150">
            <w:pPr>
              <w:jc w:val="center"/>
              <w:rPr>
                <w:i/>
                <w:u w:val="single"/>
              </w:rPr>
            </w:pPr>
          </w:p>
        </w:tc>
        <w:tc>
          <w:tcPr>
            <w:tcW w:w="630" w:type="dxa"/>
            <w:shd w:val="clear" w:color="auto" w:fill="auto"/>
            <w:noWrap/>
            <w:vAlign w:val="center"/>
            <w:hideMark/>
          </w:tcPr>
          <w:p w14:paraId="39E393C4" w14:textId="77777777" w:rsidR="005A6228" w:rsidRPr="00806E12" w:rsidRDefault="005A6228" w:rsidP="007B0150">
            <w:pPr>
              <w:jc w:val="center"/>
              <w:rPr>
                <w:i/>
                <w:u w:val="single"/>
              </w:rPr>
            </w:pPr>
          </w:p>
        </w:tc>
        <w:tc>
          <w:tcPr>
            <w:tcW w:w="888" w:type="dxa"/>
            <w:shd w:val="clear" w:color="auto" w:fill="auto"/>
            <w:noWrap/>
            <w:vAlign w:val="center"/>
            <w:hideMark/>
          </w:tcPr>
          <w:p w14:paraId="6AA89793" w14:textId="77777777" w:rsidR="005A6228" w:rsidRPr="00806E12" w:rsidRDefault="005A6228" w:rsidP="007B0150">
            <w:pPr>
              <w:jc w:val="center"/>
              <w:rPr>
                <w:i/>
                <w:u w:val="single"/>
              </w:rPr>
            </w:pPr>
          </w:p>
        </w:tc>
        <w:tc>
          <w:tcPr>
            <w:tcW w:w="1246" w:type="dxa"/>
            <w:shd w:val="clear" w:color="auto" w:fill="auto"/>
            <w:noWrap/>
            <w:vAlign w:val="center"/>
            <w:hideMark/>
          </w:tcPr>
          <w:p w14:paraId="60CBC648" w14:textId="77777777" w:rsidR="005A6228" w:rsidRPr="00806E12" w:rsidRDefault="005A6228" w:rsidP="007B0150">
            <w:pPr>
              <w:jc w:val="center"/>
              <w:rPr>
                <w:i/>
                <w:u w:val="single"/>
              </w:rPr>
            </w:pPr>
          </w:p>
        </w:tc>
        <w:tc>
          <w:tcPr>
            <w:tcW w:w="327" w:type="dxa"/>
            <w:shd w:val="clear" w:color="auto" w:fill="auto"/>
            <w:noWrap/>
            <w:vAlign w:val="center"/>
            <w:hideMark/>
          </w:tcPr>
          <w:p w14:paraId="048296DF" w14:textId="77777777" w:rsidR="005A6228" w:rsidRPr="00806E12" w:rsidRDefault="005A6228" w:rsidP="007B0150">
            <w:pPr>
              <w:jc w:val="center"/>
              <w:rPr>
                <w:i/>
                <w:u w:val="single"/>
              </w:rPr>
            </w:pPr>
          </w:p>
        </w:tc>
        <w:tc>
          <w:tcPr>
            <w:tcW w:w="669" w:type="dxa"/>
            <w:shd w:val="clear" w:color="auto" w:fill="auto"/>
            <w:noWrap/>
            <w:vAlign w:val="center"/>
            <w:hideMark/>
          </w:tcPr>
          <w:p w14:paraId="20E28CE8" w14:textId="77777777" w:rsidR="005A6228" w:rsidRPr="00806E12" w:rsidRDefault="005A6228" w:rsidP="007B0150">
            <w:pPr>
              <w:jc w:val="center"/>
              <w:rPr>
                <w:i/>
                <w:u w:val="single"/>
              </w:rPr>
            </w:pPr>
          </w:p>
        </w:tc>
        <w:tc>
          <w:tcPr>
            <w:tcW w:w="888" w:type="dxa"/>
            <w:shd w:val="clear" w:color="auto" w:fill="auto"/>
            <w:noWrap/>
            <w:vAlign w:val="center"/>
            <w:hideMark/>
          </w:tcPr>
          <w:p w14:paraId="2E4453FC" w14:textId="77777777" w:rsidR="005A6228" w:rsidRPr="00806E12" w:rsidRDefault="005A6228" w:rsidP="007B0150">
            <w:pPr>
              <w:jc w:val="center"/>
              <w:rPr>
                <w:i/>
                <w:u w:val="single"/>
              </w:rPr>
            </w:pPr>
          </w:p>
        </w:tc>
        <w:tc>
          <w:tcPr>
            <w:tcW w:w="1248" w:type="dxa"/>
            <w:shd w:val="clear" w:color="auto" w:fill="auto"/>
            <w:noWrap/>
            <w:vAlign w:val="center"/>
            <w:hideMark/>
          </w:tcPr>
          <w:p w14:paraId="0E56AAC4" w14:textId="77777777" w:rsidR="005A6228" w:rsidRPr="00806E12" w:rsidRDefault="005A6228" w:rsidP="007B0150">
            <w:pPr>
              <w:jc w:val="center"/>
              <w:rPr>
                <w:i/>
                <w:u w:val="single"/>
              </w:rPr>
            </w:pPr>
          </w:p>
        </w:tc>
      </w:tr>
      <w:tr w:rsidR="0093195C" w:rsidRPr="00292779" w14:paraId="67DC591D" w14:textId="77777777" w:rsidTr="008F3F33">
        <w:trPr>
          <w:trHeight w:val="236"/>
        </w:trPr>
        <w:tc>
          <w:tcPr>
            <w:tcW w:w="4295" w:type="dxa"/>
            <w:shd w:val="clear" w:color="auto" w:fill="auto"/>
            <w:vAlign w:val="center"/>
            <w:hideMark/>
          </w:tcPr>
          <w:p w14:paraId="49BD5EFF" w14:textId="77777777" w:rsidR="005A6228" w:rsidRPr="00806E12" w:rsidRDefault="005A6228" w:rsidP="007B0150">
            <w:r w:rsidRPr="00292779">
              <w:t>E</w:t>
            </w:r>
            <w:r w:rsidRPr="00806E12">
              <w:t xml:space="preserve">motional </w:t>
            </w:r>
            <w:r w:rsidRPr="00292779">
              <w:t>domain</w:t>
            </w:r>
          </w:p>
        </w:tc>
        <w:tc>
          <w:tcPr>
            <w:tcW w:w="599" w:type="dxa"/>
            <w:shd w:val="clear" w:color="auto" w:fill="auto"/>
            <w:noWrap/>
            <w:vAlign w:val="center"/>
            <w:hideMark/>
          </w:tcPr>
          <w:p w14:paraId="00F24431"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692EC053" w14:textId="77777777" w:rsidR="005A6228" w:rsidRPr="00806E12" w:rsidRDefault="005A6228" w:rsidP="007B0150">
            <w:pPr>
              <w:jc w:val="center"/>
              <w:rPr>
                <w:color w:val="000000"/>
              </w:rPr>
            </w:pPr>
            <w:r w:rsidRPr="00806E12">
              <w:rPr>
                <w:color w:val="000000"/>
              </w:rPr>
              <w:t>0.08</w:t>
            </w:r>
          </w:p>
        </w:tc>
        <w:tc>
          <w:tcPr>
            <w:tcW w:w="769" w:type="dxa"/>
            <w:shd w:val="clear" w:color="auto" w:fill="auto"/>
            <w:noWrap/>
            <w:vAlign w:val="center"/>
            <w:hideMark/>
          </w:tcPr>
          <w:p w14:paraId="419516A8" w14:textId="77777777" w:rsidR="005A6228" w:rsidRPr="00806E12" w:rsidRDefault="005A6228" w:rsidP="007B0150">
            <w:pPr>
              <w:jc w:val="center"/>
              <w:rPr>
                <w:color w:val="000000"/>
              </w:rPr>
            </w:pPr>
            <w:r w:rsidRPr="00806E12">
              <w:rPr>
                <w:color w:val="000000"/>
              </w:rPr>
              <w:t>0.96</w:t>
            </w:r>
          </w:p>
        </w:tc>
        <w:tc>
          <w:tcPr>
            <w:tcW w:w="332" w:type="dxa"/>
            <w:shd w:val="clear" w:color="auto" w:fill="auto"/>
            <w:noWrap/>
            <w:vAlign w:val="center"/>
            <w:hideMark/>
          </w:tcPr>
          <w:p w14:paraId="0F92FC8E" w14:textId="77777777" w:rsidR="005A6228" w:rsidRPr="00806E12" w:rsidRDefault="005A6228" w:rsidP="007B0150">
            <w:pPr>
              <w:jc w:val="center"/>
              <w:rPr>
                <w:color w:val="000000"/>
              </w:rPr>
            </w:pPr>
          </w:p>
        </w:tc>
        <w:tc>
          <w:tcPr>
            <w:tcW w:w="630" w:type="dxa"/>
            <w:shd w:val="clear" w:color="auto" w:fill="auto"/>
            <w:noWrap/>
            <w:vAlign w:val="center"/>
            <w:hideMark/>
          </w:tcPr>
          <w:p w14:paraId="14EF9F0B"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47B5191A" w14:textId="77777777" w:rsidR="005A6228" w:rsidRPr="00806E12" w:rsidRDefault="005A6228" w:rsidP="007B0150">
            <w:pPr>
              <w:jc w:val="center"/>
              <w:rPr>
                <w:color w:val="000000"/>
              </w:rPr>
            </w:pPr>
            <w:r w:rsidRPr="00806E12">
              <w:rPr>
                <w:color w:val="000000"/>
              </w:rPr>
              <w:t>5.95</w:t>
            </w:r>
          </w:p>
        </w:tc>
        <w:tc>
          <w:tcPr>
            <w:tcW w:w="1246" w:type="dxa"/>
            <w:shd w:val="clear" w:color="auto" w:fill="auto"/>
            <w:noWrap/>
            <w:vAlign w:val="center"/>
            <w:hideMark/>
          </w:tcPr>
          <w:p w14:paraId="0990C574" w14:textId="77777777" w:rsidR="005A6228" w:rsidRPr="00806E12" w:rsidRDefault="005A6228" w:rsidP="007B0150">
            <w:pPr>
              <w:jc w:val="center"/>
              <w:rPr>
                <w:color w:val="000000"/>
              </w:rPr>
            </w:pPr>
            <w:r w:rsidRPr="00806E12">
              <w:rPr>
                <w:color w:val="000000"/>
              </w:rPr>
              <w:t>0.051</w:t>
            </w:r>
          </w:p>
        </w:tc>
        <w:tc>
          <w:tcPr>
            <w:tcW w:w="327" w:type="dxa"/>
            <w:shd w:val="clear" w:color="auto" w:fill="auto"/>
            <w:noWrap/>
            <w:vAlign w:val="center"/>
            <w:hideMark/>
          </w:tcPr>
          <w:p w14:paraId="11F39FCD" w14:textId="77777777" w:rsidR="005A6228" w:rsidRPr="00806E12" w:rsidRDefault="005A6228" w:rsidP="007B0150">
            <w:pPr>
              <w:jc w:val="center"/>
              <w:rPr>
                <w:color w:val="000000"/>
              </w:rPr>
            </w:pPr>
          </w:p>
        </w:tc>
        <w:tc>
          <w:tcPr>
            <w:tcW w:w="669" w:type="dxa"/>
            <w:shd w:val="clear" w:color="auto" w:fill="auto"/>
            <w:noWrap/>
            <w:vAlign w:val="center"/>
            <w:hideMark/>
          </w:tcPr>
          <w:p w14:paraId="4A4638D7"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2FF60E2" w14:textId="77777777" w:rsidR="005A6228" w:rsidRPr="00806E12" w:rsidRDefault="005A6228" w:rsidP="007B0150">
            <w:pPr>
              <w:jc w:val="center"/>
              <w:rPr>
                <w:color w:val="000000"/>
              </w:rPr>
            </w:pPr>
            <w:r w:rsidRPr="00806E12">
              <w:rPr>
                <w:color w:val="000000"/>
              </w:rPr>
              <w:t>0.85</w:t>
            </w:r>
          </w:p>
        </w:tc>
        <w:tc>
          <w:tcPr>
            <w:tcW w:w="1248" w:type="dxa"/>
            <w:shd w:val="clear" w:color="auto" w:fill="auto"/>
            <w:noWrap/>
            <w:vAlign w:val="center"/>
            <w:hideMark/>
          </w:tcPr>
          <w:p w14:paraId="1A346A3D" w14:textId="77777777" w:rsidR="005A6228" w:rsidRPr="00806E12" w:rsidRDefault="005A6228" w:rsidP="007B0150">
            <w:pPr>
              <w:jc w:val="center"/>
              <w:rPr>
                <w:color w:val="000000"/>
              </w:rPr>
            </w:pPr>
            <w:r w:rsidRPr="00806E12">
              <w:rPr>
                <w:color w:val="000000"/>
              </w:rPr>
              <w:t>0.65</w:t>
            </w:r>
          </w:p>
        </w:tc>
      </w:tr>
      <w:tr w:rsidR="0093195C" w:rsidRPr="00292779" w14:paraId="0694134C" w14:textId="77777777" w:rsidTr="008F3F33">
        <w:trPr>
          <w:trHeight w:val="236"/>
        </w:trPr>
        <w:tc>
          <w:tcPr>
            <w:tcW w:w="4295" w:type="dxa"/>
            <w:shd w:val="clear" w:color="auto" w:fill="auto"/>
            <w:vAlign w:val="center"/>
            <w:hideMark/>
          </w:tcPr>
          <w:p w14:paraId="0B538BCC" w14:textId="77777777" w:rsidR="005A6228" w:rsidRPr="00806E12" w:rsidRDefault="005A6228" w:rsidP="007B0150">
            <w:r w:rsidRPr="00292779">
              <w:t>Cognitive domain</w:t>
            </w:r>
          </w:p>
        </w:tc>
        <w:tc>
          <w:tcPr>
            <w:tcW w:w="599" w:type="dxa"/>
            <w:shd w:val="clear" w:color="auto" w:fill="auto"/>
            <w:noWrap/>
            <w:vAlign w:val="center"/>
            <w:hideMark/>
          </w:tcPr>
          <w:p w14:paraId="1F26D7EB"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0361ECD" w14:textId="77777777" w:rsidR="005A6228" w:rsidRPr="00806E12" w:rsidRDefault="005A6228" w:rsidP="007B0150">
            <w:pPr>
              <w:jc w:val="center"/>
              <w:rPr>
                <w:color w:val="000000"/>
              </w:rPr>
            </w:pPr>
            <w:r w:rsidRPr="00806E12">
              <w:rPr>
                <w:color w:val="000000"/>
              </w:rPr>
              <w:t>3.74</w:t>
            </w:r>
          </w:p>
        </w:tc>
        <w:tc>
          <w:tcPr>
            <w:tcW w:w="769" w:type="dxa"/>
            <w:shd w:val="clear" w:color="auto" w:fill="auto"/>
            <w:noWrap/>
            <w:vAlign w:val="center"/>
            <w:hideMark/>
          </w:tcPr>
          <w:p w14:paraId="27485C71" w14:textId="77777777" w:rsidR="005A6228" w:rsidRPr="00806E12" w:rsidRDefault="005A6228" w:rsidP="007B0150">
            <w:pPr>
              <w:jc w:val="center"/>
              <w:rPr>
                <w:color w:val="000000"/>
              </w:rPr>
            </w:pPr>
            <w:r w:rsidRPr="00806E12">
              <w:rPr>
                <w:color w:val="000000"/>
              </w:rPr>
              <w:t>0.15</w:t>
            </w:r>
          </w:p>
        </w:tc>
        <w:tc>
          <w:tcPr>
            <w:tcW w:w="332" w:type="dxa"/>
            <w:shd w:val="clear" w:color="auto" w:fill="auto"/>
            <w:noWrap/>
            <w:vAlign w:val="center"/>
            <w:hideMark/>
          </w:tcPr>
          <w:p w14:paraId="1E0F16D9" w14:textId="77777777" w:rsidR="005A6228" w:rsidRPr="00806E12" w:rsidRDefault="005A6228" w:rsidP="007B0150">
            <w:pPr>
              <w:jc w:val="center"/>
              <w:rPr>
                <w:color w:val="000000"/>
              </w:rPr>
            </w:pPr>
          </w:p>
        </w:tc>
        <w:tc>
          <w:tcPr>
            <w:tcW w:w="630" w:type="dxa"/>
            <w:shd w:val="clear" w:color="auto" w:fill="auto"/>
            <w:noWrap/>
            <w:vAlign w:val="center"/>
            <w:hideMark/>
          </w:tcPr>
          <w:p w14:paraId="43EC345C"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7A189BB" w14:textId="77777777" w:rsidR="005A6228" w:rsidRPr="00806E12" w:rsidRDefault="005A6228" w:rsidP="007B0150">
            <w:pPr>
              <w:jc w:val="center"/>
              <w:rPr>
                <w:color w:val="000000"/>
              </w:rPr>
            </w:pPr>
            <w:r w:rsidRPr="00806E12">
              <w:rPr>
                <w:color w:val="000000"/>
              </w:rPr>
              <w:t>1.00</w:t>
            </w:r>
          </w:p>
        </w:tc>
        <w:tc>
          <w:tcPr>
            <w:tcW w:w="1246" w:type="dxa"/>
            <w:shd w:val="clear" w:color="auto" w:fill="auto"/>
            <w:noWrap/>
            <w:vAlign w:val="center"/>
            <w:hideMark/>
          </w:tcPr>
          <w:p w14:paraId="6B2DC2BE" w14:textId="77777777" w:rsidR="005A6228" w:rsidRPr="00806E12" w:rsidRDefault="005A6228" w:rsidP="007B0150">
            <w:pPr>
              <w:jc w:val="center"/>
              <w:rPr>
                <w:color w:val="000000"/>
              </w:rPr>
            </w:pPr>
            <w:r w:rsidRPr="00806E12">
              <w:rPr>
                <w:color w:val="000000"/>
              </w:rPr>
              <w:t>0.61</w:t>
            </w:r>
          </w:p>
        </w:tc>
        <w:tc>
          <w:tcPr>
            <w:tcW w:w="327" w:type="dxa"/>
            <w:shd w:val="clear" w:color="auto" w:fill="auto"/>
            <w:noWrap/>
            <w:vAlign w:val="center"/>
            <w:hideMark/>
          </w:tcPr>
          <w:p w14:paraId="5594DDDF" w14:textId="77777777" w:rsidR="005A6228" w:rsidRPr="00806E12" w:rsidRDefault="005A6228" w:rsidP="007B0150">
            <w:pPr>
              <w:jc w:val="center"/>
              <w:rPr>
                <w:color w:val="000000"/>
              </w:rPr>
            </w:pPr>
          </w:p>
        </w:tc>
        <w:tc>
          <w:tcPr>
            <w:tcW w:w="669" w:type="dxa"/>
            <w:shd w:val="clear" w:color="auto" w:fill="auto"/>
            <w:noWrap/>
            <w:vAlign w:val="center"/>
            <w:hideMark/>
          </w:tcPr>
          <w:p w14:paraId="4B108EC0"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5413450" w14:textId="77777777" w:rsidR="005A6228" w:rsidRPr="00806E12" w:rsidRDefault="005A6228" w:rsidP="007B0150">
            <w:pPr>
              <w:jc w:val="center"/>
              <w:rPr>
                <w:color w:val="000000"/>
              </w:rPr>
            </w:pPr>
            <w:r w:rsidRPr="00806E12">
              <w:rPr>
                <w:color w:val="000000"/>
              </w:rPr>
              <w:t>3.42</w:t>
            </w:r>
          </w:p>
        </w:tc>
        <w:tc>
          <w:tcPr>
            <w:tcW w:w="1248" w:type="dxa"/>
            <w:shd w:val="clear" w:color="auto" w:fill="auto"/>
            <w:noWrap/>
            <w:vAlign w:val="center"/>
            <w:hideMark/>
          </w:tcPr>
          <w:p w14:paraId="4180D5BA" w14:textId="77777777" w:rsidR="005A6228" w:rsidRPr="00806E12" w:rsidRDefault="005A6228" w:rsidP="007B0150">
            <w:pPr>
              <w:jc w:val="center"/>
              <w:rPr>
                <w:color w:val="000000"/>
              </w:rPr>
            </w:pPr>
            <w:r w:rsidRPr="00806E12">
              <w:rPr>
                <w:color w:val="000000"/>
              </w:rPr>
              <w:t>0.18</w:t>
            </w:r>
          </w:p>
        </w:tc>
      </w:tr>
      <w:tr w:rsidR="0093195C" w:rsidRPr="00292779" w14:paraId="4340113F" w14:textId="77777777" w:rsidTr="008F3F33">
        <w:trPr>
          <w:trHeight w:val="236"/>
        </w:trPr>
        <w:tc>
          <w:tcPr>
            <w:tcW w:w="4295" w:type="dxa"/>
            <w:shd w:val="clear" w:color="auto" w:fill="auto"/>
            <w:vAlign w:val="center"/>
            <w:hideMark/>
          </w:tcPr>
          <w:p w14:paraId="79B4EC19" w14:textId="77777777" w:rsidR="005A6228" w:rsidRPr="00806E12" w:rsidRDefault="005A6228" w:rsidP="007B0150">
            <w:r w:rsidRPr="00292779">
              <w:t>B</w:t>
            </w:r>
            <w:r w:rsidRPr="00806E12">
              <w:t xml:space="preserve">ehavioral </w:t>
            </w:r>
            <w:r w:rsidRPr="00292779">
              <w:t>domain</w:t>
            </w:r>
          </w:p>
        </w:tc>
        <w:tc>
          <w:tcPr>
            <w:tcW w:w="599" w:type="dxa"/>
            <w:shd w:val="clear" w:color="auto" w:fill="auto"/>
            <w:noWrap/>
            <w:vAlign w:val="center"/>
            <w:hideMark/>
          </w:tcPr>
          <w:p w14:paraId="2CD282B4"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22ED048A" w14:textId="77777777" w:rsidR="005A6228" w:rsidRPr="00806E12" w:rsidRDefault="005A6228" w:rsidP="007B0150">
            <w:pPr>
              <w:jc w:val="center"/>
              <w:rPr>
                <w:color w:val="000000"/>
              </w:rPr>
            </w:pPr>
            <w:r w:rsidRPr="00806E12">
              <w:rPr>
                <w:color w:val="000000"/>
              </w:rPr>
              <w:t>0.28</w:t>
            </w:r>
          </w:p>
        </w:tc>
        <w:tc>
          <w:tcPr>
            <w:tcW w:w="769" w:type="dxa"/>
            <w:shd w:val="clear" w:color="auto" w:fill="auto"/>
            <w:noWrap/>
            <w:vAlign w:val="center"/>
            <w:hideMark/>
          </w:tcPr>
          <w:p w14:paraId="79D3F11B" w14:textId="77777777" w:rsidR="005A6228" w:rsidRPr="00806E12" w:rsidRDefault="005A6228" w:rsidP="007B0150">
            <w:pPr>
              <w:jc w:val="center"/>
              <w:rPr>
                <w:color w:val="000000"/>
              </w:rPr>
            </w:pPr>
            <w:r w:rsidRPr="00806E12">
              <w:rPr>
                <w:color w:val="000000"/>
              </w:rPr>
              <w:t>0.87</w:t>
            </w:r>
          </w:p>
        </w:tc>
        <w:tc>
          <w:tcPr>
            <w:tcW w:w="332" w:type="dxa"/>
            <w:shd w:val="clear" w:color="auto" w:fill="auto"/>
            <w:noWrap/>
            <w:vAlign w:val="center"/>
            <w:hideMark/>
          </w:tcPr>
          <w:p w14:paraId="52D583E1" w14:textId="77777777" w:rsidR="005A6228" w:rsidRPr="00806E12" w:rsidRDefault="005A6228" w:rsidP="007B0150">
            <w:pPr>
              <w:jc w:val="center"/>
              <w:rPr>
                <w:color w:val="000000"/>
              </w:rPr>
            </w:pPr>
          </w:p>
        </w:tc>
        <w:tc>
          <w:tcPr>
            <w:tcW w:w="630" w:type="dxa"/>
            <w:shd w:val="clear" w:color="auto" w:fill="auto"/>
            <w:noWrap/>
            <w:vAlign w:val="center"/>
            <w:hideMark/>
          </w:tcPr>
          <w:p w14:paraId="64313E4E"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03021EF" w14:textId="77777777" w:rsidR="005A6228" w:rsidRPr="00806E12" w:rsidRDefault="005A6228" w:rsidP="007B0150">
            <w:pPr>
              <w:jc w:val="center"/>
              <w:rPr>
                <w:color w:val="000000"/>
              </w:rPr>
            </w:pPr>
            <w:r w:rsidRPr="00806E12">
              <w:rPr>
                <w:color w:val="000000"/>
              </w:rPr>
              <w:t>1.08</w:t>
            </w:r>
          </w:p>
        </w:tc>
        <w:tc>
          <w:tcPr>
            <w:tcW w:w="1246" w:type="dxa"/>
            <w:shd w:val="clear" w:color="auto" w:fill="auto"/>
            <w:noWrap/>
            <w:vAlign w:val="center"/>
            <w:hideMark/>
          </w:tcPr>
          <w:p w14:paraId="6192A15E" w14:textId="77777777" w:rsidR="005A6228" w:rsidRPr="00806E12" w:rsidRDefault="005A6228" w:rsidP="007B0150">
            <w:pPr>
              <w:jc w:val="center"/>
              <w:rPr>
                <w:color w:val="000000"/>
              </w:rPr>
            </w:pPr>
            <w:r w:rsidRPr="00806E12">
              <w:rPr>
                <w:color w:val="000000"/>
              </w:rPr>
              <w:t>0.58</w:t>
            </w:r>
          </w:p>
        </w:tc>
        <w:tc>
          <w:tcPr>
            <w:tcW w:w="327" w:type="dxa"/>
            <w:shd w:val="clear" w:color="auto" w:fill="auto"/>
            <w:noWrap/>
            <w:vAlign w:val="center"/>
            <w:hideMark/>
          </w:tcPr>
          <w:p w14:paraId="5145814B" w14:textId="77777777" w:rsidR="005A6228" w:rsidRPr="00806E12" w:rsidRDefault="005A6228" w:rsidP="007B0150">
            <w:pPr>
              <w:jc w:val="center"/>
              <w:rPr>
                <w:color w:val="000000"/>
              </w:rPr>
            </w:pPr>
          </w:p>
        </w:tc>
        <w:tc>
          <w:tcPr>
            <w:tcW w:w="669" w:type="dxa"/>
            <w:shd w:val="clear" w:color="auto" w:fill="auto"/>
            <w:noWrap/>
            <w:vAlign w:val="center"/>
            <w:hideMark/>
          </w:tcPr>
          <w:p w14:paraId="727DF488" w14:textId="77777777" w:rsidR="005A6228" w:rsidRPr="00806E12" w:rsidRDefault="005A6228" w:rsidP="007B0150">
            <w:pPr>
              <w:jc w:val="center"/>
              <w:rPr>
                <w:color w:val="FF0000"/>
              </w:rPr>
            </w:pPr>
            <w:r w:rsidRPr="00806E12">
              <w:rPr>
                <w:color w:val="FF0000"/>
              </w:rPr>
              <w:t>2</w:t>
            </w:r>
          </w:p>
        </w:tc>
        <w:tc>
          <w:tcPr>
            <w:tcW w:w="888" w:type="dxa"/>
            <w:shd w:val="clear" w:color="auto" w:fill="auto"/>
            <w:noWrap/>
            <w:vAlign w:val="center"/>
            <w:hideMark/>
          </w:tcPr>
          <w:p w14:paraId="651B00E3" w14:textId="77777777" w:rsidR="005A6228" w:rsidRPr="00806E12" w:rsidRDefault="005A6228" w:rsidP="007B0150">
            <w:pPr>
              <w:jc w:val="center"/>
              <w:rPr>
                <w:color w:val="FF0000"/>
              </w:rPr>
            </w:pPr>
            <w:r w:rsidRPr="00806E12">
              <w:rPr>
                <w:color w:val="FF0000"/>
              </w:rPr>
              <w:t>12.27</w:t>
            </w:r>
          </w:p>
        </w:tc>
        <w:tc>
          <w:tcPr>
            <w:tcW w:w="1248" w:type="dxa"/>
            <w:shd w:val="clear" w:color="auto" w:fill="auto"/>
            <w:noWrap/>
            <w:vAlign w:val="center"/>
            <w:hideMark/>
          </w:tcPr>
          <w:p w14:paraId="57FDEB7D" w14:textId="77777777" w:rsidR="005A6228" w:rsidRPr="00806E12" w:rsidRDefault="005A6228" w:rsidP="007B0150">
            <w:pPr>
              <w:jc w:val="center"/>
              <w:rPr>
                <w:color w:val="FF0000"/>
              </w:rPr>
            </w:pPr>
            <w:r w:rsidRPr="00806E12">
              <w:rPr>
                <w:color w:val="FF0000"/>
              </w:rPr>
              <w:t>0.0022**</w:t>
            </w:r>
          </w:p>
        </w:tc>
      </w:tr>
      <w:tr w:rsidR="0093195C" w:rsidRPr="00292779" w14:paraId="0DC39BBB" w14:textId="77777777" w:rsidTr="008F3F33">
        <w:trPr>
          <w:trHeight w:val="236"/>
        </w:trPr>
        <w:tc>
          <w:tcPr>
            <w:tcW w:w="4295" w:type="dxa"/>
            <w:shd w:val="clear" w:color="auto" w:fill="auto"/>
            <w:vAlign w:val="center"/>
            <w:hideMark/>
          </w:tcPr>
          <w:p w14:paraId="0BE27AE0" w14:textId="77777777" w:rsidR="005A6228" w:rsidRPr="00806E12" w:rsidRDefault="005A6228" w:rsidP="007B0150">
            <w:r w:rsidRPr="00292779">
              <w:t>Social</w:t>
            </w:r>
            <w:r w:rsidRPr="00806E12">
              <w:t xml:space="preserve"> </w:t>
            </w:r>
            <w:r w:rsidRPr="00292779">
              <w:t>domain</w:t>
            </w:r>
          </w:p>
        </w:tc>
        <w:tc>
          <w:tcPr>
            <w:tcW w:w="599" w:type="dxa"/>
            <w:shd w:val="clear" w:color="auto" w:fill="auto"/>
            <w:noWrap/>
            <w:vAlign w:val="center"/>
            <w:hideMark/>
          </w:tcPr>
          <w:p w14:paraId="0A90A6D0"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6A5C3F52" w14:textId="77777777" w:rsidR="005A6228" w:rsidRPr="00806E12" w:rsidRDefault="005A6228" w:rsidP="007B0150">
            <w:pPr>
              <w:jc w:val="center"/>
              <w:rPr>
                <w:color w:val="000000"/>
              </w:rPr>
            </w:pPr>
            <w:r w:rsidRPr="00806E12">
              <w:rPr>
                <w:color w:val="000000"/>
              </w:rPr>
              <w:t>2.64</w:t>
            </w:r>
          </w:p>
        </w:tc>
        <w:tc>
          <w:tcPr>
            <w:tcW w:w="769" w:type="dxa"/>
            <w:shd w:val="clear" w:color="auto" w:fill="auto"/>
            <w:noWrap/>
            <w:vAlign w:val="center"/>
            <w:hideMark/>
          </w:tcPr>
          <w:p w14:paraId="6FF60ABF" w14:textId="77777777" w:rsidR="005A6228" w:rsidRPr="00806E12" w:rsidRDefault="005A6228" w:rsidP="007B0150">
            <w:pPr>
              <w:jc w:val="center"/>
              <w:rPr>
                <w:color w:val="000000"/>
              </w:rPr>
            </w:pPr>
            <w:r w:rsidRPr="00806E12">
              <w:rPr>
                <w:color w:val="000000"/>
              </w:rPr>
              <w:t>0.27</w:t>
            </w:r>
          </w:p>
        </w:tc>
        <w:tc>
          <w:tcPr>
            <w:tcW w:w="332" w:type="dxa"/>
            <w:shd w:val="clear" w:color="auto" w:fill="auto"/>
            <w:noWrap/>
            <w:vAlign w:val="center"/>
            <w:hideMark/>
          </w:tcPr>
          <w:p w14:paraId="4D07390C" w14:textId="77777777" w:rsidR="005A6228" w:rsidRPr="00806E12" w:rsidRDefault="005A6228" w:rsidP="007B0150">
            <w:pPr>
              <w:jc w:val="center"/>
              <w:rPr>
                <w:color w:val="000000"/>
              </w:rPr>
            </w:pPr>
          </w:p>
        </w:tc>
        <w:tc>
          <w:tcPr>
            <w:tcW w:w="630" w:type="dxa"/>
            <w:shd w:val="clear" w:color="auto" w:fill="auto"/>
            <w:noWrap/>
            <w:vAlign w:val="center"/>
            <w:hideMark/>
          </w:tcPr>
          <w:p w14:paraId="29245E59"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3443FC4" w14:textId="77777777" w:rsidR="005A6228" w:rsidRPr="00806E12" w:rsidRDefault="005A6228" w:rsidP="007B0150">
            <w:pPr>
              <w:jc w:val="center"/>
              <w:rPr>
                <w:color w:val="000000"/>
              </w:rPr>
            </w:pPr>
            <w:r w:rsidRPr="00806E12">
              <w:rPr>
                <w:color w:val="000000"/>
              </w:rPr>
              <w:t>4.83</w:t>
            </w:r>
          </w:p>
        </w:tc>
        <w:tc>
          <w:tcPr>
            <w:tcW w:w="1246" w:type="dxa"/>
            <w:shd w:val="clear" w:color="auto" w:fill="auto"/>
            <w:noWrap/>
            <w:vAlign w:val="center"/>
            <w:hideMark/>
          </w:tcPr>
          <w:p w14:paraId="1C4F2E54" w14:textId="77777777" w:rsidR="005A6228" w:rsidRPr="00806E12" w:rsidRDefault="005A6228" w:rsidP="007B0150">
            <w:pPr>
              <w:jc w:val="center"/>
              <w:rPr>
                <w:color w:val="000000"/>
              </w:rPr>
            </w:pPr>
            <w:r w:rsidRPr="00806E12">
              <w:rPr>
                <w:color w:val="000000"/>
              </w:rPr>
              <w:t>0.09</w:t>
            </w:r>
          </w:p>
        </w:tc>
        <w:tc>
          <w:tcPr>
            <w:tcW w:w="327" w:type="dxa"/>
            <w:shd w:val="clear" w:color="auto" w:fill="auto"/>
            <w:noWrap/>
            <w:vAlign w:val="center"/>
            <w:hideMark/>
          </w:tcPr>
          <w:p w14:paraId="24B10430" w14:textId="77777777" w:rsidR="005A6228" w:rsidRPr="00806E12" w:rsidRDefault="005A6228" w:rsidP="007B0150">
            <w:pPr>
              <w:jc w:val="center"/>
              <w:rPr>
                <w:color w:val="000000"/>
              </w:rPr>
            </w:pPr>
          </w:p>
        </w:tc>
        <w:tc>
          <w:tcPr>
            <w:tcW w:w="669" w:type="dxa"/>
            <w:shd w:val="clear" w:color="auto" w:fill="auto"/>
            <w:noWrap/>
            <w:vAlign w:val="center"/>
            <w:hideMark/>
          </w:tcPr>
          <w:p w14:paraId="35FA7DB4"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5B53B2E" w14:textId="77777777" w:rsidR="005A6228" w:rsidRPr="00806E12" w:rsidRDefault="005A6228" w:rsidP="007B0150">
            <w:pPr>
              <w:jc w:val="center"/>
              <w:rPr>
                <w:color w:val="000000"/>
              </w:rPr>
            </w:pPr>
            <w:r w:rsidRPr="00806E12">
              <w:rPr>
                <w:color w:val="000000"/>
              </w:rPr>
              <w:t>2.49</w:t>
            </w:r>
          </w:p>
        </w:tc>
        <w:tc>
          <w:tcPr>
            <w:tcW w:w="1248" w:type="dxa"/>
            <w:shd w:val="clear" w:color="auto" w:fill="auto"/>
            <w:noWrap/>
            <w:vAlign w:val="center"/>
            <w:hideMark/>
          </w:tcPr>
          <w:p w14:paraId="74AC36EA" w14:textId="77777777" w:rsidR="005A6228" w:rsidRPr="00806E12" w:rsidRDefault="005A6228" w:rsidP="007B0150">
            <w:pPr>
              <w:jc w:val="center"/>
              <w:rPr>
                <w:color w:val="000000"/>
              </w:rPr>
            </w:pPr>
            <w:r w:rsidRPr="00806E12">
              <w:rPr>
                <w:color w:val="000000"/>
              </w:rPr>
              <w:t>0.29</w:t>
            </w:r>
          </w:p>
        </w:tc>
      </w:tr>
      <w:tr w:rsidR="0093195C" w:rsidRPr="00292779" w14:paraId="4A261E14" w14:textId="77777777" w:rsidTr="008F3F33">
        <w:trPr>
          <w:trHeight w:val="236"/>
        </w:trPr>
        <w:tc>
          <w:tcPr>
            <w:tcW w:w="4295" w:type="dxa"/>
            <w:shd w:val="clear" w:color="auto" w:fill="auto"/>
            <w:vAlign w:val="center"/>
            <w:hideMark/>
          </w:tcPr>
          <w:p w14:paraId="243A1DFE" w14:textId="77777777" w:rsidR="005A6228" w:rsidRPr="00806E12" w:rsidRDefault="005A6228" w:rsidP="007B0150">
            <w:r w:rsidRPr="00292779">
              <w:t>P</w:t>
            </w:r>
            <w:r w:rsidRPr="00806E12">
              <w:t xml:space="preserve">hysical </w:t>
            </w:r>
            <w:r w:rsidRPr="00292779">
              <w:t>domain</w:t>
            </w:r>
          </w:p>
        </w:tc>
        <w:tc>
          <w:tcPr>
            <w:tcW w:w="599" w:type="dxa"/>
            <w:shd w:val="clear" w:color="auto" w:fill="auto"/>
            <w:noWrap/>
            <w:vAlign w:val="center"/>
            <w:hideMark/>
          </w:tcPr>
          <w:p w14:paraId="649D5092"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0228CCD5" w14:textId="77777777" w:rsidR="005A6228" w:rsidRPr="00806E12" w:rsidRDefault="005A6228" w:rsidP="007B0150">
            <w:pPr>
              <w:jc w:val="center"/>
              <w:rPr>
                <w:color w:val="000000"/>
              </w:rPr>
            </w:pPr>
            <w:r w:rsidRPr="00806E12">
              <w:rPr>
                <w:color w:val="000000"/>
              </w:rPr>
              <w:t>1.40</w:t>
            </w:r>
          </w:p>
        </w:tc>
        <w:tc>
          <w:tcPr>
            <w:tcW w:w="769" w:type="dxa"/>
            <w:shd w:val="clear" w:color="auto" w:fill="auto"/>
            <w:noWrap/>
            <w:vAlign w:val="center"/>
            <w:hideMark/>
          </w:tcPr>
          <w:p w14:paraId="7246A80B" w14:textId="77777777" w:rsidR="005A6228" w:rsidRPr="00806E12" w:rsidRDefault="005A6228" w:rsidP="007B0150">
            <w:pPr>
              <w:jc w:val="center"/>
              <w:rPr>
                <w:color w:val="000000"/>
              </w:rPr>
            </w:pPr>
            <w:r w:rsidRPr="00806E12">
              <w:rPr>
                <w:color w:val="000000"/>
              </w:rPr>
              <w:t>0.50</w:t>
            </w:r>
          </w:p>
        </w:tc>
        <w:tc>
          <w:tcPr>
            <w:tcW w:w="332" w:type="dxa"/>
            <w:shd w:val="clear" w:color="auto" w:fill="auto"/>
            <w:noWrap/>
            <w:vAlign w:val="center"/>
            <w:hideMark/>
          </w:tcPr>
          <w:p w14:paraId="1BA9B5B2" w14:textId="77777777" w:rsidR="005A6228" w:rsidRPr="00806E12" w:rsidRDefault="005A6228" w:rsidP="007B0150">
            <w:pPr>
              <w:jc w:val="center"/>
              <w:rPr>
                <w:color w:val="000000"/>
              </w:rPr>
            </w:pPr>
          </w:p>
        </w:tc>
        <w:tc>
          <w:tcPr>
            <w:tcW w:w="630" w:type="dxa"/>
            <w:shd w:val="clear" w:color="auto" w:fill="auto"/>
            <w:noWrap/>
            <w:vAlign w:val="center"/>
            <w:hideMark/>
          </w:tcPr>
          <w:p w14:paraId="58AC3645"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1AACF47" w14:textId="77777777" w:rsidR="005A6228" w:rsidRPr="00806E12" w:rsidRDefault="005A6228" w:rsidP="007B0150">
            <w:pPr>
              <w:jc w:val="center"/>
              <w:rPr>
                <w:color w:val="000000"/>
              </w:rPr>
            </w:pPr>
            <w:r w:rsidRPr="00806E12">
              <w:rPr>
                <w:color w:val="000000"/>
              </w:rPr>
              <w:t>0.64</w:t>
            </w:r>
          </w:p>
        </w:tc>
        <w:tc>
          <w:tcPr>
            <w:tcW w:w="1246" w:type="dxa"/>
            <w:shd w:val="clear" w:color="auto" w:fill="auto"/>
            <w:noWrap/>
            <w:vAlign w:val="center"/>
            <w:hideMark/>
          </w:tcPr>
          <w:p w14:paraId="70DECB4E" w14:textId="77777777" w:rsidR="005A6228" w:rsidRPr="00806E12" w:rsidRDefault="005A6228" w:rsidP="007B0150">
            <w:pPr>
              <w:jc w:val="center"/>
              <w:rPr>
                <w:color w:val="000000"/>
              </w:rPr>
            </w:pPr>
            <w:r w:rsidRPr="00806E12">
              <w:rPr>
                <w:color w:val="000000"/>
              </w:rPr>
              <w:t>0.72</w:t>
            </w:r>
          </w:p>
        </w:tc>
        <w:tc>
          <w:tcPr>
            <w:tcW w:w="327" w:type="dxa"/>
            <w:shd w:val="clear" w:color="auto" w:fill="auto"/>
            <w:noWrap/>
            <w:vAlign w:val="center"/>
            <w:hideMark/>
          </w:tcPr>
          <w:p w14:paraId="2E2A5A7C" w14:textId="77777777" w:rsidR="005A6228" w:rsidRPr="00806E12" w:rsidRDefault="005A6228" w:rsidP="007B0150">
            <w:pPr>
              <w:jc w:val="center"/>
              <w:rPr>
                <w:color w:val="000000"/>
              </w:rPr>
            </w:pPr>
          </w:p>
        </w:tc>
        <w:tc>
          <w:tcPr>
            <w:tcW w:w="669" w:type="dxa"/>
            <w:shd w:val="clear" w:color="auto" w:fill="auto"/>
            <w:noWrap/>
            <w:vAlign w:val="center"/>
            <w:hideMark/>
          </w:tcPr>
          <w:p w14:paraId="29DE174C"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483086B1" w14:textId="77777777" w:rsidR="005A6228" w:rsidRPr="00806E12" w:rsidRDefault="005A6228" w:rsidP="007B0150">
            <w:pPr>
              <w:jc w:val="center"/>
              <w:rPr>
                <w:color w:val="000000"/>
              </w:rPr>
            </w:pPr>
            <w:r w:rsidRPr="00806E12">
              <w:rPr>
                <w:color w:val="000000"/>
              </w:rPr>
              <w:t>0.60</w:t>
            </w:r>
          </w:p>
        </w:tc>
        <w:tc>
          <w:tcPr>
            <w:tcW w:w="1248" w:type="dxa"/>
            <w:shd w:val="clear" w:color="auto" w:fill="auto"/>
            <w:noWrap/>
            <w:vAlign w:val="center"/>
            <w:hideMark/>
          </w:tcPr>
          <w:p w14:paraId="08AC041A" w14:textId="77777777" w:rsidR="005A6228" w:rsidRPr="00806E12" w:rsidRDefault="005A6228" w:rsidP="007B0150">
            <w:pPr>
              <w:jc w:val="center"/>
              <w:rPr>
                <w:color w:val="000000"/>
              </w:rPr>
            </w:pPr>
            <w:r w:rsidRPr="00806E12">
              <w:rPr>
                <w:color w:val="000000"/>
              </w:rPr>
              <w:t>0.74</w:t>
            </w:r>
          </w:p>
        </w:tc>
      </w:tr>
      <w:tr w:rsidR="0093195C" w:rsidRPr="00292779" w14:paraId="1FCBF509" w14:textId="77777777" w:rsidTr="008F3F33">
        <w:trPr>
          <w:trHeight w:val="236"/>
        </w:trPr>
        <w:tc>
          <w:tcPr>
            <w:tcW w:w="4295" w:type="dxa"/>
            <w:shd w:val="clear" w:color="auto" w:fill="auto"/>
            <w:vAlign w:val="center"/>
          </w:tcPr>
          <w:p w14:paraId="335CCDCB" w14:textId="77777777" w:rsidR="005A6228" w:rsidRPr="00292779" w:rsidRDefault="005A6228" w:rsidP="007B0150">
            <w:pPr>
              <w:rPr>
                <w:color w:val="000000"/>
              </w:rPr>
            </w:pPr>
          </w:p>
        </w:tc>
        <w:tc>
          <w:tcPr>
            <w:tcW w:w="599" w:type="dxa"/>
            <w:shd w:val="clear" w:color="auto" w:fill="auto"/>
            <w:noWrap/>
            <w:vAlign w:val="center"/>
          </w:tcPr>
          <w:p w14:paraId="0A4FA723" w14:textId="77777777" w:rsidR="005A6228" w:rsidRPr="00292779" w:rsidRDefault="005A6228" w:rsidP="007B0150">
            <w:pPr>
              <w:jc w:val="center"/>
            </w:pPr>
          </w:p>
        </w:tc>
        <w:tc>
          <w:tcPr>
            <w:tcW w:w="769" w:type="dxa"/>
            <w:shd w:val="clear" w:color="auto" w:fill="auto"/>
            <w:noWrap/>
            <w:vAlign w:val="center"/>
          </w:tcPr>
          <w:p w14:paraId="2CCB9AA5" w14:textId="77777777" w:rsidR="005A6228" w:rsidRPr="00292779" w:rsidRDefault="005A6228" w:rsidP="007B0150">
            <w:pPr>
              <w:jc w:val="center"/>
            </w:pPr>
          </w:p>
        </w:tc>
        <w:tc>
          <w:tcPr>
            <w:tcW w:w="769" w:type="dxa"/>
            <w:shd w:val="clear" w:color="auto" w:fill="auto"/>
            <w:noWrap/>
            <w:vAlign w:val="center"/>
          </w:tcPr>
          <w:p w14:paraId="19F876DF" w14:textId="77777777" w:rsidR="005A6228" w:rsidRPr="00292779" w:rsidRDefault="005A6228" w:rsidP="007B0150">
            <w:pPr>
              <w:jc w:val="center"/>
            </w:pPr>
          </w:p>
        </w:tc>
        <w:tc>
          <w:tcPr>
            <w:tcW w:w="332" w:type="dxa"/>
            <w:shd w:val="clear" w:color="auto" w:fill="auto"/>
            <w:noWrap/>
            <w:vAlign w:val="center"/>
          </w:tcPr>
          <w:p w14:paraId="6BF51510" w14:textId="77777777" w:rsidR="005A6228" w:rsidRPr="00292779" w:rsidRDefault="005A6228" w:rsidP="007B0150">
            <w:pPr>
              <w:jc w:val="center"/>
            </w:pPr>
          </w:p>
        </w:tc>
        <w:tc>
          <w:tcPr>
            <w:tcW w:w="630" w:type="dxa"/>
            <w:shd w:val="clear" w:color="auto" w:fill="auto"/>
            <w:noWrap/>
            <w:vAlign w:val="center"/>
          </w:tcPr>
          <w:p w14:paraId="3435EEAA" w14:textId="77777777" w:rsidR="005A6228" w:rsidRPr="00292779" w:rsidRDefault="005A6228" w:rsidP="007B0150">
            <w:pPr>
              <w:jc w:val="center"/>
            </w:pPr>
          </w:p>
        </w:tc>
        <w:tc>
          <w:tcPr>
            <w:tcW w:w="888" w:type="dxa"/>
            <w:shd w:val="clear" w:color="auto" w:fill="auto"/>
            <w:noWrap/>
            <w:vAlign w:val="center"/>
          </w:tcPr>
          <w:p w14:paraId="1411C04F" w14:textId="77777777" w:rsidR="005A6228" w:rsidRPr="00292779" w:rsidRDefault="005A6228" w:rsidP="007B0150">
            <w:pPr>
              <w:jc w:val="center"/>
            </w:pPr>
          </w:p>
        </w:tc>
        <w:tc>
          <w:tcPr>
            <w:tcW w:w="1246" w:type="dxa"/>
            <w:shd w:val="clear" w:color="auto" w:fill="auto"/>
            <w:noWrap/>
            <w:vAlign w:val="center"/>
          </w:tcPr>
          <w:p w14:paraId="080B544B" w14:textId="77777777" w:rsidR="005A6228" w:rsidRPr="00292779" w:rsidRDefault="005A6228" w:rsidP="007B0150">
            <w:pPr>
              <w:jc w:val="center"/>
            </w:pPr>
          </w:p>
        </w:tc>
        <w:tc>
          <w:tcPr>
            <w:tcW w:w="327" w:type="dxa"/>
            <w:shd w:val="clear" w:color="auto" w:fill="auto"/>
            <w:noWrap/>
            <w:vAlign w:val="center"/>
          </w:tcPr>
          <w:p w14:paraId="35AD8090" w14:textId="77777777" w:rsidR="005A6228" w:rsidRPr="00292779" w:rsidRDefault="005A6228" w:rsidP="007B0150">
            <w:pPr>
              <w:jc w:val="center"/>
            </w:pPr>
          </w:p>
        </w:tc>
        <w:tc>
          <w:tcPr>
            <w:tcW w:w="669" w:type="dxa"/>
            <w:shd w:val="clear" w:color="auto" w:fill="auto"/>
            <w:noWrap/>
            <w:vAlign w:val="center"/>
          </w:tcPr>
          <w:p w14:paraId="5C29DA72" w14:textId="77777777" w:rsidR="005A6228" w:rsidRPr="00292779" w:rsidRDefault="005A6228" w:rsidP="007B0150">
            <w:pPr>
              <w:jc w:val="center"/>
            </w:pPr>
          </w:p>
        </w:tc>
        <w:tc>
          <w:tcPr>
            <w:tcW w:w="888" w:type="dxa"/>
            <w:shd w:val="clear" w:color="auto" w:fill="auto"/>
            <w:noWrap/>
            <w:vAlign w:val="center"/>
          </w:tcPr>
          <w:p w14:paraId="4CAE21DA" w14:textId="77777777" w:rsidR="005A6228" w:rsidRPr="00292779" w:rsidRDefault="005A6228" w:rsidP="007B0150">
            <w:pPr>
              <w:jc w:val="center"/>
            </w:pPr>
          </w:p>
        </w:tc>
        <w:tc>
          <w:tcPr>
            <w:tcW w:w="1248" w:type="dxa"/>
            <w:shd w:val="clear" w:color="auto" w:fill="auto"/>
            <w:noWrap/>
            <w:vAlign w:val="center"/>
          </w:tcPr>
          <w:p w14:paraId="4F558B40" w14:textId="77777777" w:rsidR="005A6228" w:rsidRPr="00292779" w:rsidRDefault="005A6228" w:rsidP="007B0150">
            <w:pPr>
              <w:jc w:val="center"/>
            </w:pPr>
          </w:p>
        </w:tc>
      </w:tr>
      <w:tr w:rsidR="0093195C" w:rsidRPr="00292779" w14:paraId="446E464A" w14:textId="77777777" w:rsidTr="008F3F33">
        <w:trPr>
          <w:trHeight w:val="236"/>
        </w:trPr>
        <w:tc>
          <w:tcPr>
            <w:tcW w:w="4295" w:type="dxa"/>
            <w:shd w:val="clear" w:color="auto" w:fill="auto"/>
            <w:vAlign w:val="center"/>
            <w:hideMark/>
          </w:tcPr>
          <w:p w14:paraId="6E842B7D" w14:textId="77777777" w:rsidR="005A6228" w:rsidRPr="00806E12" w:rsidRDefault="005A6228" w:rsidP="007B0150">
            <w:pPr>
              <w:rPr>
                <w:i/>
                <w:color w:val="000000"/>
                <w:u w:val="single"/>
              </w:rPr>
            </w:pPr>
            <w:r w:rsidRPr="00292779">
              <w:rPr>
                <w:i/>
                <w:color w:val="000000"/>
                <w:u w:val="single"/>
              </w:rPr>
              <w:t>Parent-Report Composite Risk Scores</w:t>
            </w:r>
          </w:p>
        </w:tc>
        <w:tc>
          <w:tcPr>
            <w:tcW w:w="599" w:type="dxa"/>
            <w:shd w:val="clear" w:color="auto" w:fill="auto"/>
            <w:noWrap/>
            <w:vAlign w:val="center"/>
            <w:hideMark/>
          </w:tcPr>
          <w:p w14:paraId="5F8556B7" w14:textId="77777777" w:rsidR="005A6228" w:rsidRPr="00806E12" w:rsidRDefault="005A6228" w:rsidP="007B0150">
            <w:pPr>
              <w:jc w:val="center"/>
              <w:rPr>
                <w:i/>
                <w:u w:val="single"/>
              </w:rPr>
            </w:pPr>
          </w:p>
        </w:tc>
        <w:tc>
          <w:tcPr>
            <w:tcW w:w="769" w:type="dxa"/>
            <w:shd w:val="clear" w:color="auto" w:fill="auto"/>
            <w:noWrap/>
            <w:vAlign w:val="center"/>
            <w:hideMark/>
          </w:tcPr>
          <w:p w14:paraId="195C9182" w14:textId="77777777" w:rsidR="005A6228" w:rsidRPr="00806E12" w:rsidRDefault="005A6228" w:rsidP="007B0150">
            <w:pPr>
              <w:jc w:val="center"/>
              <w:rPr>
                <w:i/>
                <w:u w:val="single"/>
              </w:rPr>
            </w:pPr>
          </w:p>
        </w:tc>
        <w:tc>
          <w:tcPr>
            <w:tcW w:w="769" w:type="dxa"/>
            <w:shd w:val="clear" w:color="auto" w:fill="auto"/>
            <w:noWrap/>
            <w:vAlign w:val="center"/>
            <w:hideMark/>
          </w:tcPr>
          <w:p w14:paraId="0F46F8B4" w14:textId="77777777" w:rsidR="005A6228" w:rsidRPr="00806E12" w:rsidRDefault="005A6228" w:rsidP="007B0150">
            <w:pPr>
              <w:jc w:val="center"/>
              <w:rPr>
                <w:i/>
                <w:u w:val="single"/>
              </w:rPr>
            </w:pPr>
          </w:p>
        </w:tc>
        <w:tc>
          <w:tcPr>
            <w:tcW w:w="332" w:type="dxa"/>
            <w:shd w:val="clear" w:color="auto" w:fill="auto"/>
            <w:noWrap/>
            <w:vAlign w:val="center"/>
            <w:hideMark/>
          </w:tcPr>
          <w:p w14:paraId="30BFC804" w14:textId="77777777" w:rsidR="005A6228" w:rsidRPr="00806E12" w:rsidRDefault="005A6228" w:rsidP="007B0150">
            <w:pPr>
              <w:jc w:val="center"/>
              <w:rPr>
                <w:i/>
                <w:u w:val="single"/>
              </w:rPr>
            </w:pPr>
          </w:p>
        </w:tc>
        <w:tc>
          <w:tcPr>
            <w:tcW w:w="630" w:type="dxa"/>
            <w:shd w:val="clear" w:color="auto" w:fill="auto"/>
            <w:noWrap/>
            <w:vAlign w:val="center"/>
            <w:hideMark/>
          </w:tcPr>
          <w:p w14:paraId="486904E3" w14:textId="77777777" w:rsidR="005A6228" w:rsidRPr="00806E12" w:rsidRDefault="005A6228" w:rsidP="007B0150">
            <w:pPr>
              <w:jc w:val="center"/>
              <w:rPr>
                <w:i/>
                <w:u w:val="single"/>
              </w:rPr>
            </w:pPr>
          </w:p>
        </w:tc>
        <w:tc>
          <w:tcPr>
            <w:tcW w:w="888" w:type="dxa"/>
            <w:shd w:val="clear" w:color="auto" w:fill="auto"/>
            <w:noWrap/>
            <w:vAlign w:val="center"/>
            <w:hideMark/>
          </w:tcPr>
          <w:p w14:paraId="7FED6495" w14:textId="77777777" w:rsidR="005A6228" w:rsidRPr="00806E12" w:rsidRDefault="005A6228" w:rsidP="007B0150">
            <w:pPr>
              <w:jc w:val="center"/>
              <w:rPr>
                <w:i/>
                <w:u w:val="single"/>
              </w:rPr>
            </w:pPr>
          </w:p>
        </w:tc>
        <w:tc>
          <w:tcPr>
            <w:tcW w:w="1246" w:type="dxa"/>
            <w:shd w:val="clear" w:color="auto" w:fill="auto"/>
            <w:noWrap/>
            <w:vAlign w:val="center"/>
            <w:hideMark/>
          </w:tcPr>
          <w:p w14:paraId="5138AC74" w14:textId="77777777" w:rsidR="005A6228" w:rsidRPr="00806E12" w:rsidRDefault="005A6228" w:rsidP="007B0150">
            <w:pPr>
              <w:jc w:val="center"/>
              <w:rPr>
                <w:i/>
                <w:u w:val="single"/>
              </w:rPr>
            </w:pPr>
          </w:p>
        </w:tc>
        <w:tc>
          <w:tcPr>
            <w:tcW w:w="327" w:type="dxa"/>
            <w:shd w:val="clear" w:color="auto" w:fill="auto"/>
            <w:noWrap/>
            <w:vAlign w:val="center"/>
            <w:hideMark/>
          </w:tcPr>
          <w:p w14:paraId="063CAF97" w14:textId="77777777" w:rsidR="005A6228" w:rsidRPr="00806E12" w:rsidRDefault="005A6228" w:rsidP="007B0150">
            <w:pPr>
              <w:jc w:val="center"/>
              <w:rPr>
                <w:i/>
                <w:u w:val="single"/>
              </w:rPr>
            </w:pPr>
          </w:p>
        </w:tc>
        <w:tc>
          <w:tcPr>
            <w:tcW w:w="669" w:type="dxa"/>
            <w:shd w:val="clear" w:color="auto" w:fill="auto"/>
            <w:noWrap/>
            <w:vAlign w:val="center"/>
            <w:hideMark/>
          </w:tcPr>
          <w:p w14:paraId="6128F857" w14:textId="77777777" w:rsidR="005A6228" w:rsidRPr="00806E12" w:rsidRDefault="005A6228" w:rsidP="007B0150">
            <w:pPr>
              <w:jc w:val="center"/>
              <w:rPr>
                <w:i/>
                <w:u w:val="single"/>
              </w:rPr>
            </w:pPr>
          </w:p>
        </w:tc>
        <w:tc>
          <w:tcPr>
            <w:tcW w:w="888" w:type="dxa"/>
            <w:shd w:val="clear" w:color="auto" w:fill="auto"/>
            <w:noWrap/>
            <w:vAlign w:val="center"/>
            <w:hideMark/>
          </w:tcPr>
          <w:p w14:paraId="7BCBFC31" w14:textId="77777777" w:rsidR="005A6228" w:rsidRPr="00806E12" w:rsidRDefault="005A6228" w:rsidP="007B0150">
            <w:pPr>
              <w:jc w:val="center"/>
              <w:rPr>
                <w:i/>
                <w:u w:val="single"/>
              </w:rPr>
            </w:pPr>
          </w:p>
        </w:tc>
        <w:tc>
          <w:tcPr>
            <w:tcW w:w="1248" w:type="dxa"/>
            <w:shd w:val="clear" w:color="auto" w:fill="auto"/>
            <w:noWrap/>
            <w:vAlign w:val="center"/>
            <w:hideMark/>
          </w:tcPr>
          <w:p w14:paraId="5B96D4CB" w14:textId="77777777" w:rsidR="005A6228" w:rsidRPr="00806E12" w:rsidRDefault="005A6228" w:rsidP="007B0150">
            <w:pPr>
              <w:jc w:val="center"/>
              <w:rPr>
                <w:i/>
                <w:u w:val="single"/>
              </w:rPr>
            </w:pPr>
          </w:p>
        </w:tc>
      </w:tr>
      <w:tr w:rsidR="0093195C" w:rsidRPr="00292779" w14:paraId="43EFC692" w14:textId="77777777" w:rsidTr="008F3F33">
        <w:trPr>
          <w:trHeight w:val="236"/>
        </w:trPr>
        <w:tc>
          <w:tcPr>
            <w:tcW w:w="4295" w:type="dxa"/>
            <w:shd w:val="clear" w:color="auto" w:fill="auto"/>
            <w:vAlign w:val="center"/>
            <w:hideMark/>
          </w:tcPr>
          <w:p w14:paraId="558B56DA" w14:textId="77777777" w:rsidR="005A6228" w:rsidRPr="00806E12" w:rsidRDefault="005A6228" w:rsidP="007B0150">
            <w:pPr>
              <w:rPr>
                <w:color w:val="000000"/>
              </w:rPr>
            </w:pPr>
            <w:r w:rsidRPr="00292779">
              <w:rPr>
                <w:color w:val="000000"/>
              </w:rPr>
              <w:t>E</w:t>
            </w:r>
            <w:r w:rsidRPr="00806E12">
              <w:rPr>
                <w:color w:val="000000"/>
              </w:rPr>
              <w:t xml:space="preserve">motional </w:t>
            </w:r>
            <w:r w:rsidRPr="00292779">
              <w:rPr>
                <w:color w:val="000000"/>
              </w:rPr>
              <w:t>domain</w:t>
            </w:r>
          </w:p>
        </w:tc>
        <w:tc>
          <w:tcPr>
            <w:tcW w:w="599" w:type="dxa"/>
            <w:shd w:val="clear" w:color="auto" w:fill="auto"/>
            <w:noWrap/>
            <w:vAlign w:val="center"/>
            <w:hideMark/>
          </w:tcPr>
          <w:p w14:paraId="5D8FDE75"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7356129B" w14:textId="77777777" w:rsidR="005A6228" w:rsidRPr="00806E12" w:rsidRDefault="005A6228" w:rsidP="007B0150">
            <w:pPr>
              <w:jc w:val="center"/>
              <w:rPr>
                <w:color w:val="000000"/>
              </w:rPr>
            </w:pPr>
            <w:r w:rsidRPr="00806E12">
              <w:rPr>
                <w:color w:val="000000"/>
              </w:rPr>
              <w:t>1.07</w:t>
            </w:r>
          </w:p>
        </w:tc>
        <w:tc>
          <w:tcPr>
            <w:tcW w:w="769" w:type="dxa"/>
            <w:shd w:val="clear" w:color="auto" w:fill="auto"/>
            <w:noWrap/>
            <w:vAlign w:val="center"/>
            <w:hideMark/>
          </w:tcPr>
          <w:p w14:paraId="4814B7EC" w14:textId="77777777" w:rsidR="005A6228" w:rsidRPr="00806E12" w:rsidRDefault="005A6228" w:rsidP="007B0150">
            <w:pPr>
              <w:jc w:val="center"/>
              <w:rPr>
                <w:color w:val="000000"/>
              </w:rPr>
            </w:pPr>
            <w:r w:rsidRPr="00806E12">
              <w:rPr>
                <w:color w:val="000000"/>
              </w:rPr>
              <w:t>0.59</w:t>
            </w:r>
          </w:p>
        </w:tc>
        <w:tc>
          <w:tcPr>
            <w:tcW w:w="332" w:type="dxa"/>
            <w:shd w:val="clear" w:color="auto" w:fill="auto"/>
            <w:noWrap/>
            <w:vAlign w:val="center"/>
            <w:hideMark/>
          </w:tcPr>
          <w:p w14:paraId="5DE0BD10" w14:textId="77777777" w:rsidR="005A6228" w:rsidRPr="00806E12" w:rsidRDefault="005A6228" w:rsidP="007B0150">
            <w:pPr>
              <w:jc w:val="center"/>
              <w:rPr>
                <w:color w:val="000000"/>
              </w:rPr>
            </w:pPr>
          </w:p>
        </w:tc>
        <w:tc>
          <w:tcPr>
            <w:tcW w:w="630" w:type="dxa"/>
            <w:shd w:val="clear" w:color="auto" w:fill="auto"/>
            <w:noWrap/>
            <w:vAlign w:val="center"/>
            <w:hideMark/>
          </w:tcPr>
          <w:p w14:paraId="11C1F0F9"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84631FC" w14:textId="77777777" w:rsidR="005A6228" w:rsidRPr="00806E12" w:rsidRDefault="005A6228" w:rsidP="007B0150">
            <w:pPr>
              <w:jc w:val="center"/>
              <w:rPr>
                <w:color w:val="000000"/>
              </w:rPr>
            </w:pPr>
            <w:r w:rsidRPr="00806E12">
              <w:rPr>
                <w:color w:val="000000"/>
              </w:rPr>
              <w:t>0.03</w:t>
            </w:r>
          </w:p>
        </w:tc>
        <w:tc>
          <w:tcPr>
            <w:tcW w:w="1246" w:type="dxa"/>
            <w:shd w:val="clear" w:color="auto" w:fill="auto"/>
            <w:noWrap/>
            <w:vAlign w:val="center"/>
            <w:hideMark/>
          </w:tcPr>
          <w:p w14:paraId="17F86CDC" w14:textId="77777777" w:rsidR="005A6228" w:rsidRPr="00806E12" w:rsidRDefault="005A6228" w:rsidP="007B0150">
            <w:pPr>
              <w:jc w:val="center"/>
              <w:rPr>
                <w:color w:val="000000"/>
              </w:rPr>
            </w:pPr>
            <w:r w:rsidRPr="00806E12">
              <w:rPr>
                <w:color w:val="000000"/>
              </w:rPr>
              <w:t>0.99</w:t>
            </w:r>
          </w:p>
        </w:tc>
        <w:tc>
          <w:tcPr>
            <w:tcW w:w="327" w:type="dxa"/>
            <w:shd w:val="clear" w:color="auto" w:fill="auto"/>
            <w:noWrap/>
            <w:vAlign w:val="center"/>
            <w:hideMark/>
          </w:tcPr>
          <w:p w14:paraId="3075055F" w14:textId="77777777" w:rsidR="005A6228" w:rsidRPr="00806E12" w:rsidRDefault="005A6228" w:rsidP="007B0150">
            <w:pPr>
              <w:jc w:val="center"/>
              <w:rPr>
                <w:color w:val="000000"/>
              </w:rPr>
            </w:pPr>
          </w:p>
        </w:tc>
        <w:tc>
          <w:tcPr>
            <w:tcW w:w="669" w:type="dxa"/>
            <w:shd w:val="clear" w:color="auto" w:fill="auto"/>
            <w:noWrap/>
            <w:vAlign w:val="center"/>
            <w:hideMark/>
          </w:tcPr>
          <w:p w14:paraId="145BD200"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193FE3A" w14:textId="77777777" w:rsidR="005A6228" w:rsidRPr="00806E12" w:rsidRDefault="005A6228" w:rsidP="007B0150">
            <w:pPr>
              <w:jc w:val="center"/>
              <w:rPr>
                <w:color w:val="000000"/>
              </w:rPr>
            </w:pPr>
            <w:r w:rsidRPr="00806E12">
              <w:rPr>
                <w:color w:val="000000"/>
              </w:rPr>
              <w:t>4.16</w:t>
            </w:r>
          </w:p>
        </w:tc>
        <w:tc>
          <w:tcPr>
            <w:tcW w:w="1248" w:type="dxa"/>
            <w:shd w:val="clear" w:color="auto" w:fill="auto"/>
            <w:noWrap/>
            <w:vAlign w:val="center"/>
            <w:hideMark/>
          </w:tcPr>
          <w:p w14:paraId="458CC1B3" w14:textId="77777777" w:rsidR="005A6228" w:rsidRPr="00806E12" w:rsidRDefault="005A6228" w:rsidP="007B0150">
            <w:pPr>
              <w:jc w:val="center"/>
              <w:rPr>
                <w:color w:val="000000"/>
              </w:rPr>
            </w:pPr>
            <w:r w:rsidRPr="00806E12">
              <w:rPr>
                <w:color w:val="000000"/>
              </w:rPr>
              <w:t>0.13</w:t>
            </w:r>
          </w:p>
        </w:tc>
      </w:tr>
      <w:tr w:rsidR="0093195C" w:rsidRPr="00292779" w14:paraId="1A8644BA" w14:textId="77777777" w:rsidTr="008F3F33">
        <w:trPr>
          <w:trHeight w:val="236"/>
        </w:trPr>
        <w:tc>
          <w:tcPr>
            <w:tcW w:w="4295" w:type="dxa"/>
            <w:shd w:val="clear" w:color="auto" w:fill="auto"/>
            <w:vAlign w:val="center"/>
            <w:hideMark/>
          </w:tcPr>
          <w:p w14:paraId="60A1A102" w14:textId="77777777" w:rsidR="005A6228" w:rsidRPr="00806E12" w:rsidRDefault="005A6228" w:rsidP="007B0150">
            <w:pPr>
              <w:rPr>
                <w:color w:val="000000"/>
              </w:rPr>
            </w:pPr>
            <w:r w:rsidRPr="00292779">
              <w:rPr>
                <w:color w:val="000000"/>
              </w:rPr>
              <w:t>Cognitive domain</w:t>
            </w:r>
          </w:p>
        </w:tc>
        <w:tc>
          <w:tcPr>
            <w:tcW w:w="599" w:type="dxa"/>
            <w:shd w:val="clear" w:color="auto" w:fill="auto"/>
            <w:noWrap/>
            <w:vAlign w:val="center"/>
            <w:hideMark/>
          </w:tcPr>
          <w:p w14:paraId="33AABEFE"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86DD404" w14:textId="77777777" w:rsidR="005A6228" w:rsidRPr="00806E12" w:rsidRDefault="005A6228" w:rsidP="007B0150">
            <w:pPr>
              <w:jc w:val="center"/>
              <w:rPr>
                <w:color w:val="000000"/>
              </w:rPr>
            </w:pPr>
            <w:r w:rsidRPr="00806E12">
              <w:rPr>
                <w:color w:val="000000"/>
              </w:rPr>
              <w:t>2.01</w:t>
            </w:r>
          </w:p>
        </w:tc>
        <w:tc>
          <w:tcPr>
            <w:tcW w:w="769" w:type="dxa"/>
            <w:shd w:val="clear" w:color="auto" w:fill="auto"/>
            <w:noWrap/>
            <w:vAlign w:val="center"/>
            <w:hideMark/>
          </w:tcPr>
          <w:p w14:paraId="686B6AB4" w14:textId="77777777" w:rsidR="005A6228" w:rsidRPr="00806E12" w:rsidRDefault="005A6228" w:rsidP="007B0150">
            <w:pPr>
              <w:jc w:val="center"/>
              <w:rPr>
                <w:color w:val="000000"/>
              </w:rPr>
            </w:pPr>
            <w:r w:rsidRPr="00806E12">
              <w:rPr>
                <w:color w:val="000000"/>
              </w:rPr>
              <w:t>0.37</w:t>
            </w:r>
          </w:p>
        </w:tc>
        <w:tc>
          <w:tcPr>
            <w:tcW w:w="332" w:type="dxa"/>
            <w:shd w:val="clear" w:color="auto" w:fill="auto"/>
            <w:noWrap/>
            <w:vAlign w:val="center"/>
            <w:hideMark/>
          </w:tcPr>
          <w:p w14:paraId="7BE95FA4" w14:textId="77777777" w:rsidR="005A6228" w:rsidRPr="00806E12" w:rsidRDefault="005A6228" w:rsidP="007B0150">
            <w:pPr>
              <w:jc w:val="center"/>
              <w:rPr>
                <w:color w:val="000000"/>
              </w:rPr>
            </w:pPr>
          </w:p>
        </w:tc>
        <w:tc>
          <w:tcPr>
            <w:tcW w:w="630" w:type="dxa"/>
            <w:shd w:val="clear" w:color="auto" w:fill="auto"/>
            <w:noWrap/>
            <w:vAlign w:val="center"/>
            <w:hideMark/>
          </w:tcPr>
          <w:p w14:paraId="43071821"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2358614" w14:textId="77777777" w:rsidR="005A6228" w:rsidRPr="00806E12" w:rsidRDefault="005A6228" w:rsidP="007B0150">
            <w:pPr>
              <w:jc w:val="center"/>
              <w:rPr>
                <w:color w:val="000000"/>
              </w:rPr>
            </w:pPr>
            <w:r w:rsidRPr="00806E12">
              <w:rPr>
                <w:color w:val="000000"/>
              </w:rPr>
              <w:t>0.84</w:t>
            </w:r>
          </w:p>
        </w:tc>
        <w:tc>
          <w:tcPr>
            <w:tcW w:w="1246" w:type="dxa"/>
            <w:shd w:val="clear" w:color="auto" w:fill="auto"/>
            <w:noWrap/>
            <w:vAlign w:val="center"/>
            <w:hideMark/>
          </w:tcPr>
          <w:p w14:paraId="5A6569CE" w14:textId="77777777" w:rsidR="005A6228" w:rsidRPr="00806E12" w:rsidRDefault="005A6228" w:rsidP="007B0150">
            <w:pPr>
              <w:jc w:val="center"/>
              <w:rPr>
                <w:color w:val="000000"/>
              </w:rPr>
            </w:pPr>
            <w:r w:rsidRPr="00806E12">
              <w:rPr>
                <w:color w:val="000000"/>
              </w:rPr>
              <w:t>0.66</w:t>
            </w:r>
          </w:p>
        </w:tc>
        <w:tc>
          <w:tcPr>
            <w:tcW w:w="327" w:type="dxa"/>
            <w:shd w:val="clear" w:color="auto" w:fill="auto"/>
            <w:noWrap/>
            <w:vAlign w:val="center"/>
            <w:hideMark/>
          </w:tcPr>
          <w:p w14:paraId="7F98FB0C" w14:textId="77777777" w:rsidR="005A6228" w:rsidRPr="00806E12" w:rsidRDefault="005A6228" w:rsidP="007B0150">
            <w:pPr>
              <w:jc w:val="center"/>
              <w:rPr>
                <w:color w:val="000000"/>
              </w:rPr>
            </w:pPr>
          </w:p>
        </w:tc>
        <w:tc>
          <w:tcPr>
            <w:tcW w:w="669" w:type="dxa"/>
            <w:shd w:val="clear" w:color="auto" w:fill="auto"/>
            <w:noWrap/>
            <w:vAlign w:val="center"/>
            <w:hideMark/>
          </w:tcPr>
          <w:p w14:paraId="2AE3EBD4"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4DAF039" w14:textId="77777777" w:rsidR="005A6228" w:rsidRPr="00806E12" w:rsidRDefault="005A6228" w:rsidP="007B0150">
            <w:pPr>
              <w:jc w:val="center"/>
              <w:rPr>
                <w:color w:val="000000"/>
              </w:rPr>
            </w:pPr>
            <w:r w:rsidRPr="00806E12">
              <w:rPr>
                <w:color w:val="000000"/>
              </w:rPr>
              <w:t>3.02</w:t>
            </w:r>
          </w:p>
        </w:tc>
        <w:tc>
          <w:tcPr>
            <w:tcW w:w="1248" w:type="dxa"/>
            <w:shd w:val="clear" w:color="auto" w:fill="auto"/>
            <w:noWrap/>
            <w:vAlign w:val="center"/>
            <w:hideMark/>
          </w:tcPr>
          <w:p w14:paraId="5E3E63C4" w14:textId="77777777" w:rsidR="005A6228" w:rsidRPr="00806E12" w:rsidRDefault="005A6228" w:rsidP="007B0150">
            <w:pPr>
              <w:jc w:val="center"/>
              <w:rPr>
                <w:color w:val="000000"/>
              </w:rPr>
            </w:pPr>
            <w:r w:rsidRPr="00806E12">
              <w:rPr>
                <w:color w:val="000000"/>
              </w:rPr>
              <w:t>0.22</w:t>
            </w:r>
          </w:p>
        </w:tc>
      </w:tr>
      <w:tr w:rsidR="0093195C" w:rsidRPr="00292779" w14:paraId="440C00A2" w14:textId="77777777" w:rsidTr="008F3F33">
        <w:trPr>
          <w:trHeight w:val="236"/>
        </w:trPr>
        <w:tc>
          <w:tcPr>
            <w:tcW w:w="4295" w:type="dxa"/>
            <w:shd w:val="clear" w:color="auto" w:fill="auto"/>
            <w:vAlign w:val="center"/>
            <w:hideMark/>
          </w:tcPr>
          <w:p w14:paraId="2C0743FA" w14:textId="77777777" w:rsidR="005A6228" w:rsidRPr="00806E12" w:rsidRDefault="005A6228" w:rsidP="007B0150">
            <w:r w:rsidRPr="00292779">
              <w:t>B</w:t>
            </w:r>
            <w:r w:rsidRPr="00806E12">
              <w:t xml:space="preserve">ehavioral </w:t>
            </w:r>
            <w:r w:rsidRPr="00292779">
              <w:t>domain</w:t>
            </w:r>
          </w:p>
        </w:tc>
        <w:tc>
          <w:tcPr>
            <w:tcW w:w="599" w:type="dxa"/>
            <w:shd w:val="clear" w:color="auto" w:fill="auto"/>
            <w:noWrap/>
            <w:vAlign w:val="center"/>
            <w:hideMark/>
          </w:tcPr>
          <w:p w14:paraId="2DC78E56" w14:textId="77777777" w:rsidR="005A6228" w:rsidRPr="00806E12" w:rsidRDefault="005A6228" w:rsidP="007B0150">
            <w:pPr>
              <w:jc w:val="center"/>
            </w:pPr>
            <w:r w:rsidRPr="00806E12">
              <w:t>2</w:t>
            </w:r>
          </w:p>
        </w:tc>
        <w:tc>
          <w:tcPr>
            <w:tcW w:w="769" w:type="dxa"/>
            <w:shd w:val="clear" w:color="auto" w:fill="auto"/>
            <w:noWrap/>
            <w:vAlign w:val="center"/>
            <w:hideMark/>
          </w:tcPr>
          <w:p w14:paraId="5BAC3BC7" w14:textId="77777777" w:rsidR="005A6228" w:rsidRPr="00806E12" w:rsidRDefault="005A6228" w:rsidP="007B0150">
            <w:pPr>
              <w:jc w:val="center"/>
            </w:pPr>
            <w:r w:rsidRPr="00806E12">
              <w:t>1.24</w:t>
            </w:r>
          </w:p>
        </w:tc>
        <w:tc>
          <w:tcPr>
            <w:tcW w:w="769" w:type="dxa"/>
            <w:shd w:val="clear" w:color="auto" w:fill="auto"/>
            <w:noWrap/>
            <w:vAlign w:val="center"/>
            <w:hideMark/>
          </w:tcPr>
          <w:p w14:paraId="797E2685" w14:textId="77777777" w:rsidR="005A6228" w:rsidRPr="00806E12" w:rsidRDefault="005A6228" w:rsidP="007B0150">
            <w:pPr>
              <w:jc w:val="center"/>
            </w:pPr>
            <w:r w:rsidRPr="00806E12">
              <w:t>0.54</w:t>
            </w:r>
          </w:p>
        </w:tc>
        <w:tc>
          <w:tcPr>
            <w:tcW w:w="332" w:type="dxa"/>
            <w:shd w:val="clear" w:color="auto" w:fill="auto"/>
            <w:noWrap/>
            <w:vAlign w:val="center"/>
            <w:hideMark/>
          </w:tcPr>
          <w:p w14:paraId="7798A55D" w14:textId="77777777" w:rsidR="005A6228" w:rsidRPr="00806E12" w:rsidRDefault="005A6228" w:rsidP="007B0150">
            <w:pPr>
              <w:jc w:val="center"/>
            </w:pPr>
          </w:p>
        </w:tc>
        <w:tc>
          <w:tcPr>
            <w:tcW w:w="630" w:type="dxa"/>
            <w:shd w:val="clear" w:color="auto" w:fill="auto"/>
            <w:noWrap/>
            <w:vAlign w:val="center"/>
            <w:hideMark/>
          </w:tcPr>
          <w:p w14:paraId="360CD41A" w14:textId="77777777" w:rsidR="005A6228" w:rsidRPr="00806E12" w:rsidRDefault="005A6228" w:rsidP="007B0150">
            <w:pPr>
              <w:jc w:val="center"/>
            </w:pPr>
            <w:r w:rsidRPr="00806E12">
              <w:t>2</w:t>
            </w:r>
          </w:p>
        </w:tc>
        <w:tc>
          <w:tcPr>
            <w:tcW w:w="888" w:type="dxa"/>
            <w:shd w:val="clear" w:color="auto" w:fill="auto"/>
            <w:noWrap/>
            <w:vAlign w:val="center"/>
            <w:hideMark/>
          </w:tcPr>
          <w:p w14:paraId="2531B1E7" w14:textId="77777777" w:rsidR="005A6228" w:rsidRPr="00806E12" w:rsidRDefault="005A6228" w:rsidP="007B0150">
            <w:pPr>
              <w:jc w:val="center"/>
            </w:pPr>
            <w:r w:rsidRPr="00806E12">
              <w:t>0.18</w:t>
            </w:r>
          </w:p>
        </w:tc>
        <w:tc>
          <w:tcPr>
            <w:tcW w:w="1246" w:type="dxa"/>
            <w:shd w:val="clear" w:color="auto" w:fill="auto"/>
            <w:noWrap/>
            <w:vAlign w:val="center"/>
            <w:hideMark/>
          </w:tcPr>
          <w:p w14:paraId="7E82B731" w14:textId="77777777" w:rsidR="005A6228" w:rsidRPr="00806E12" w:rsidRDefault="005A6228" w:rsidP="007B0150">
            <w:pPr>
              <w:jc w:val="center"/>
            </w:pPr>
            <w:r w:rsidRPr="00806E12">
              <w:t>0.91</w:t>
            </w:r>
          </w:p>
        </w:tc>
        <w:tc>
          <w:tcPr>
            <w:tcW w:w="327" w:type="dxa"/>
            <w:shd w:val="clear" w:color="auto" w:fill="auto"/>
            <w:noWrap/>
            <w:vAlign w:val="center"/>
            <w:hideMark/>
          </w:tcPr>
          <w:p w14:paraId="77BACF8E" w14:textId="77777777" w:rsidR="005A6228" w:rsidRPr="00806E12" w:rsidRDefault="005A6228" w:rsidP="007B0150">
            <w:pPr>
              <w:jc w:val="center"/>
            </w:pPr>
          </w:p>
        </w:tc>
        <w:tc>
          <w:tcPr>
            <w:tcW w:w="669" w:type="dxa"/>
            <w:shd w:val="clear" w:color="auto" w:fill="auto"/>
            <w:noWrap/>
            <w:vAlign w:val="center"/>
            <w:hideMark/>
          </w:tcPr>
          <w:p w14:paraId="54B9650F" w14:textId="77777777" w:rsidR="005A6228" w:rsidRPr="00806E12" w:rsidRDefault="005A6228" w:rsidP="007B0150">
            <w:pPr>
              <w:jc w:val="center"/>
            </w:pPr>
            <w:r w:rsidRPr="00806E12">
              <w:t>2</w:t>
            </w:r>
          </w:p>
        </w:tc>
        <w:tc>
          <w:tcPr>
            <w:tcW w:w="888" w:type="dxa"/>
            <w:shd w:val="clear" w:color="auto" w:fill="auto"/>
            <w:noWrap/>
            <w:vAlign w:val="center"/>
            <w:hideMark/>
          </w:tcPr>
          <w:p w14:paraId="6766CEA2" w14:textId="77777777" w:rsidR="005A6228" w:rsidRPr="00806E12" w:rsidRDefault="005A6228" w:rsidP="007B0150">
            <w:pPr>
              <w:jc w:val="center"/>
            </w:pPr>
            <w:r w:rsidRPr="00806E12">
              <w:t>3.93</w:t>
            </w:r>
          </w:p>
        </w:tc>
        <w:tc>
          <w:tcPr>
            <w:tcW w:w="1248" w:type="dxa"/>
            <w:shd w:val="clear" w:color="auto" w:fill="auto"/>
            <w:noWrap/>
            <w:vAlign w:val="center"/>
            <w:hideMark/>
          </w:tcPr>
          <w:p w14:paraId="6E12030D" w14:textId="77777777" w:rsidR="005A6228" w:rsidRPr="00806E12" w:rsidRDefault="005A6228" w:rsidP="007B0150">
            <w:pPr>
              <w:jc w:val="center"/>
            </w:pPr>
            <w:r w:rsidRPr="00806E12">
              <w:t>0.14</w:t>
            </w:r>
          </w:p>
        </w:tc>
      </w:tr>
      <w:tr w:rsidR="0093195C" w:rsidRPr="00292779" w14:paraId="08347250" w14:textId="77777777" w:rsidTr="008F3F33">
        <w:trPr>
          <w:trHeight w:val="236"/>
        </w:trPr>
        <w:tc>
          <w:tcPr>
            <w:tcW w:w="4295" w:type="dxa"/>
            <w:shd w:val="clear" w:color="auto" w:fill="auto"/>
            <w:vAlign w:val="center"/>
            <w:hideMark/>
          </w:tcPr>
          <w:p w14:paraId="1B812AE2" w14:textId="77777777" w:rsidR="005A6228" w:rsidRPr="00806E12" w:rsidRDefault="005A6228" w:rsidP="007B0150">
            <w:pPr>
              <w:rPr>
                <w:color w:val="000000"/>
              </w:rPr>
            </w:pPr>
            <w:r w:rsidRPr="00292779">
              <w:rPr>
                <w:color w:val="000000"/>
              </w:rPr>
              <w:t>Social</w:t>
            </w:r>
            <w:r w:rsidRPr="00806E12">
              <w:rPr>
                <w:color w:val="000000"/>
              </w:rPr>
              <w:t xml:space="preserve"> </w:t>
            </w:r>
            <w:r w:rsidRPr="00292779">
              <w:rPr>
                <w:color w:val="000000"/>
              </w:rPr>
              <w:t>domain</w:t>
            </w:r>
          </w:p>
        </w:tc>
        <w:tc>
          <w:tcPr>
            <w:tcW w:w="599" w:type="dxa"/>
            <w:shd w:val="clear" w:color="auto" w:fill="auto"/>
            <w:noWrap/>
            <w:vAlign w:val="center"/>
            <w:hideMark/>
          </w:tcPr>
          <w:p w14:paraId="4556E662"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1D125FA" w14:textId="77777777" w:rsidR="005A6228" w:rsidRPr="00806E12" w:rsidRDefault="005A6228" w:rsidP="007B0150">
            <w:pPr>
              <w:jc w:val="center"/>
              <w:rPr>
                <w:color w:val="000000"/>
              </w:rPr>
            </w:pPr>
            <w:r w:rsidRPr="00806E12">
              <w:rPr>
                <w:color w:val="000000"/>
              </w:rPr>
              <w:t>1.57</w:t>
            </w:r>
          </w:p>
        </w:tc>
        <w:tc>
          <w:tcPr>
            <w:tcW w:w="769" w:type="dxa"/>
            <w:shd w:val="clear" w:color="auto" w:fill="auto"/>
            <w:noWrap/>
            <w:vAlign w:val="center"/>
            <w:hideMark/>
          </w:tcPr>
          <w:p w14:paraId="3FAAC2A2" w14:textId="77777777" w:rsidR="005A6228" w:rsidRPr="00806E12" w:rsidRDefault="005A6228" w:rsidP="007B0150">
            <w:pPr>
              <w:jc w:val="center"/>
              <w:rPr>
                <w:color w:val="000000"/>
              </w:rPr>
            </w:pPr>
            <w:r w:rsidRPr="00806E12">
              <w:rPr>
                <w:color w:val="000000"/>
              </w:rPr>
              <w:t>0.46</w:t>
            </w:r>
          </w:p>
        </w:tc>
        <w:tc>
          <w:tcPr>
            <w:tcW w:w="332" w:type="dxa"/>
            <w:shd w:val="clear" w:color="auto" w:fill="auto"/>
            <w:noWrap/>
            <w:vAlign w:val="center"/>
            <w:hideMark/>
          </w:tcPr>
          <w:p w14:paraId="14F9A063" w14:textId="77777777" w:rsidR="005A6228" w:rsidRPr="00806E12" w:rsidRDefault="005A6228" w:rsidP="007B0150">
            <w:pPr>
              <w:jc w:val="center"/>
              <w:rPr>
                <w:color w:val="000000"/>
              </w:rPr>
            </w:pPr>
          </w:p>
        </w:tc>
        <w:tc>
          <w:tcPr>
            <w:tcW w:w="630" w:type="dxa"/>
            <w:shd w:val="clear" w:color="auto" w:fill="auto"/>
            <w:noWrap/>
            <w:vAlign w:val="center"/>
            <w:hideMark/>
          </w:tcPr>
          <w:p w14:paraId="478AC025"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30FA1E8A" w14:textId="77777777" w:rsidR="005A6228" w:rsidRPr="00806E12" w:rsidRDefault="005A6228" w:rsidP="007B0150">
            <w:pPr>
              <w:jc w:val="center"/>
              <w:rPr>
                <w:color w:val="000000"/>
              </w:rPr>
            </w:pPr>
            <w:r w:rsidRPr="00806E12">
              <w:rPr>
                <w:color w:val="000000"/>
              </w:rPr>
              <w:t>0.65</w:t>
            </w:r>
          </w:p>
        </w:tc>
        <w:tc>
          <w:tcPr>
            <w:tcW w:w="1246" w:type="dxa"/>
            <w:shd w:val="clear" w:color="auto" w:fill="auto"/>
            <w:noWrap/>
            <w:vAlign w:val="center"/>
            <w:hideMark/>
          </w:tcPr>
          <w:p w14:paraId="06725879" w14:textId="77777777" w:rsidR="005A6228" w:rsidRPr="00806E12" w:rsidRDefault="005A6228" w:rsidP="007B0150">
            <w:pPr>
              <w:jc w:val="center"/>
              <w:rPr>
                <w:color w:val="000000"/>
              </w:rPr>
            </w:pPr>
            <w:r w:rsidRPr="00806E12">
              <w:rPr>
                <w:color w:val="000000"/>
              </w:rPr>
              <w:t>0.72</w:t>
            </w:r>
          </w:p>
        </w:tc>
        <w:tc>
          <w:tcPr>
            <w:tcW w:w="327" w:type="dxa"/>
            <w:shd w:val="clear" w:color="auto" w:fill="auto"/>
            <w:noWrap/>
            <w:vAlign w:val="center"/>
            <w:hideMark/>
          </w:tcPr>
          <w:p w14:paraId="6BB8C03E" w14:textId="77777777" w:rsidR="005A6228" w:rsidRPr="00806E12" w:rsidRDefault="005A6228" w:rsidP="007B0150">
            <w:pPr>
              <w:jc w:val="center"/>
              <w:rPr>
                <w:color w:val="000000"/>
              </w:rPr>
            </w:pPr>
          </w:p>
        </w:tc>
        <w:tc>
          <w:tcPr>
            <w:tcW w:w="669" w:type="dxa"/>
            <w:shd w:val="clear" w:color="auto" w:fill="auto"/>
            <w:noWrap/>
            <w:vAlign w:val="center"/>
            <w:hideMark/>
          </w:tcPr>
          <w:p w14:paraId="29B403C2"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A00FF6B" w14:textId="77777777" w:rsidR="005A6228" w:rsidRPr="00806E12" w:rsidRDefault="005A6228" w:rsidP="007B0150">
            <w:pPr>
              <w:jc w:val="center"/>
              <w:rPr>
                <w:color w:val="000000"/>
              </w:rPr>
            </w:pPr>
            <w:r w:rsidRPr="00806E12">
              <w:rPr>
                <w:color w:val="000000"/>
              </w:rPr>
              <w:t>2.26</w:t>
            </w:r>
          </w:p>
        </w:tc>
        <w:tc>
          <w:tcPr>
            <w:tcW w:w="1248" w:type="dxa"/>
            <w:shd w:val="clear" w:color="auto" w:fill="auto"/>
            <w:noWrap/>
            <w:vAlign w:val="center"/>
            <w:hideMark/>
          </w:tcPr>
          <w:p w14:paraId="135392D3" w14:textId="77777777" w:rsidR="005A6228" w:rsidRPr="00806E12" w:rsidRDefault="005A6228" w:rsidP="007B0150">
            <w:pPr>
              <w:jc w:val="center"/>
              <w:rPr>
                <w:color w:val="000000"/>
              </w:rPr>
            </w:pPr>
            <w:r w:rsidRPr="00806E12">
              <w:rPr>
                <w:color w:val="000000"/>
              </w:rPr>
              <w:t>0.32</w:t>
            </w:r>
          </w:p>
        </w:tc>
      </w:tr>
      <w:tr w:rsidR="0093195C" w:rsidRPr="00292779" w14:paraId="3E939BBD" w14:textId="77777777" w:rsidTr="008F3F33">
        <w:trPr>
          <w:trHeight w:val="236"/>
        </w:trPr>
        <w:tc>
          <w:tcPr>
            <w:tcW w:w="4295" w:type="dxa"/>
            <w:shd w:val="clear" w:color="auto" w:fill="auto"/>
            <w:vAlign w:val="center"/>
            <w:hideMark/>
          </w:tcPr>
          <w:p w14:paraId="5F120961" w14:textId="77777777" w:rsidR="005A6228" w:rsidRPr="00806E12" w:rsidRDefault="005A6228" w:rsidP="007B0150">
            <w:pPr>
              <w:rPr>
                <w:color w:val="000000"/>
              </w:rPr>
            </w:pPr>
            <w:r w:rsidRPr="00292779">
              <w:rPr>
                <w:color w:val="000000"/>
              </w:rPr>
              <w:t>P</w:t>
            </w:r>
            <w:r w:rsidRPr="00806E12">
              <w:rPr>
                <w:color w:val="000000"/>
              </w:rPr>
              <w:t xml:space="preserve">hysical </w:t>
            </w:r>
            <w:r w:rsidRPr="00292779">
              <w:rPr>
                <w:color w:val="000000"/>
              </w:rPr>
              <w:t>domain</w:t>
            </w:r>
          </w:p>
        </w:tc>
        <w:tc>
          <w:tcPr>
            <w:tcW w:w="599" w:type="dxa"/>
            <w:shd w:val="clear" w:color="auto" w:fill="auto"/>
            <w:noWrap/>
            <w:vAlign w:val="center"/>
            <w:hideMark/>
          </w:tcPr>
          <w:p w14:paraId="51FEAF6B"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29C8C44" w14:textId="77777777" w:rsidR="005A6228" w:rsidRPr="00806E12" w:rsidRDefault="005A6228" w:rsidP="007B0150">
            <w:pPr>
              <w:jc w:val="center"/>
              <w:rPr>
                <w:color w:val="000000"/>
              </w:rPr>
            </w:pPr>
            <w:r w:rsidRPr="00806E12">
              <w:rPr>
                <w:color w:val="000000"/>
              </w:rPr>
              <w:t>3.14</w:t>
            </w:r>
          </w:p>
        </w:tc>
        <w:tc>
          <w:tcPr>
            <w:tcW w:w="769" w:type="dxa"/>
            <w:shd w:val="clear" w:color="auto" w:fill="auto"/>
            <w:noWrap/>
            <w:vAlign w:val="center"/>
            <w:hideMark/>
          </w:tcPr>
          <w:p w14:paraId="3ABDD1DD" w14:textId="77777777" w:rsidR="005A6228" w:rsidRPr="00806E12" w:rsidRDefault="005A6228" w:rsidP="007B0150">
            <w:pPr>
              <w:jc w:val="center"/>
              <w:rPr>
                <w:color w:val="000000"/>
              </w:rPr>
            </w:pPr>
            <w:r w:rsidRPr="00806E12">
              <w:rPr>
                <w:color w:val="000000"/>
              </w:rPr>
              <w:t>0.21</w:t>
            </w:r>
          </w:p>
        </w:tc>
        <w:tc>
          <w:tcPr>
            <w:tcW w:w="332" w:type="dxa"/>
            <w:shd w:val="clear" w:color="auto" w:fill="auto"/>
            <w:noWrap/>
            <w:vAlign w:val="center"/>
            <w:hideMark/>
          </w:tcPr>
          <w:p w14:paraId="1F28D7DD" w14:textId="77777777" w:rsidR="005A6228" w:rsidRPr="00806E12" w:rsidRDefault="005A6228" w:rsidP="007B0150">
            <w:pPr>
              <w:jc w:val="center"/>
              <w:rPr>
                <w:color w:val="000000"/>
              </w:rPr>
            </w:pPr>
          </w:p>
        </w:tc>
        <w:tc>
          <w:tcPr>
            <w:tcW w:w="630" w:type="dxa"/>
            <w:shd w:val="clear" w:color="auto" w:fill="auto"/>
            <w:noWrap/>
            <w:vAlign w:val="center"/>
            <w:hideMark/>
          </w:tcPr>
          <w:p w14:paraId="7CEE052F"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249DC5A" w14:textId="77777777" w:rsidR="005A6228" w:rsidRPr="00806E12" w:rsidRDefault="005A6228" w:rsidP="007B0150">
            <w:pPr>
              <w:jc w:val="center"/>
              <w:rPr>
                <w:color w:val="000000"/>
              </w:rPr>
            </w:pPr>
            <w:r w:rsidRPr="00806E12">
              <w:rPr>
                <w:color w:val="000000"/>
              </w:rPr>
              <w:t>1.78</w:t>
            </w:r>
          </w:p>
        </w:tc>
        <w:tc>
          <w:tcPr>
            <w:tcW w:w="1246" w:type="dxa"/>
            <w:shd w:val="clear" w:color="auto" w:fill="auto"/>
            <w:noWrap/>
            <w:vAlign w:val="center"/>
            <w:hideMark/>
          </w:tcPr>
          <w:p w14:paraId="76974155" w14:textId="77777777" w:rsidR="005A6228" w:rsidRPr="00806E12" w:rsidRDefault="005A6228" w:rsidP="007B0150">
            <w:pPr>
              <w:jc w:val="center"/>
              <w:rPr>
                <w:color w:val="000000"/>
              </w:rPr>
            </w:pPr>
            <w:r w:rsidRPr="00806E12">
              <w:rPr>
                <w:color w:val="000000"/>
              </w:rPr>
              <w:t>0.41</w:t>
            </w:r>
          </w:p>
        </w:tc>
        <w:tc>
          <w:tcPr>
            <w:tcW w:w="327" w:type="dxa"/>
            <w:shd w:val="clear" w:color="auto" w:fill="auto"/>
            <w:noWrap/>
            <w:vAlign w:val="center"/>
            <w:hideMark/>
          </w:tcPr>
          <w:p w14:paraId="23B25583" w14:textId="77777777" w:rsidR="005A6228" w:rsidRPr="00806E12" w:rsidRDefault="005A6228" w:rsidP="007B0150">
            <w:pPr>
              <w:jc w:val="center"/>
              <w:rPr>
                <w:color w:val="000000"/>
              </w:rPr>
            </w:pPr>
          </w:p>
        </w:tc>
        <w:tc>
          <w:tcPr>
            <w:tcW w:w="669" w:type="dxa"/>
            <w:shd w:val="clear" w:color="auto" w:fill="auto"/>
            <w:noWrap/>
            <w:vAlign w:val="center"/>
            <w:hideMark/>
          </w:tcPr>
          <w:p w14:paraId="0B875158"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1484CC5" w14:textId="77777777" w:rsidR="005A6228" w:rsidRPr="00806E12" w:rsidRDefault="005A6228" w:rsidP="007B0150">
            <w:pPr>
              <w:jc w:val="center"/>
              <w:rPr>
                <w:color w:val="000000"/>
              </w:rPr>
            </w:pPr>
            <w:r w:rsidRPr="00806E12">
              <w:rPr>
                <w:color w:val="000000"/>
              </w:rPr>
              <w:t>3.26</w:t>
            </w:r>
          </w:p>
        </w:tc>
        <w:tc>
          <w:tcPr>
            <w:tcW w:w="1248" w:type="dxa"/>
            <w:shd w:val="clear" w:color="auto" w:fill="auto"/>
            <w:noWrap/>
            <w:vAlign w:val="center"/>
            <w:hideMark/>
          </w:tcPr>
          <w:p w14:paraId="2DB61D6D" w14:textId="77777777" w:rsidR="005A6228" w:rsidRPr="00806E12" w:rsidRDefault="005A6228" w:rsidP="007B0150">
            <w:pPr>
              <w:jc w:val="center"/>
              <w:rPr>
                <w:color w:val="000000"/>
              </w:rPr>
            </w:pPr>
            <w:r w:rsidRPr="00806E12">
              <w:rPr>
                <w:color w:val="000000"/>
              </w:rPr>
              <w:t>0.20</w:t>
            </w:r>
          </w:p>
        </w:tc>
      </w:tr>
    </w:tbl>
    <w:p w14:paraId="17E90757" w14:textId="0482D17A" w:rsidR="00D66388" w:rsidRPr="000E02C3" w:rsidRDefault="005A6228">
      <w:pPr>
        <w:rPr>
          <w:sz w:val="22"/>
        </w:rPr>
      </w:pPr>
      <w:r w:rsidRPr="00292779">
        <w:rPr>
          <w:i/>
          <w:sz w:val="22"/>
        </w:rPr>
        <w:t>Notes.</w:t>
      </w:r>
      <w:r w:rsidRPr="00292779">
        <w:rPr>
          <w:sz w:val="22"/>
        </w:rPr>
        <w:t xml:space="preserve"> *indicates primary outcomes of the RCT. The corrected significance level is 0.0026 based on either Hochberg (1988), Benjamin &amp; Hochberg (1995), or Bonferron</w:t>
      </w:r>
      <w:bookmarkStart w:id="1" w:name="_GoBack"/>
      <w:bookmarkEnd w:id="1"/>
      <w:r w:rsidRPr="00292779">
        <w:rPr>
          <w:sz w:val="22"/>
        </w:rPr>
        <w:t>i correction for multiple testing</w:t>
      </w:r>
      <w:r w:rsidR="00CA6BCA">
        <w:rPr>
          <w:sz w:val="22"/>
        </w:rPr>
        <w:t xml:space="preserve"> within each subset of analysis</w:t>
      </w:r>
      <w:r w:rsidR="002C05DF">
        <w:rPr>
          <w:sz w:val="22"/>
        </w:rPr>
        <w:t xml:space="preserve"> (testing of moderating effects of sex, age, and risk </w:t>
      </w:r>
      <w:r w:rsidR="00745948">
        <w:rPr>
          <w:sz w:val="22"/>
        </w:rPr>
        <w:t>domains</w:t>
      </w:r>
      <w:r w:rsidR="002C05DF">
        <w:rPr>
          <w:sz w:val="22"/>
        </w:rPr>
        <w:t xml:space="preserve"> are considered three subsets of analysis)</w:t>
      </w:r>
      <w:r w:rsidRPr="00292779">
        <w:rPr>
          <w:sz w:val="22"/>
        </w:rPr>
        <w:t xml:space="preserve">. **indicates significant </w:t>
      </w:r>
      <w:r w:rsidRPr="00292779">
        <w:rPr>
          <w:i/>
          <w:sz w:val="22"/>
        </w:rPr>
        <w:t>p</w:t>
      </w:r>
      <w:r w:rsidRPr="00292779">
        <w:rPr>
          <w:sz w:val="22"/>
        </w:rPr>
        <w:t xml:space="preserve">-values after correction for multiplicity. </w:t>
      </w:r>
    </w:p>
    <w:p w14:paraId="61CB4203" w14:textId="77777777" w:rsidR="007A759C" w:rsidRPr="00292779" w:rsidRDefault="007A759C" w:rsidP="007411A4">
      <w:pPr>
        <w:sectPr w:rsidR="007A759C" w:rsidRPr="00292779" w:rsidSect="009B6718">
          <w:pgSz w:w="15840" w:h="12240" w:orient="landscape"/>
          <w:pgMar w:top="1440" w:right="1440" w:bottom="1440" w:left="1440" w:header="720" w:footer="720" w:gutter="0"/>
          <w:cols w:space="720"/>
          <w:docGrid w:linePitch="360"/>
        </w:sectPr>
      </w:pPr>
    </w:p>
    <w:p w14:paraId="4DB049C7" w14:textId="77777777" w:rsidR="007A759C" w:rsidRPr="00292779" w:rsidRDefault="001F670D" w:rsidP="007A759C">
      <w:pPr>
        <w:ind w:hanging="900"/>
      </w:pPr>
      <w:r w:rsidRPr="00292779">
        <w:rPr>
          <w:i/>
        </w:rPr>
        <w:lastRenderedPageBreak/>
        <w:t xml:space="preserve">Figure 1. </w:t>
      </w:r>
      <w:r w:rsidR="007A759C" w:rsidRPr="00292779">
        <w:t xml:space="preserve">CONSORT Diagram Illustrating the Flow of Participants Through the Study </w:t>
      </w:r>
    </w:p>
    <w:p w14:paraId="7F0B2537" w14:textId="6AE57858" w:rsidR="007A759C" w:rsidRPr="00292779" w:rsidRDefault="007A759C" w:rsidP="007A759C">
      <w:pPr>
        <w:ind w:left="-540" w:hanging="630"/>
        <w:rPr>
          <w:i/>
        </w:rPr>
      </w:pPr>
      <w:r w:rsidRPr="00292779">
        <w:rPr>
          <w:b/>
          <w:noProof/>
          <w:sz w:val="28"/>
          <w:szCs w:val="28"/>
        </w:rPr>
        <mc:AlternateContent>
          <mc:Choice Requires="wps">
            <w:drawing>
              <wp:anchor distT="0" distB="0" distL="114300" distR="114300" simplePos="0" relativeHeight="251681792" behindDoc="0" locked="0" layoutInCell="1" allowOverlap="1" wp14:anchorId="4CE6A495" wp14:editId="4744B78E">
                <wp:simplePos x="0" y="0"/>
                <wp:positionH relativeFrom="column">
                  <wp:posOffset>3286125</wp:posOffset>
                </wp:positionH>
                <wp:positionV relativeFrom="paragraph">
                  <wp:posOffset>5743575</wp:posOffset>
                </wp:positionV>
                <wp:extent cx="3300095" cy="770890"/>
                <wp:effectExtent l="0" t="0" r="1905" b="3810"/>
                <wp:wrapNone/>
                <wp:docPr id="31"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0095" cy="770890"/>
                        </a:xfrm>
                        <a:prstGeom prst="rect">
                          <a:avLst/>
                        </a:prstGeom>
                        <a:solidFill>
                          <a:srgbClr val="FFFFFF"/>
                        </a:solidFill>
                        <a:ln w="9525">
                          <a:solidFill>
                            <a:srgbClr val="000000"/>
                          </a:solidFill>
                          <a:miter lim="800000"/>
                          <a:headEnd/>
                          <a:tailEnd/>
                        </a:ln>
                      </wps:spPr>
                      <wps:txbx>
                        <w:txbxContent>
                          <w:p w14:paraId="5E62BD87" w14:textId="77777777" w:rsidR="001F373B" w:rsidRPr="00DB728A" w:rsidRDefault="001F373B" w:rsidP="007A759C">
                            <w:pPr>
                              <w:rPr>
                                <w:sz w:val="20"/>
                              </w:rPr>
                            </w:pPr>
                            <w:r>
                              <w:rPr>
                                <w:sz w:val="20"/>
                              </w:rPr>
                              <w:t>Lost to follow up (N=4</w:t>
                            </w:r>
                            <w:r w:rsidRPr="00DB728A">
                              <w:rPr>
                                <w:sz w:val="20"/>
                              </w:rPr>
                              <w:t xml:space="preserve">) </w:t>
                            </w:r>
                          </w:p>
                          <w:p w14:paraId="0D0DCEBF" w14:textId="77777777" w:rsidR="001F373B" w:rsidRPr="00DB728A" w:rsidRDefault="001F373B" w:rsidP="007A759C">
                            <w:pPr>
                              <w:ind w:left="240"/>
                              <w:rPr>
                                <w:sz w:val="20"/>
                              </w:rPr>
                            </w:pPr>
                            <w:r w:rsidRPr="00DB728A">
                              <w:rPr>
                                <w:b/>
                                <w:sz w:val="20"/>
                              </w:rPr>
                              <w:t>Reason:</w:t>
                            </w:r>
                            <w:r w:rsidRPr="00DB728A">
                              <w:rPr>
                                <w:sz w:val="20"/>
                              </w:rPr>
                              <w:t xml:space="preserve"> 3 teens stopped</w:t>
                            </w:r>
                            <w:r>
                              <w:rPr>
                                <w:sz w:val="20"/>
                              </w:rPr>
                              <w:t xml:space="preserve"> responding to research staff; 1</w:t>
                            </w:r>
                            <w:r w:rsidRPr="00DB728A">
                              <w:rPr>
                                <w:sz w:val="20"/>
                              </w:rPr>
                              <w:t xml:space="preserve"> </w:t>
                            </w:r>
                            <w:r>
                              <w:rPr>
                                <w:sz w:val="20"/>
                              </w:rPr>
                              <w:t>t</w:t>
                            </w:r>
                            <w:r w:rsidRPr="005C0506">
                              <w:rPr>
                                <w:sz w:val="20"/>
                              </w:rPr>
                              <w:t>een thought the intervention was not helpful</w:t>
                            </w:r>
                            <w:r>
                              <w:rPr>
                                <w:sz w:val="20"/>
                              </w:rPr>
                              <w:t>.</w:t>
                            </w:r>
                          </w:p>
                          <w:p w14:paraId="65C11BAC" w14:textId="77777777" w:rsidR="001F373B" w:rsidRPr="00172316" w:rsidRDefault="001F373B" w:rsidP="007A759C">
                            <w:pPr>
                              <w:rPr>
                                <w:rFonts w:ascii="Arial" w:hAnsi="Arial" w:cs="Arial"/>
                                <w:sz w:val="20"/>
                                <w:szCs w:val="20"/>
                                <w:lang w:val="en-CA"/>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E6A495" id="Rectangle 49" o:spid="_x0000_s1026" style="position:absolute;left:0;text-align:left;margin-left:258.75pt;margin-top:452.25pt;width:259.85pt;height:60.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">
                <v:path arrowok="t"/>
                <v:textbox inset=",7.2pt,,7.2pt">
                  <w:txbxContent>
                    <w:p w14:paraId="5E62BD87" w14:textId="77777777" w:rsidR="001F373B" w:rsidRPr="00DB728A" w:rsidRDefault="001F373B" w:rsidP="007A759C">
                      <w:pPr>
                        <w:rPr>
                          <w:sz w:val="20"/>
                        </w:rPr>
                      </w:pPr>
                      <w:r>
                        <w:rPr>
                          <w:sz w:val="20"/>
                        </w:rPr>
                        <w:t>Lost to follow up (N=4</w:t>
                      </w:r>
                      <w:r w:rsidRPr="00DB728A">
                        <w:rPr>
                          <w:sz w:val="20"/>
                        </w:rPr>
                        <w:t xml:space="preserve">) </w:t>
                      </w:r>
                    </w:p>
                    <w:p w14:paraId="0D0DCEBF" w14:textId="77777777" w:rsidR="001F373B" w:rsidRPr="00DB728A" w:rsidRDefault="001F373B" w:rsidP="007A759C">
                      <w:pPr>
                        <w:ind w:left="240"/>
                        <w:rPr>
                          <w:sz w:val="20"/>
                        </w:rPr>
                      </w:pPr>
                      <w:r w:rsidRPr="00DB728A">
                        <w:rPr>
                          <w:b/>
                          <w:sz w:val="20"/>
                        </w:rPr>
                        <w:t>Reason:</w:t>
                      </w:r>
                      <w:r w:rsidRPr="00DB728A">
                        <w:rPr>
                          <w:sz w:val="20"/>
                        </w:rPr>
                        <w:t xml:space="preserve"> 3 teens stopped</w:t>
                      </w:r>
                      <w:r>
                        <w:rPr>
                          <w:sz w:val="20"/>
                        </w:rPr>
                        <w:t xml:space="preserve"> responding to research staff; 1</w:t>
                      </w:r>
                      <w:r w:rsidRPr="00DB728A">
                        <w:rPr>
                          <w:sz w:val="20"/>
                        </w:rPr>
                        <w:t xml:space="preserve"> </w:t>
                      </w:r>
                      <w:r>
                        <w:rPr>
                          <w:sz w:val="20"/>
                        </w:rPr>
                        <w:t>t</w:t>
                      </w:r>
                      <w:r w:rsidRPr="005C0506">
                        <w:rPr>
                          <w:sz w:val="20"/>
                        </w:rPr>
                        <w:t>een thought the intervention was not helpful</w:t>
                      </w:r>
                      <w:r>
                        <w:rPr>
                          <w:sz w:val="20"/>
                        </w:rPr>
                        <w:t>.</w:t>
                      </w:r>
                    </w:p>
                    <w:p w14:paraId="65C11BAC" w14:textId="77777777" w:rsidR="001F373B" w:rsidRPr="00172316" w:rsidRDefault="001F373B" w:rsidP="007A759C">
                      <w:pPr>
                        <w:rPr>
                          <w:rFonts w:ascii="Arial" w:hAnsi="Arial" w:cs="Arial"/>
                          <w:sz w:val="20"/>
                          <w:szCs w:val="20"/>
                          <w:lang w:val="en-CA"/>
                        </w:rPr>
                      </w:pPr>
                    </w:p>
                  </w:txbxContent>
                </v:textbox>
              </v:rect>
            </w:pict>
          </mc:Fallback>
        </mc:AlternateContent>
      </w:r>
      <w:r w:rsidRPr="00292779">
        <w:rPr>
          <w:b/>
          <w:noProof/>
          <w:sz w:val="28"/>
          <w:szCs w:val="28"/>
        </w:rPr>
        <mc:AlternateContent>
          <mc:Choice Requires="wps">
            <w:drawing>
              <wp:anchor distT="0" distB="0" distL="114300" distR="114300" simplePos="0" relativeHeight="251680768" behindDoc="0" locked="0" layoutInCell="1" allowOverlap="1" wp14:anchorId="32428ABE" wp14:editId="3DD171CA">
                <wp:simplePos x="0" y="0"/>
                <wp:positionH relativeFrom="column">
                  <wp:posOffset>-540385</wp:posOffset>
                </wp:positionH>
                <wp:positionV relativeFrom="paragraph">
                  <wp:posOffset>5743575</wp:posOffset>
                </wp:positionV>
                <wp:extent cx="3298825" cy="770890"/>
                <wp:effectExtent l="0" t="0" r="3175" b="3810"/>
                <wp:wrapNone/>
                <wp:docPr id="30"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8825" cy="770890"/>
                        </a:xfrm>
                        <a:prstGeom prst="rect">
                          <a:avLst/>
                        </a:prstGeom>
                        <a:solidFill>
                          <a:srgbClr val="FFFFFF"/>
                        </a:solidFill>
                        <a:ln w="9525">
                          <a:solidFill>
                            <a:srgbClr val="000000"/>
                          </a:solidFill>
                          <a:miter lim="800000"/>
                          <a:headEnd/>
                          <a:tailEnd/>
                        </a:ln>
                      </wps:spPr>
                      <wps:txbx>
                        <w:txbxContent>
                          <w:p w14:paraId="5322FEA3" w14:textId="77777777" w:rsidR="001F373B" w:rsidRPr="00DB728A" w:rsidRDefault="001F373B" w:rsidP="007A759C">
                            <w:pPr>
                              <w:rPr>
                                <w:sz w:val="20"/>
                              </w:rPr>
                            </w:pPr>
                            <w:r w:rsidRPr="00DB728A">
                              <w:rPr>
                                <w:sz w:val="20"/>
                              </w:rPr>
                              <w:t>Lost to follow up (N=</w:t>
                            </w:r>
                            <w:r>
                              <w:rPr>
                                <w:sz w:val="20"/>
                              </w:rPr>
                              <w:t>4</w:t>
                            </w:r>
                            <w:r w:rsidRPr="00DB728A">
                              <w:rPr>
                                <w:sz w:val="20"/>
                              </w:rPr>
                              <w:t xml:space="preserve">) </w:t>
                            </w:r>
                          </w:p>
                          <w:p w14:paraId="008F8C3C" w14:textId="77777777" w:rsidR="001F373B" w:rsidRPr="00DB728A" w:rsidRDefault="001F373B" w:rsidP="007A759C">
                            <w:pPr>
                              <w:ind w:left="240"/>
                              <w:rPr>
                                <w:sz w:val="20"/>
                              </w:rPr>
                            </w:pPr>
                            <w:r w:rsidRPr="00DB728A">
                              <w:rPr>
                                <w:b/>
                                <w:sz w:val="20"/>
                              </w:rPr>
                              <w:t>Reason:</w:t>
                            </w:r>
                            <w:r>
                              <w:rPr>
                                <w:sz w:val="20"/>
                              </w:rPr>
                              <w:t xml:space="preserve"> 2</w:t>
                            </w:r>
                            <w:r w:rsidRPr="00DB728A">
                              <w:rPr>
                                <w:sz w:val="20"/>
                              </w:rPr>
                              <w:t xml:space="preserve"> teens thought the intervention was not helpful; 1 teen family too busy to continue; 1 family emergency impeded continuing</w:t>
                            </w:r>
                            <w:r>
                              <w:rPr>
                                <w:sz w:val="20"/>
                              </w:rPr>
                              <w:t>.</w:t>
                            </w:r>
                          </w:p>
                          <w:p w14:paraId="1E03852F" w14:textId="77777777" w:rsidR="001F373B" w:rsidRPr="00172316" w:rsidRDefault="001F373B" w:rsidP="007A759C">
                            <w:pPr>
                              <w:rPr>
                                <w:rFonts w:ascii="Arial" w:hAnsi="Arial" w:cs="Arial"/>
                                <w:sz w:val="20"/>
                                <w:szCs w:val="20"/>
                                <w:lang w:val="en-CA"/>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428ABE" id="Rectangle 48" o:spid="_x0000_s1027" style="position:absolute;left:0;text-align:left;margin-left:-42.55pt;margin-top:452.25pt;width:259.75pt;height:6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">
                <v:path arrowok="t"/>
                <v:textbox inset=",7.2pt,,7.2pt">
                  <w:txbxContent>
                    <w:p w14:paraId="5322FEA3" w14:textId="77777777" w:rsidR="001F373B" w:rsidRPr="00DB728A" w:rsidRDefault="001F373B" w:rsidP="007A759C">
                      <w:pPr>
                        <w:rPr>
                          <w:sz w:val="20"/>
                        </w:rPr>
                      </w:pPr>
                      <w:r w:rsidRPr="00DB728A">
                        <w:rPr>
                          <w:sz w:val="20"/>
                        </w:rPr>
                        <w:t>Lost to follow up (N=</w:t>
                      </w:r>
                      <w:r>
                        <w:rPr>
                          <w:sz w:val="20"/>
                        </w:rPr>
                        <w:t>4</w:t>
                      </w:r>
                      <w:r w:rsidRPr="00DB728A">
                        <w:rPr>
                          <w:sz w:val="20"/>
                        </w:rPr>
                        <w:t xml:space="preserve">) </w:t>
                      </w:r>
                    </w:p>
                    <w:p w14:paraId="008F8C3C" w14:textId="77777777" w:rsidR="001F373B" w:rsidRPr="00DB728A" w:rsidRDefault="001F373B" w:rsidP="007A759C">
                      <w:pPr>
                        <w:ind w:left="240"/>
                        <w:rPr>
                          <w:sz w:val="20"/>
                        </w:rPr>
                      </w:pPr>
                      <w:r w:rsidRPr="00DB728A">
                        <w:rPr>
                          <w:b/>
                          <w:sz w:val="20"/>
                        </w:rPr>
                        <w:t>Reason:</w:t>
                      </w:r>
                      <w:r>
                        <w:rPr>
                          <w:sz w:val="20"/>
                        </w:rPr>
                        <w:t xml:space="preserve"> 2</w:t>
                      </w:r>
                      <w:r w:rsidRPr="00DB728A">
                        <w:rPr>
                          <w:sz w:val="20"/>
                        </w:rPr>
                        <w:t xml:space="preserve"> teens thought the intervention was not helpful; 1 teen family too busy to continue; 1 family emergency impeded continuing</w:t>
                      </w:r>
                      <w:r>
                        <w:rPr>
                          <w:sz w:val="20"/>
                        </w:rPr>
                        <w:t>.</w:t>
                      </w:r>
                    </w:p>
                    <w:p w14:paraId="1E03852F" w14:textId="77777777" w:rsidR="001F373B" w:rsidRPr="00172316" w:rsidRDefault="001F373B" w:rsidP="007A759C">
                      <w:pPr>
                        <w:rPr>
                          <w:rFonts w:ascii="Arial" w:hAnsi="Arial" w:cs="Arial"/>
                          <w:sz w:val="20"/>
                          <w:szCs w:val="20"/>
                          <w:lang w:val="en-CA"/>
                        </w:rPr>
                      </w:pPr>
                    </w:p>
                  </w:txbxContent>
                </v:textbox>
              </v:rect>
            </w:pict>
          </mc:Fallback>
        </mc:AlternateContent>
      </w:r>
      <w:r w:rsidRPr="00292779">
        <w:rPr>
          <w:b/>
          <w:noProof/>
          <w:sz w:val="28"/>
          <w:szCs w:val="28"/>
        </w:rPr>
        <mc:AlternateContent>
          <mc:Choice Requires="wps">
            <w:drawing>
              <wp:anchor distT="36576" distB="36576" distL="36576" distR="36576" simplePos="0" relativeHeight="251683840" behindDoc="0" locked="0" layoutInCell="1" allowOverlap="1" wp14:anchorId="557F539A" wp14:editId="10B723FF">
                <wp:simplePos x="0" y="0"/>
                <wp:positionH relativeFrom="column">
                  <wp:posOffset>1052195</wp:posOffset>
                </wp:positionH>
                <wp:positionV relativeFrom="paragraph">
                  <wp:posOffset>5280660</wp:posOffset>
                </wp:positionV>
                <wp:extent cx="0" cy="457200"/>
                <wp:effectExtent l="63500" t="0" r="50800" b="25400"/>
                <wp:wrapNone/>
                <wp:docPr id="28"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FCADA5B" id="_x0000_t32" coordsize="21600,21600" o:spt="32" o:oned="t" path="m,l21600,21600e" filled="f">
                <v:path arrowok="t" fillok="f" o:connecttype="none"/>
                <o:lock v:ext="edit" shapetype="t"/>
              </v:shapetype>
              <v:shape id="AutoShape 51" o:spid="_x0000_s1026" type="#_x0000_t32" style="position:absolute;margin-left:82.85pt;margin-top:415.8pt;width:0;height:36pt;z-index:2516838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64384" behindDoc="0" locked="0" layoutInCell="1" allowOverlap="1" wp14:anchorId="5CECBA70" wp14:editId="00B93B80">
                <wp:simplePos x="0" y="0"/>
                <wp:positionH relativeFrom="column">
                  <wp:posOffset>3286125</wp:posOffset>
                </wp:positionH>
                <wp:positionV relativeFrom="paragraph">
                  <wp:posOffset>4076700</wp:posOffset>
                </wp:positionV>
                <wp:extent cx="3300095" cy="1189990"/>
                <wp:effectExtent l="0" t="0" r="1905" b="3810"/>
                <wp:wrapNone/>
                <wp:docPr id="2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0095" cy="1189990"/>
                        </a:xfrm>
                        <a:prstGeom prst="rect">
                          <a:avLst/>
                        </a:prstGeom>
                        <a:solidFill>
                          <a:srgbClr val="FFFFFF"/>
                        </a:solidFill>
                        <a:ln w="9525">
                          <a:solidFill>
                            <a:srgbClr val="000000"/>
                          </a:solidFill>
                          <a:miter lim="800000"/>
                          <a:headEnd/>
                          <a:tailEnd/>
                        </a:ln>
                      </wps:spPr>
                      <wps:txbx>
                        <w:txbxContent>
                          <w:p w14:paraId="08D71439" w14:textId="77777777" w:rsidR="001F373B" w:rsidRPr="00BB1E0D" w:rsidRDefault="001F373B" w:rsidP="007A759C">
                            <w:pPr>
                              <w:rPr>
                                <w:sz w:val="20"/>
                              </w:rPr>
                            </w:pPr>
                            <w:r w:rsidRPr="00BB1E0D">
                              <w:rPr>
                                <w:sz w:val="20"/>
                              </w:rPr>
                              <w:t xml:space="preserve">Lost to follow up (N=3) </w:t>
                            </w:r>
                          </w:p>
                          <w:p w14:paraId="3E2F712D" w14:textId="77777777" w:rsidR="001F373B" w:rsidRPr="00BB1E0D" w:rsidRDefault="001F373B" w:rsidP="007A759C">
                            <w:pPr>
                              <w:ind w:left="240"/>
                              <w:rPr>
                                <w:sz w:val="20"/>
                              </w:rPr>
                            </w:pPr>
                            <w:r w:rsidRPr="00BB1E0D">
                              <w:rPr>
                                <w:b/>
                                <w:sz w:val="20"/>
                              </w:rPr>
                              <w:t>Reason:</w:t>
                            </w:r>
                            <w:r w:rsidRPr="00BB1E0D">
                              <w:rPr>
                                <w:sz w:val="20"/>
                              </w:rPr>
                              <w:t xml:space="preserve"> 2 teens decided the study required a significant time commitment; 1 teen did not complete follow up due to a medical condition.</w:t>
                            </w:r>
                          </w:p>
                          <w:p w14:paraId="3D15941B" w14:textId="77777777" w:rsidR="001F373B" w:rsidRPr="00BB1E0D" w:rsidRDefault="001F373B" w:rsidP="007A759C">
                            <w:pPr>
                              <w:rPr>
                                <w:sz w:val="20"/>
                              </w:rPr>
                            </w:pPr>
                            <w:r w:rsidRPr="00BB1E0D">
                              <w:rPr>
                                <w:sz w:val="20"/>
                              </w:rPr>
                              <w:t>Discontinued intervention (N=1)</w:t>
                            </w:r>
                          </w:p>
                          <w:p w14:paraId="7FDF9198" w14:textId="77777777" w:rsidR="001F373B" w:rsidRPr="00BB1E0D" w:rsidRDefault="001F373B" w:rsidP="007A759C">
                            <w:pPr>
                              <w:ind w:left="240"/>
                              <w:rPr>
                                <w:sz w:val="20"/>
                              </w:rPr>
                            </w:pPr>
                            <w:r w:rsidRPr="00BB1E0D">
                              <w:rPr>
                                <w:b/>
                                <w:sz w:val="20"/>
                              </w:rPr>
                              <w:t>Reason:</w:t>
                            </w:r>
                            <w:r w:rsidRPr="00BB1E0D">
                              <w:rPr>
                                <w:sz w:val="20"/>
                              </w:rPr>
                              <w:t xml:space="preserve"> Family decided the study required a significant time commitment. </w:t>
                            </w:r>
                          </w:p>
                          <w:p w14:paraId="3EE1607E" w14:textId="77777777" w:rsidR="001F373B" w:rsidRPr="00172316" w:rsidRDefault="001F373B" w:rsidP="007A759C">
                            <w:pP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ECBA70" id="Rectangle 28" o:spid="_x0000_s1028" style="position:absolute;left:0;text-align:left;margin-left:258.75pt;margin-top:321pt;width:259.85pt;height:9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">
                <v:path arrowok="t"/>
                <v:textbox inset=",7.2pt,,7.2pt">
                  <w:txbxContent>
                    <w:p w14:paraId="08D71439" w14:textId="77777777" w:rsidR="001F373B" w:rsidRPr="00BB1E0D" w:rsidRDefault="001F373B" w:rsidP="007A759C">
                      <w:pPr>
                        <w:rPr>
                          <w:sz w:val="20"/>
                        </w:rPr>
                      </w:pPr>
                      <w:r w:rsidRPr="00BB1E0D">
                        <w:rPr>
                          <w:sz w:val="20"/>
                        </w:rPr>
                        <w:t xml:space="preserve">Lost to follow up (N=3) </w:t>
                      </w:r>
                    </w:p>
                    <w:p w14:paraId="3E2F712D" w14:textId="77777777" w:rsidR="001F373B" w:rsidRPr="00BB1E0D" w:rsidRDefault="001F373B" w:rsidP="007A759C">
                      <w:pPr>
                        <w:ind w:left="240"/>
                        <w:rPr>
                          <w:sz w:val="20"/>
                        </w:rPr>
                      </w:pPr>
                      <w:r w:rsidRPr="00BB1E0D">
                        <w:rPr>
                          <w:b/>
                          <w:sz w:val="20"/>
                        </w:rPr>
                        <w:t>Reason:</w:t>
                      </w:r>
                      <w:r w:rsidRPr="00BB1E0D">
                        <w:rPr>
                          <w:sz w:val="20"/>
                        </w:rPr>
                        <w:t xml:space="preserve"> 2 teens decided the study required a significant time commitment; 1 teen did not complete follow up due to a medical condition.</w:t>
                      </w:r>
                    </w:p>
                    <w:p w14:paraId="3D15941B" w14:textId="77777777" w:rsidR="001F373B" w:rsidRPr="00BB1E0D" w:rsidRDefault="001F373B" w:rsidP="007A759C">
                      <w:pPr>
                        <w:rPr>
                          <w:sz w:val="20"/>
                        </w:rPr>
                      </w:pPr>
                      <w:r w:rsidRPr="00BB1E0D">
                        <w:rPr>
                          <w:sz w:val="20"/>
                        </w:rPr>
                        <w:t>Discontinued intervention (N=1)</w:t>
                      </w:r>
                    </w:p>
                    <w:p w14:paraId="7FDF9198" w14:textId="77777777" w:rsidR="001F373B" w:rsidRPr="00BB1E0D" w:rsidRDefault="001F373B" w:rsidP="007A759C">
                      <w:pPr>
                        <w:ind w:left="240"/>
                        <w:rPr>
                          <w:sz w:val="20"/>
                        </w:rPr>
                      </w:pPr>
                      <w:r w:rsidRPr="00BB1E0D">
                        <w:rPr>
                          <w:b/>
                          <w:sz w:val="20"/>
                        </w:rPr>
                        <w:t>Reason:</w:t>
                      </w:r>
                      <w:r w:rsidRPr="00BB1E0D">
                        <w:rPr>
                          <w:sz w:val="20"/>
                        </w:rPr>
                        <w:t xml:space="preserve"> Family decided the study required a significant time commitment. </w:t>
                      </w:r>
                    </w:p>
                    <w:p w14:paraId="3EE1607E" w14:textId="77777777" w:rsidR="001F373B" w:rsidRPr="00172316" w:rsidRDefault="001F373B" w:rsidP="007A759C">
                      <w:pPr>
                        <w:rPr>
                          <w:rFonts w:ascii="Arial" w:hAnsi="Arial" w:cs="Arial"/>
                          <w:sz w:val="20"/>
                          <w:szCs w:val="20"/>
                        </w:rPr>
                      </w:pPr>
                    </w:p>
                  </w:txbxContent>
                </v:textbox>
              </v:rect>
            </w:pict>
          </mc:Fallback>
        </mc:AlternateContent>
      </w:r>
      <w:r w:rsidRPr="00292779">
        <w:rPr>
          <w:b/>
          <w:noProof/>
          <w:sz w:val="28"/>
          <w:szCs w:val="28"/>
        </w:rPr>
        <mc:AlternateContent>
          <mc:Choice Requires="wps">
            <w:drawing>
              <wp:anchor distT="0" distB="0" distL="114300" distR="114300" simplePos="0" relativeHeight="251662336" behindDoc="0" locked="0" layoutInCell="1" allowOverlap="1" wp14:anchorId="5D2C44B0" wp14:editId="0653EDB5">
                <wp:simplePos x="0" y="0"/>
                <wp:positionH relativeFrom="column">
                  <wp:posOffset>-540385</wp:posOffset>
                </wp:positionH>
                <wp:positionV relativeFrom="paragraph">
                  <wp:posOffset>4095750</wp:posOffset>
                </wp:positionV>
                <wp:extent cx="3298825" cy="1177925"/>
                <wp:effectExtent l="0" t="0" r="3175" b="317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8825" cy="1177925"/>
                        </a:xfrm>
                        <a:prstGeom prst="rect">
                          <a:avLst/>
                        </a:prstGeom>
                        <a:solidFill>
                          <a:srgbClr val="FFFFFF"/>
                        </a:solidFill>
                        <a:ln w="9525">
                          <a:solidFill>
                            <a:srgbClr val="000000"/>
                          </a:solidFill>
                          <a:miter lim="800000"/>
                          <a:headEnd/>
                          <a:tailEnd/>
                        </a:ln>
                      </wps:spPr>
                      <wps:txbx>
                        <w:txbxContent>
                          <w:p w14:paraId="0B398AA1" w14:textId="77777777" w:rsidR="001F373B" w:rsidRPr="005C0506" w:rsidRDefault="001F373B" w:rsidP="007A759C">
                            <w:pPr>
                              <w:rPr>
                                <w:sz w:val="20"/>
                              </w:rPr>
                            </w:pPr>
                            <w:r w:rsidRPr="005C0506">
                              <w:rPr>
                                <w:sz w:val="20"/>
                              </w:rPr>
                              <w:t xml:space="preserve">Lost to follow up (N=1) </w:t>
                            </w:r>
                          </w:p>
                          <w:p w14:paraId="3987F5AA" w14:textId="77777777" w:rsidR="001F373B" w:rsidRPr="005C0506" w:rsidRDefault="001F373B" w:rsidP="007A759C">
                            <w:pPr>
                              <w:ind w:left="240"/>
                              <w:rPr>
                                <w:sz w:val="20"/>
                              </w:rPr>
                            </w:pPr>
                            <w:r w:rsidRPr="005C0506">
                              <w:rPr>
                                <w:b/>
                                <w:sz w:val="20"/>
                              </w:rPr>
                              <w:t>Reason:</w:t>
                            </w:r>
                            <w:r w:rsidRPr="005C0506">
                              <w:rPr>
                                <w:sz w:val="20"/>
                              </w:rPr>
                              <w:t xml:space="preserve"> Teen thought the intervention was not helpful.</w:t>
                            </w:r>
                          </w:p>
                          <w:p w14:paraId="2FE856EC" w14:textId="77777777" w:rsidR="001F373B" w:rsidRPr="005C0506" w:rsidRDefault="001F373B" w:rsidP="007A759C">
                            <w:pPr>
                              <w:rPr>
                                <w:sz w:val="20"/>
                              </w:rPr>
                            </w:pPr>
                            <w:r w:rsidRPr="005C0506">
                              <w:rPr>
                                <w:sz w:val="20"/>
                              </w:rPr>
                              <w:t>Discontinued intervention (N=5)</w:t>
                            </w:r>
                          </w:p>
                          <w:p w14:paraId="7F5B5F3E" w14:textId="77777777" w:rsidR="001F373B" w:rsidRPr="005C0506" w:rsidRDefault="001F373B" w:rsidP="007A759C">
                            <w:pPr>
                              <w:ind w:left="240"/>
                              <w:rPr>
                                <w:sz w:val="20"/>
                              </w:rPr>
                            </w:pPr>
                            <w:r w:rsidRPr="005C0506">
                              <w:rPr>
                                <w:b/>
                                <w:sz w:val="20"/>
                              </w:rPr>
                              <w:t>Reason:</w:t>
                            </w:r>
                            <w:r w:rsidRPr="005C0506">
                              <w:rPr>
                                <w:sz w:val="20"/>
                              </w:rPr>
                              <w:t xml:space="preserve"> 1 family voluntary withdrew from the study without an explanation; 4 teens decided the study required a significant time commitment. </w:t>
                            </w:r>
                          </w:p>
                          <w:p w14:paraId="6F61C09C" w14:textId="77777777" w:rsidR="001F373B" w:rsidRPr="00172316" w:rsidRDefault="001F373B" w:rsidP="007A759C">
                            <w:pP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C44B0" id="Rectangle 26" o:spid="_x0000_s1029" style="position:absolute;left:0;text-align:left;margin-left:-42.55pt;margin-top:322.5pt;width:259.75pt;height:9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">
                <v:path arrowok="t"/>
                <v:textbox inset=",7.2pt,,7.2pt">
                  <w:txbxContent>
                    <w:p w14:paraId="0B398AA1" w14:textId="77777777" w:rsidR="001F373B" w:rsidRPr="005C0506" w:rsidRDefault="001F373B" w:rsidP="007A759C">
                      <w:pPr>
                        <w:rPr>
                          <w:sz w:val="20"/>
                        </w:rPr>
                      </w:pPr>
                      <w:r w:rsidRPr="005C0506">
                        <w:rPr>
                          <w:sz w:val="20"/>
                        </w:rPr>
                        <w:t xml:space="preserve">Lost to follow up (N=1) </w:t>
                      </w:r>
                    </w:p>
                    <w:p w14:paraId="3987F5AA" w14:textId="77777777" w:rsidR="001F373B" w:rsidRPr="005C0506" w:rsidRDefault="001F373B" w:rsidP="007A759C">
                      <w:pPr>
                        <w:ind w:left="240"/>
                        <w:rPr>
                          <w:sz w:val="20"/>
                        </w:rPr>
                      </w:pPr>
                      <w:r w:rsidRPr="005C0506">
                        <w:rPr>
                          <w:b/>
                          <w:sz w:val="20"/>
                        </w:rPr>
                        <w:t>Reason:</w:t>
                      </w:r>
                      <w:r w:rsidRPr="005C0506">
                        <w:rPr>
                          <w:sz w:val="20"/>
                        </w:rPr>
                        <w:t xml:space="preserve"> Teen thought the intervention was not helpful.</w:t>
                      </w:r>
                    </w:p>
                    <w:p w14:paraId="2FE856EC" w14:textId="77777777" w:rsidR="001F373B" w:rsidRPr="005C0506" w:rsidRDefault="001F373B" w:rsidP="007A759C">
                      <w:pPr>
                        <w:rPr>
                          <w:sz w:val="20"/>
                        </w:rPr>
                      </w:pPr>
                      <w:r w:rsidRPr="005C0506">
                        <w:rPr>
                          <w:sz w:val="20"/>
                        </w:rPr>
                        <w:t>Discontinued intervention (N=5)</w:t>
                      </w:r>
                    </w:p>
                    <w:p w14:paraId="7F5B5F3E" w14:textId="77777777" w:rsidR="001F373B" w:rsidRPr="005C0506" w:rsidRDefault="001F373B" w:rsidP="007A759C">
                      <w:pPr>
                        <w:ind w:left="240"/>
                        <w:rPr>
                          <w:sz w:val="20"/>
                        </w:rPr>
                      </w:pPr>
                      <w:r w:rsidRPr="005C0506">
                        <w:rPr>
                          <w:b/>
                          <w:sz w:val="20"/>
                        </w:rPr>
                        <w:t>Reason:</w:t>
                      </w:r>
                      <w:r w:rsidRPr="005C0506">
                        <w:rPr>
                          <w:sz w:val="20"/>
                        </w:rPr>
                        <w:t xml:space="preserve"> 1 family voluntary withdrew from the study without an explanation; 4 teens decided the study required a significant time commitment. </w:t>
                      </w:r>
                    </w:p>
                    <w:p w14:paraId="6F61C09C" w14:textId="77777777" w:rsidR="001F373B" w:rsidRPr="00172316" w:rsidRDefault="001F373B" w:rsidP="007A759C">
                      <w:pPr>
                        <w:rPr>
                          <w:rFonts w:ascii="Arial" w:hAnsi="Arial" w:cs="Arial"/>
                          <w:sz w:val="20"/>
                          <w:szCs w:val="20"/>
                        </w:rPr>
                      </w:pPr>
                    </w:p>
                  </w:txbxContent>
                </v:textbox>
              </v:rect>
            </w:pict>
          </mc:Fallback>
        </mc:AlternateContent>
      </w:r>
      <w:r w:rsidRPr="00292779">
        <w:rPr>
          <w:b/>
          <w:noProof/>
          <w:sz w:val="28"/>
          <w:szCs w:val="28"/>
        </w:rPr>
        <mc:AlternateContent>
          <mc:Choice Requires="wps">
            <w:drawing>
              <wp:anchor distT="0" distB="0" distL="114300" distR="114300" simplePos="0" relativeHeight="251679744" behindDoc="0" locked="0" layoutInCell="1" allowOverlap="1" wp14:anchorId="5CD2E88F" wp14:editId="22308B72">
                <wp:simplePos x="0" y="0"/>
                <wp:positionH relativeFrom="column">
                  <wp:posOffset>-321310</wp:posOffset>
                </wp:positionH>
                <wp:positionV relativeFrom="paragraph">
                  <wp:posOffset>242570</wp:posOffset>
                </wp:positionV>
                <wp:extent cx="1619885" cy="323215"/>
                <wp:effectExtent l="0" t="0" r="5715" b="0"/>
                <wp:wrapNone/>
                <wp:docPr id="25"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9885" cy="323215"/>
                        </a:xfrm>
                        <a:prstGeom prst="roundRect">
                          <a:avLst>
                            <a:gd name="adj" fmla="val 16667"/>
                          </a:avLst>
                        </a:prstGeom>
                        <a:solidFill>
                          <a:srgbClr val="A9C7FD"/>
                        </a:solidFill>
                        <a:ln w="9525">
                          <a:solidFill>
                            <a:srgbClr val="000000"/>
                          </a:solidFill>
                          <a:round/>
                          <a:headEnd/>
                          <a:tailEnd/>
                        </a:ln>
                      </wps:spPr>
                      <wps:txbx>
                        <w:txbxContent>
                          <w:p w14:paraId="3C25031F" w14:textId="77777777" w:rsidR="001F373B" w:rsidRPr="00D404BC" w:rsidRDefault="001F373B" w:rsidP="007A759C">
                            <w:pPr>
                              <w:pStyle w:val="Heading2"/>
                              <w:spacing w:before="0"/>
                              <w:jc w:val="center"/>
                              <w:rPr>
                                <w:rFonts w:ascii="Times New Roman" w:hAnsi="Times New Roman"/>
                                <w:sz w:val="24"/>
                                <w:szCs w:val="24"/>
                              </w:rPr>
                            </w:pPr>
                            <w:r w:rsidRPr="00D404BC">
                              <w:rPr>
                                <w:rFonts w:ascii="Times New Roman" w:hAnsi="Times New Roman"/>
                                <w:sz w:val="24"/>
                                <w:szCs w:val="24"/>
                              </w:rPr>
                              <w:t>Enrollment</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D2E88F" id="AutoShape 43" o:spid="_x0000_s1030" style="position:absolute;left:0;text-align:left;margin-left:-25.3pt;margin-top:19.1pt;width:127.55pt;height:25.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" fillcolor="#a9c7fd">
                <v:path arrowok="t"/>
                <v:textbox inset="3.6pt,,3.6pt">
                  <w:txbxContent>
                    <w:p w14:paraId="3C25031F" w14:textId="77777777" w:rsidR="001F373B" w:rsidRPr="00D404BC" w:rsidRDefault="001F373B" w:rsidP="007A759C">
                      <w:pPr>
                        <w:pStyle w:val="Heading2"/>
                        <w:spacing w:before="0"/>
                        <w:jc w:val="center"/>
                        <w:rPr>
                          <w:rFonts w:ascii="Times New Roman" w:hAnsi="Times New Roman"/>
                          <w:sz w:val="24"/>
                          <w:szCs w:val="24"/>
                        </w:rPr>
                      </w:pPr>
                      <w:r w:rsidRPr="00D404BC">
                        <w:rPr>
                          <w:rFonts w:ascii="Times New Roman" w:hAnsi="Times New Roman"/>
                          <w:sz w:val="24"/>
                          <w:szCs w:val="24"/>
                        </w:rPr>
                        <w:t>Enrollment</w:t>
                      </w:r>
                    </w:p>
                  </w:txbxContent>
                </v:textbox>
              </v:roundrect>
            </w:pict>
          </mc:Fallback>
        </mc:AlternateContent>
      </w:r>
      <w:r w:rsidRPr="00292779">
        <w:rPr>
          <w:b/>
          <w:noProof/>
          <w:sz w:val="28"/>
          <w:szCs w:val="28"/>
        </w:rPr>
        <mc:AlternateContent>
          <mc:Choice Requires="wps">
            <w:drawing>
              <wp:anchor distT="36576" distB="36576" distL="36576" distR="36576" simplePos="0" relativeHeight="251678720" behindDoc="0" locked="0" layoutInCell="1" allowOverlap="1" wp14:anchorId="3B62518E" wp14:editId="45DF96D1">
                <wp:simplePos x="0" y="0"/>
                <wp:positionH relativeFrom="column">
                  <wp:posOffset>3172460</wp:posOffset>
                </wp:positionH>
                <wp:positionV relativeFrom="paragraph">
                  <wp:posOffset>1228090</wp:posOffset>
                </wp:positionV>
                <wp:extent cx="656590" cy="635"/>
                <wp:effectExtent l="0" t="63500" r="0" b="62865"/>
                <wp:wrapNone/>
                <wp:docPr id="2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6590" cy="63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F77996" id="AutoShape 42" o:spid="_x0000_s1026" type="#_x0000_t32" style="position:absolute;margin-left:249.8pt;margin-top:96.7pt;width:51.7pt;height:.05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60288" behindDoc="0" locked="0" layoutInCell="1" allowOverlap="1" wp14:anchorId="2DA9AEC9" wp14:editId="61A32D35">
                <wp:simplePos x="0" y="0"/>
                <wp:positionH relativeFrom="column">
                  <wp:posOffset>3829050</wp:posOffset>
                </wp:positionH>
                <wp:positionV relativeFrom="paragraph">
                  <wp:posOffset>913765</wp:posOffset>
                </wp:positionV>
                <wp:extent cx="2533650" cy="619125"/>
                <wp:effectExtent l="0" t="0" r="6350" b="3175"/>
                <wp:wrapNone/>
                <wp:docPr id="2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33650" cy="619125"/>
                        </a:xfrm>
                        <a:prstGeom prst="rect">
                          <a:avLst/>
                        </a:prstGeom>
                        <a:solidFill>
                          <a:srgbClr val="FFFFFF"/>
                        </a:solidFill>
                        <a:ln w="9525">
                          <a:solidFill>
                            <a:srgbClr val="000000"/>
                          </a:solidFill>
                          <a:miter lim="800000"/>
                          <a:headEnd/>
                          <a:tailEnd/>
                        </a:ln>
                      </wps:spPr>
                      <wps:txbx>
                        <w:txbxContent>
                          <w:p w14:paraId="538649DD" w14:textId="77777777" w:rsidR="001F373B" w:rsidRPr="005C0506" w:rsidRDefault="001F373B" w:rsidP="007A759C">
                            <w:pPr>
                              <w:rPr>
                                <w:sz w:val="20"/>
                                <w:szCs w:val="20"/>
                              </w:rPr>
                            </w:pPr>
                            <w:r w:rsidRPr="005C0506">
                              <w:rPr>
                                <w:sz w:val="20"/>
                                <w:szCs w:val="20"/>
                              </w:rPr>
                              <w:t>Excluded (N=220)</w:t>
                            </w:r>
                          </w:p>
                          <w:p w14:paraId="61CC95D9" w14:textId="77777777" w:rsidR="001F373B" w:rsidRPr="005C0506" w:rsidRDefault="001F373B" w:rsidP="007A759C">
                            <w:pPr>
                              <w:ind w:firstLine="360"/>
                              <w:rPr>
                                <w:sz w:val="20"/>
                                <w:szCs w:val="20"/>
                              </w:rPr>
                            </w:pPr>
                            <w:r>
                              <w:rPr>
                                <w:sz w:val="20"/>
                                <w:szCs w:val="20"/>
                              </w:rPr>
                              <w:t xml:space="preserve">Not meeting inclusion criteria (N=154) </w:t>
                            </w:r>
                          </w:p>
                          <w:p w14:paraId="009D9BA0" w14:textId="77777777" w:rsidR="001F373B" w:rsidRPr="005C0506" w:rsidRDefault="001F373B" w:rsidP="007A759C">
                            <w:pPr>
                              <w:ind w:firstLine="360"/>
                              <w:rPr>
                                <w:sz w:val="20"/>
                                <w:szCs w:val="20"/>
                              </w:rPr>
                            </w:pPr>
                            <w:r w:rsidRPr="005C0506">
                              <w:rPr>
                                <w:sz w:val="20"/>
                                <w:szCs w:val="20"/>
                              </w:rPr>
                              <w:t>Refused to participate</w:t>
                            </w:r>
                            <w:r>
                              <w:rPr>
                                <w:sz w:val="20"/>
                                <w:szCs w:val="20"/>
                              </w:rPr>
                              <w:t xml:space="preserve"> </w:t>
                            </w:r>
                            <w:r w:rsidRPr="005C0506">
                              <w:rPr>
                                <w:sz w:val="20"/>
                                <w:szCs w:val="20"/>
                              </w:rPr>
                              <w:t>(N=66)</w:t>
                            </w:r>
                          </w:p>
                          <w:p w14:paraId="3967EAEB" w14:textId="77777777" w:rsidR="001F373B" w:rsidRPr="00172316" w:rsidRDefault="001F373B" w:rsidP="007A759C">
                            <w:pP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A9AEC9" id="Rectangle 24" o:spid="_x0000_s1031" style="position:absolute;left:0;text-align:left;margin-left:301.5pt;margin-top:71.95pt;width:199.5pt;height: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">
                <v:path arrowok="t"/>
                <v:textbox inset=",7.2pt,,7.2pt">
                  <w:txbxContent>
                    <w:p w14:paraId="538649DD" w14:textId="77777777" w:rsidR="001F373B" w:rsidRPr="005C0506" w:rsidRDefault="001F373B" w:rsidP="007A759C">
                      <w:pPr>
                        <w:rPr>
                          <w:sz w:val="20"/>
                          <w:szCs w:val="20"/>
                        </w:rPr>
                      </w:pPr>
                      <w:r w:rsidRPr="005C0506">
                        <w:rPr>
                          <w:sz w:val="20"/>
                          <w:szCs w:val="20"/>
                        </w:rPr>
                        <w:t>Excluded (N=220)</w:t>
                      </w:r>
                    </w:p>
                    <w:p w14:paraId="61CC95D9" w14:textId="77777777" w:rsidR="001F373B" w:rsidRPr="005C0506" w:rsidRDefault="001F373B" w:rsidP="007A759C">
                      <w:pPr>
                        <w:ind w:firstLine="360"/>
                        <w:rPr>
                          <w:sz w:val="20"/>
                          <w:szCs w:val="20"/>
                        </w:rPr>
                      </w:pPr>
                      <w:r>
                        <w:rPr>
                          <w:sz w:val="20"/>
                          <w:szCs w:val="20"/>
                        </w:rPr>
                        <w:t xml:space="preserve">Not meeting inclusion criteria (N=154) </w:t>
                      </w:r>
                    </w:p>
                    <w:p w14:paraId="009D9BA0" w14:textId="77777777" w:rsidR="001F373B" w:rsidRPr="005C0506" w:rsidRDefault="001F373B" w:rsidP="007A759C">
                      <w:pPr>
                        <w:ind w:firstLine="360"/>
                        <w:rPr>
                          <w:sz w:val="20"/>
                          <w:szCs w:val="20"/>
                        </w:rPr>
                      </w:pPr>
                      <w:r w:rsidRPr="005C0506">
                        <w:rPr>
                          <w:sz w:val="20"/>
                          <w:szCs w:val="20"/>
                        </w:rPr>
                        <w:t>Refused to participate</w:t>
                      </w:r>
                      <w:r>
                        <w:rPr>
                          <w:sz w:val="20"/>
                          <w:szCs w:val="20"/>
                        </w:rPr>
                        <w:t xml:space="preserve"> </w:t>
                      </w:r>
                      <w:r w:rsidRPr="005C0506">
                        <w:rPr>
                          <w:sz w:val="20"/>
                          <w:szCs w:val="20"/>
                        </w:rPr>
                        <w:t>(N=66)</w:t>
                      </w:r>
                    </w:p>
                    <w:p w14:paraId="3967EAEB" w14:textId="77777777" w:rsidR="001F373B" w:rsidRPr="00172316" w:rsidRDefault="001F373B" w:rsidP="007A759C">
                      <w:pPr>
                        <w:rPr>
                          <w:rFonts w:ascii="Arial" w:hAnsi="Arial" w:cs="Arial"/>
                          <w:sz w:val="20"/>
                          <w:szCs w:val="20"/>
                        </w:rPr>
                      </w:pPr>
                    </w:p>
                  </w:txbxContent>
                </v:textbox>
              </v:rect>
            </w:pict>
          </mc:Fallback>
        </mc:AlternateContent>
      </w:r>
      <w:r w:rsidRPr="00292779">
        <w:rPr>
          <w:b/>
          <w:noProof/>
          <w:sz w:val="28"/>
          <w:szCs w:val="28"/>
        </w:rPr>
        <mc:AlternateContent>
          <mc:Choice Requires="wps">
            <w:drawing>
              <wp:anchor distT="36576" distB="36576" distL="36576" distR="36576" simplePos="0" relativeHeight="251676672" behindDoc="0" locked="0" layoutInCell="1" allowOverlap="1" wp14:anchorId="61BE216F" wp14:editId="3429EC60">
                <wp:simplePos x="0" y="0"/>
                <wp:positionH relativeFrom="column">
                  <wp:posOffset>3172460</wp:posOffset>
                </wp:positionH>
                <wp:positionV relativeFrom="paragraph">
                  <wp:posOffset>777875</wp:posOffset>
                </wp:positionV>
                <wp:extent cx="0" cy="1508760"/>
                <wp:effectExtent l="63500" t="0" r="38100" b="27940"/>
                <wp:wrapNone/>
                <wp:docPr id="2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5087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98127DF" id="_x0000_t32" coordsize="21600,21600" o:spt="32" o:oned="t" path="m,l21600,21600e" filled="f">
                <v:path arrowok="t" fillok="f" o:connecttype="none"/>
                <o:lock v:ext="edit" shapetype="t"/>
              </v:shapetype>
              <v:shape id="AutoShape 40" o:spid="_x0000_s1026" type="#_x0000_t32" style="position:absolute;margin-left:249.8pt;margin-top:61.25pt;width:0;height:118.8pt;z-index:2516766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69504" behindDoc="0" locked="0" layoutInCell="1" allowOverlap="1" wp14:anchorId="6E700D24" wp14:editId="5BB51D3B">
                <wp:simplePos x="0" y="0"/>
                <wp:positionH relativeFrom="column">
                  <wp:posOffset>2270125</wp:posOffset>
                </wp:positionH>
                <wp:positionV relativeFrom="paragraph">
                  <wp:posOffset>3821430</wp:posOffset>
                </wp:positionV>
                <wp:extent cx="1511935" cy="312420"/>
                <wp:effectExtent l="0" t="0" r="0" b="5080"/>
                <wp:wrapNone/>
                <wp:docPr id="19"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1935" cy="312420"/>
                        </a:xfrm>
                        <a:prstGeom prst="roundRect">
                          <a:avLst>
                            <a:gd name="adj" fmla="val 16667"/>
                          </a:avLst>
                        </a:prstGeom>
                        <a:solidFill>
                          <a:srgbClr val="A9C7FD"/>
                        </a:solidFill>
                        <a:ln w="9525">
                          <a:solidFill>
                            <a:srgbClr val="000000"/>
                          </a:solidFill>
                          <a:round/>
                          <a:headEnd/>
                          <a:tailEnd/>
                        </a:ln>
                      </wps:spPr>
                      <wps:txbx>
                        <w:txbxContent>
                          <w:p w14:paraId="257FD02F" w14:textId="77777777" w:rsidR="001F373B" w:rsidRPr="00D404BC" w:rsidRDefault="001F373B" w:rsidP="007A759C">
                            <w:pPr>
                              <w:pStyle w:val="Heading2"/>
                              <w:spacing w:before="0"/>
                              <w:jc w:val="center"/>
                              <w:rPr>
                                <w:rFonts w:ascii="Times New Roman" w:hAnsi="Times New Roman"/>
                                <w:sz w:val="24"/>
                                <w:szCs w:val="24"/>
                              </w:rPr>
                            </w:pPr>
                            <w:r>
                              <w:rPr>
                                <w:rFonts w:ascii="Times New Roman" w:hAnsi="Times New Roman"/>
                                <w:sz w:val="24"/>
                                <w:szCs w:val="24"/>
                              </w:rPr>
                              <w:t xml:space="preserve">Post </w:t>
                            </w:r>
                            <w:r w:rsidRPr="00D404BC">
                              <w:rPr>
                                <w:rFonts w:ascii="Times New Roman" w:hAnsi="Times New Roman"/>
                                <w:sz w:val="24"/>
                                <w:szCs w:val="24"/>
                              </w:rPr>
                              <w:t>Follow-Up</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700D24" id="AutoShape 33" o:spid="_x0000_s1032" style="position:absolute;left:0;text-align:left;margin-left:178.75pt;margin-top:300.9pt;width:119.05pt;height:2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" fillcolor="#a9c7fd">
                <v:path arrowok="t"/>
                <v:textbox inset="3.6pt,,3.6pt">
                  <w:txbxContent>
                    <w:p w14:paraId="257FD02F" w14:textId="77777777" w:rsidR="001F373B" w:rsidRPr="00D404BC" w:rsidRDefault="001F373B" w:rsidP="007A759C">
                      <w:pPr>
                        <w:pStyle w:val="Heading2"/>
                        <w:spacing w:before="0"/>
                        <w:jc w:val="center"/>
                        <w:rPr>
                          <w:rFonts w:ascii="Times New Roman" w:hAnsi="Times New Roman"/>
                          <w:sz w:val="24"/>
                          <w:szCs w:val="24"/>
                        </w:rPr>
                      </w:pPr>
                      <w:r>
                        <w:rPr>
                          <w:rFonts w:ascii="Times New Roman" w:hAnsi="Times New Roman"/>
                          <w:sz w:val="24"/>
                          <w:szCs w:val="24"/>
                        </w:rPr>
                        <w:t xml:space="preserve">Post </w:t>
                      </w:r>
                      <w:r w:rsidRPr="00D404BC">
                        <w:rPr>
                          <w:rFonts w:ascii="Times New Roman" w:hAnsi="Times New Roman"/>
                          <w:sz w:val="24"/>
                          <w:szCs w:val="24"/>
                        </w:rPr>
                        <w:t>Follow-Up</w:t>
                      </w:r>
                    </w:p>
                  </w:txbxContent>
                </v:textbox>
              </v:roundrect>
            </w:pict>
          </mc:Fallback>
        </mc:AlternateContent>
      </w:r>
      <w:r w:rsidRPr="00292779">
        <w:rPr>
          <w:b/>
          <w:noProof/>
          <w:sz w:val="28"/>
          <w:szCs w:val="28"/>
        </w:rPr>
        <mc:AlternateContent>
          <mc:Choice Requires="wps">
            <w:drawing>
              <wp:anchor distT="0" distB="0" distL="114300" distR="114300" simplePos="0" relativeHeight="251667456" behindDoc="0" locked="0" layoutInCell="1" allowOverlap="1" wp14:anchorId="4E2F43B7" wp14:editId="064590CF">
                <wp:simplePos x="0" y="0"/>
                <wp:positionH relativeFrom="column">
                  <wp:posOffset>2205355</wp:posOffset>
                </wp:positionH>
                <wp:positionV relativeFrom="paragraph">
                  <wp:posOffset>2507615</wp:posOffset>
                </wp:positionV>
                <wp:extent cx="1500505" cy="293370"/>
                <wp:effectExtent l="0" t="0" r="0" b="0"/>
                <wp:wrapNone/>
                <wp:docPr id="18"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505" cy="293370"/>
                        </a:xfrm>
                        <a:prstGeom prst="roundRect">
                          <a:avLst>
                            <a:gd name="adj" fmla="val 16667"/>
                          </a:avLst>
                        </a:prstGeom>
                        <a:solidFill>
                          <a:srgbClr val="A9C7FD"/>
                        </a:solidFill>
                        <a:ln w="9525">
                          <a:solidFill>
                            <a:srgbClr val="000000"/>
                          </a:solidFill>
                          <a:round/>
                          <a:headEnd/>
                          <a:tailEnd/>
                        </a:ln>
                      </wps:spPr>
                      <wps:txbx>
                        <w:txbxContent>
                          <w:p w14:paraId="5D8067FD" w14:textId="77777777" w:rsidR="001F373B" w:rsidRPr="00D404BC" w:rsidRDefault="001F373B" w:rsidP="007A759C">
                            <w:pPr>
                              <w:pStyle w:val="Heading2"/>
                              <w:spacing w:before="0"/>
                              <w:jc w:val="center"/>
                              <w:rPr>
                                <w:rFonts w:ascii="Times New Roman" w:hAnsi="Times New Roman"/>
                                <w:sz w:val="24"/>
                                <w:szCs w:val="24"/>
                              </w:rPr>
                            </w:pPr>
                            <w:r w:rsidRPr="00D404BC">
                              <w:rPr>
                                <w:rFonts w:ascii="Times New Roman" w:hAnsi="Times New Roman"/>
                                <w:sz w:val="24"/>
                                <w:szCs w:val="24"/>
                              </w:rPr>
                              <w:t>Allocation</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2F43B7" id="AutoShape 31" o:spid="_x0000_s1033" style="position:absolute;left:0;text-align:left;margin-left:173.65pt;margin-top:197.45pt;width:118.15pt;height:2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" fillcolor="#a9c7fd">
                <v:path arrowok="t"/>
                <v:textbox inset="3.6pt,,3.6pt">
                  <w:txbxContent>
                    <w:p w14:paraId="5D8067FD" w14:textId="77777777" w:rsidR="001F373B" w:rsidRPr="00D404BC" w:rsidRDefault="001F373B" w:rsidP="007A759C">
                      <w:pPr>
                        <w:pStyle w:val="Heading2"/>
                        <w:spacing w:before="0"/>
                        <w:jc w:val="center"/>
                        <w:rPr>
                          <w:rFonts w:ascii="Times New Roman" w:hAnsi="Times New Roman"/>
                          <w:sz w:val="24"/>
                          <w:szCs w:val="24"/>
                        </w:rPr>
                      </w:pPr>
                      <w:r w:rsidRPr="00D404BC">
                        <w:rPr>
                          <w:rFonts w:ascii="Times New Roman" w:hAnsi="Times New Roman"/>
                          <w:sz w:val="24"/>
                          <w:szCs w:val="24"/>
                        </w:rPr>
                        <w:t>Allocation</w:t>
                      </w:r>
                    </w:p>
                  </w:txbxContent>
                </v:textbox>
              </v:roundrect>
            </w:pict>
          </mc:Fallback>
        </mc:AlternateContent>
      </w:r>
      <w:r w:rsidRPr="00292779">
        <w:rPr>
          <w:b/>
          <w:noProof/>
          <w:sz w:val="28"/>
          <w:szCs w:val="28"/>
        </w:rPr>
        <mc:AlternateContent>
          <mc:Choice Requires="wps">
            <w:drawing>
              <wp:anchor distT="36576" distB="36576" distL="36576" distR="36576" simplePos="0" relativeHeight="251689984" behindDoc="0" locked="0" layoutInCell="1" allowOverlap="1" wp14:anchorId="49BF73D5" wp14:editId="50CB997B">
                <wp:simplePos x="0" y="0"/>
                <wp:positionH relativeFrom="column">
                  <wp:posOffset>5020310</wp:posOffset>
                </wp:positionH>
                <wp:positionV relativeFrom="paragraph">
                  <wp:posOffset>6514465</wp:posOffset>
                </wp:positionV>
                <wp:extent cx="0" cy="476885"/>
                <wp:effectExtent l="63500" t="0" r="63500" b="18415"/>
                <wp:wrapNone/>
                <wp:docPr id="11"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768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95F846" id="AutoShape 57" o:spid="_x0000_s1026" type="#_x0000_t32" style="position:absolute;margin-left:395.3pt;margin-top:512.95pt;width:0;height:37.55pt;z-index:2516899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">
                <v:stroke endarrow="block"/>
                <v:shadow color="#ccc"/>
                <o:lock v:ext="edit" shapetype="f"/>
              </v:shape>
            </w:pict>
          </mc:Fallback>
        </mc:AlternateContent>
      </w:r>
      <w:r w:rsidRPr="00292779">
        <w:rPr>
          <w:b/>
          <w:noProof/>
          <w:sz w:val="28"/>
          <w:szCs w:val="28"/>
        </w:rPr>
        <mc:AlternateContent>
          <mc:Choice Requires="wps">
            <w:drawing>
              <wp:anchor distT="36576" distB="36576" distL="36576" distR="36576" simplePos="0" relativeHeight="251688960" behindDoc="0" locked="0" layoutInCell="1" allowOverlap="1" wp14:anchorId="2DCBDB20" wp14:editId="00A2337F">
                <wp:simplePos x="0" y="0"/>
                <wp:positionH relativeFrom="column">
                  <wp:posOffset>1052195</wp:posOffset>
                </wp:positionH>
                <wp:positionV relativeFrom="paragraph">
                  <wp:posOffset>6499860</wp:posOffset>
                </wp:positionV>
                <wp:extent cx="0" cy="491490"/>
                <wp:effectExtent l="63500" t="0" r="38100" b="29210"/>
                <wp:wrapNone/>
                <wp:docPr id="10"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9149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C47A472" id="AutoShape 56" o:spid="_x0000_s1026" type="#_x0000_t32" style="position:absolute;margin-left:82.85pt;margin-top:511.8pt;width:0;height:38.7pt;z-index:2516889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">
                <v:stroke endarrow="block"/>
                <v:shadow color="#ccc"/>
                <o:lock v:ext="edit" shapetype="f"/>
              </v:shape>
            </w:pict>
          </mc:Fallback>
        </mc:AlternateContent>
      </w:r>
      <w:r w:rsidRPr="00292779">
        <w:rPr>
          <w:b/>
          <w:noProof/>
          <w:sz w:val="28"/>
          <w:szCs w:val="28"/>
        </w:rPr>
        <mc:AlternateContent>
          <mc:Choice Requires="wps">
            <w:drawing>
              <wp:anchor distT="36576" distB="36576" distL="36576" distR="36576" simplePos="0" relativeHeight="251684864" behindDoc="0" locked="0" layoutInCell="1" allowOverlap="1" wp14:anchorId="699E2C95" wp14:editId="742138BA">
                <wp:simplePos x="0" y="0"/>
                <wp:positionH relativeFrom="column">
                  <wp:posOffset>5020310</wp:posOffset>
                </wp:positionH>
                <wp:positionV relativeFrom="paragraph">
                  <wp:posOffset>5266690</wp:posOffset>
                </wp:positionV>
                <wp:extent cx="0" cy="476885"/>
                <wp:effectExtent l="63500" t="0" r="63500" b="18415"/>
                <wp:wrapNone/>
                <wp:docPr id="9"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768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0D89474" id="AutoShape 52" o:spid="_x0000_s1026" type="#_x0000_t32" style="position:absolute;margin-left:395.3pt;margin-top:414.7pt;width:0;height:37.55pt;z-index:2516848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82816" behindDoc="0" locked="0" layoutInCell="1" allowOverlap="1" wp14:anchorId="398A32C1" wp14:editId="05C9E145">
                <wp:simplePos x="0" y="0"/>
                <wp:positionH relativeFrom="column">
                  <wp:posOffset>2298065</wp:posOffset>
                </wp:positionH>
                <wp:positionV relativeFrom="paragraph">
                  <wp:posOffset>5488305</wp:posOffset>
                </wp:positionV>
                <wp:extent cx="1443990" cy="312420"/>
                <wp:effectExtent l="0" t="0" r="3810" b="5080"/>
                <wp:wrapNone/>
                <wp:docPr id="8"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3990" cy="312420"/>
                        </a:xfrm>
                        <a:prstGeom prst="roundRect">
                          <a:avLst>
                            <a:gd name="adj" fmla="val 16667"/>
                          </a:avLst>
                        </a:prstGeom>
                        <a:solidFill>
                          <a:srgbClr val="A9C7FD"/>
                        </a:solidFill>
                        <a:ln w="9525">
                          <a:solidFill>
                            <a:srgbClr val="000000"/>
                          </a:solidFill>
                          <a:round/>
                          <a:headEnd/>
                          <a:tailEnd/>
                        </a:ln>
                      </wps:spPr>
                      <wps:txbx>
                        <w:txbxContent>
                          <w:p w14:paraId="75B49B9B" w14:textId="77777777" w:rsidR="001F373B" w:rsidRPr="00D404BC" w:rsidRDefault="001F373B" w:rsidP="007A759C">
                            <w:pPr>
                              <w:pStyle w:val="Heading2"/>
                              <w:spacing w:before="0"/>
                              <w:jc w:val="center"/>
                              <w:rPr>
                                <w:rFonts w:ascii="Times New Roman" w:hAnsi="Times New Roman"/>
                                <w:sz w:val="24"/>
                                <w:szCs w:val="24"/>
                              </w:rPr>
                            </w:pPr>
                            <w:r w:rsidRPr="00D404BC">
                              <w:rPr>
                                <w:rFonts w:ascii="Times New Roman" w:hAnsi="Times New Roman"/>
                                <w:sz w:val="24"/>
                                <w:szCs w:val="24"/>
                              </w:rPr>
                              <w:t>6-Month Follow-Up</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8A32C1" id="AutoShape 50" o:spid="_x0000_s1034" style="position:absolute;left:0;text-align:left;margin-left:180.95pt;margin-top:432.15pt;width:113.7pt;height:2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" fillcolor="#a9c7fd">
                <v:path arrowok="t"/>
                <v:textbox inset="3.6pt,,3.6pt">
                  <w:txbxContent>
                    <w:p w14:paraId="75B49B9B" w14:textId="77777777" w:rsidR="001F373B" w:rsidRPr="00D404BC" w:rsidRDefault="001F373B" w:rsidP="007A759C">
                      <w:pPr>
                        <w:pStyle w:val="Heading2"/>
                        <w:spacing w:before="0"/>
                        <w:jc w:val="center"/>
                        <w:rPr>
                          <w:rFonts w:ascii="Times New Roman" w:hAnsi="Times New Roman"/>
                          <w:sz w:val="24"/>
                          <w:szCs w:val="24"/>
                        </w:rPr>
                      </w:pPr>
                      <w:r w:rsidRPr="00D404BC">
                        <w:rPr>
                          <w:rFonts w:ascii="Times New Roman" w:hAnsi="Times New Roman"/>
                          <w:sz w:val="24"/>
                          <w:szCs w:val="24"/>
                        </w:rPr>
                        <w:t>6-Month Follow-Up</w:t>
                      </w:r>
                    </w:p>
                  </w:txbxContent>
                </v:textbox>
              </v:roundrect>
            </w:pict>
          </mc:Fallback>
        </mc:AlternateContent>
      </w:r>
      <w:r w:rsidRPr="00292779">
        <w:rPr>
          <w:b/>
          <w:noProof/>
          <w:sz w:val="28"/>
          <w:szCs w:val="28"/>
        </w:rPr>
        <mc:AlternateContent>
          <mc:Choice Requires="wps">
            <w:drawing>
              <wp:anchor distT="36576" distB="36576" distL="36576" distR="36576" simplePos="0" relativeHeight="251670528" behindDoc="0" locked="0" layoutInCell="1" allowOverlap="1" wp14:anchorId="2CD3CEA9" wp14:editId="54AC04E2">
                <wp:simplePos x="0" y="0"/>
                <wp:positionH relativeFrom="column">
                  <wp:posOffset>1052195</wp:posOffset>
                </wp:positionH>
                <wp:positionV relativeFrom="paragraph">
                  <wp:posOffset>3594735</wp:posOffset>
                </wp:positionV>
                <wp:extent cx="0" cy="491490"/>
                <wp:effectExtent l="63500" t="0" r="38100" b="29210"/>
                <wp:wrapNone/>
                <wp:docPr id="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9149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116223A" id="AutoShape 34" o:spid="_x0000_s1026" type="#_x0000_t32" style="position:absolute;margin-left:82.85pt;margin-top:283.05pt;width:0;height:38.7pt;z-index:2516705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">
                <v:stroke endarrow="block"/>
                <v:shadow color="#ccc"/>
                <o:lock v:ext="edit" shapetype="f"/>
              </v:shape>
            </w:pict>
          </mc:Fallback>
        </mc:AlternateContent>
      </w:r>
      <w:r w:rsidRPr="00292779">
        <w:rPr>
          <w:b/>
          <w:noProof/>
          <w:sz w:val="28"/>
          <w:szCs w:val="28"/>
        </w:rPr>
        <mc:AlternateContent>
          <mc:Choice Requires="wps">
            <w:drawing>
              <wp:anchor distT="36576" distB="36576" distL="36576" distR="36576" simplePos="0" relativeHeight="251671552" behindDoc="0" locked="0" layoutInCell="1" allowOverlap="1" wp14:anchorId="6644239F" wp14:editId="5F177C94">
                <wp:simplePos x="0" y="0"/>
                <wp:positionH relativeFrom="column">
                  <wp:posOffset>5020310</wp:posOffset>
                </wp:positionH>
                <wp:positionV relativeFrom="paragraph">
                  <wp:posOffset>3599815</wp:posOffset>
                </wp:positionV>
                <wp:extent cx="0" cy="476885"/>
                <wp:effectExtent l="63500" t="0" r="63500" b="18415"/>
                <wp:wrapNone/>
                <wp:docPr id="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768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C89BDD3" id="AutoShape 35" o:spid="_x0000_s1026" type="#_x0000_t32" style="position:absolute;margin-left:395.3pt;margin-top:283.45pt;width:0;height:37.55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63360" behindDoc="0" locked="0" layoutInCell="1" allowOverlap="1" wp14:anchorId="2313103C" wp14:editId="2D6298CD">
                <wp:simplePos x="0" y="0"/>
                <wp:positionH relativeFrom="column">
                  <wp:posOffset>-559435</wp:posOffset>
                </wp:positionH>
                <wp:positionV relativeFrom="paragraph">
                  <wp:posOffset>2680335</wp:posOffset>
                </wp:positionV>
                <wp:extent cx="3298825" cy="904875"/>
                <wp:effectExtent l="0" t="0" r="3175" b="0"/>
                <wp:wrapNone/>
                <wp:docPr id="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8825" cy="904875"/>
                        </a:xfrm>
                        <a:prstGeom prst="rect">
                          <a:avLst/>
                        </a:prstGeom>
                        <a:solidFill>
                          <a:srgbClr val="FFFFFF"/>
                        </a:solidFill>
                        <a:ln w="9525">
                          <a:solidFill>
                            <a:srgbClr val="000000"/>
                          </a:solidFill>
                          <a:miter lim="800000"/>
                          <a:headEnd/>
                          <a:tailEnd/>
                        </a:ln>
                      </wps:spPr>
                      <wps:txbx>
                        <w:txbxContent>
                          <w:p w14:paraId="3A0BE769" w14:textId="77777777" w:rsidR="001F373B" w:rsidRPr="005C0506" w:rsidRDefault="001F373B" w:rsidP="007A759C">
                            <w:pPr>
                              <w:rPr>
                                <w:sz w:val="20"/>
                              </w:rPr>
                            </w:pPr>
                            <w:r w:rsidRPr="005C0506">
                              <w:rPr>
                                <w:sz w:val="20"/>
                              </w:rPr>
                              <w:t>Allocated to Trans-C</w:t>
                            </w:r>
                            <w:r>
                              <w:rPr>
                                <w:sz w:val="20"/>
                              </w:rPr>
                              <w:t xml:space="preserve"> </w:t>
                            </w:r>
                            <w:r w:rsidRPr="005C0506">
                              <w:rPr>
                                <w:sz w:val="20"/>
                              </w:rPr>
                              <w:t>(N=89)</w:t>
                            </w:r>
                          </w:p>
                          <w:p w14:paraId="75B98B65" w14:textId="77777777" w:rsidR="001F373B" w:rsidRPr="005C0506" w:rsidRDefault="001F373B" w:rsidP="007A759C">
                            <w:pPr>
                              <w:rPr>
                                <w:sz w:val="20"/>
                              </w:rPr>
                            </w:pPr>
                            <w:r w:rsidRPr="005C0506">
                              <w:rPr>
                                <w:sz w:val="20"/>
                              </w:rPr>
                              <w:t>Received allocated intervention</w:t>
                            </w:r>
                            <w:r>
                              <w:rPr>
                                <w:sz w:val="20"/>
                              </w:rPr>
                              <w:t xml:space="preserve"> </w:t>
                            </w:r>
                            <w:r w:rsidRPr="005C0506">
                              <w:rPr>
                                <w:sz w:val="20"/>
                              </w:rPr>
                              <w:t>(N=87)</w:t>
                            </w:r>
                          </w:p>
                          <w:p w14:paraId="6A25A33D" w14:textId="77777777" w:rsidR="001F373B" w:rsidRPr="005C0506" w:rsidRDefault="001F373B" w:rsidP="007A759C">
                            <w:pPr>
                              <w:rPr>
                                <w:sz w:val="20"/>
                              </w:rPr>
                            </w:pPr>
                            <w:r w:rsidRPr="005C0506">
                              <w:rPr>
                                <w:sz w:val="20"/>
                              </w:rPr>
                              <w:t>Did not receive allocated intervention (N=2)</w:t>
                            </w:r>
                          </w:p>
                          <w:p w14:paraId="40F45D9C" w14:textId="77777777" w:rsidR="001F373B" w:rsidRPr="005C0506" w:rsidRDefault="001F373B" w:rsidP="007A759C">
                            <w:pPr>
                              <w:ind w:left="240"/>
                              <w:rPr>
                                <w:sz w:val="20"/>
                              </w:rPr>
                            </w:pPr>
                            <w:r w:rsidRPr="005C0506">
                              <w:rPr>
                                <w:b/>
                                <w:sz w:val="20"/>
                              </w:rPr>
                              <w:t>Reason:</w:t>
                            </w:r>
                            <w:r w:rsidRPr="005C0506">
                              <w:rPr>
                                <w:sz w:val="20"/>
                              </w:rPr>
                              <w:t xml:space="preserve"> Families decided the study required a significant time commitment. </w:t>
                            </w:r>
                          </w:p>
                          <w:p w14:paraId="79B80C93" w14:textId="77777777" w:rsidR="001F373B" w:rsidRDefault="001F373B" w:rsidP="007A759C">
                            <w:pPr>
                              <w:ind w:left="360" w:hanging="360"/>
                              <w:rPr>
                                <w:rFonts w:ascii="Arial" w:hAnsi="Arial" w:cs="Arial"/>
                                <w:sz w:val="20"/>
                                <w:szCs w:val="20"/>
                                <w:lang w:val="en-CA"/>
                              </w:rPr>
                            </w:pPr>
                          </w:p>
                          <w:p w14:paraId="24C75A9E" w14:textId="77777777" w:rsidR="001F373B" w:rsidRDefault="001F373B" w:rsidP="007A759C">
                            <w:pPr>
                              <w:ind w:left="360" w:hanging="360"/>
                              <w:rPr>
                                <w:rFonts w:cs="Calibri"/>
                              </w:rPr>
                            </w:pPr>
                            <w:r>
                              <w:rPr>
                                <w:rFonts w:ascii="Arial" w:hAnsi="Arial" w:cs="Arial"/>
                                <w:sz w:val="20"/>
                                <w:szCs w:val="20"/>
                                <w:lang w:val="en-CA"/>
                              </w:rPr>
                              <w:tab/>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13103C" id="Rectangle 27" o:spid="_x0000_s1035" style="position:absolute;left:0;text-align:left;margin-left:-44.05pt;margin-top:211.05pt;width:259.75pt;height:7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">
                <v:path arrowok="t"/>
                <v:textbox inset=",7.2pt,,7.2pt">
                  <w:txbxContent>
                    <w:p w14:paraId="3A0BE769" w14:textId="77777777" w:rsidR="001F373B" w:rsidRPr="005C0506" w:rsidRDefault="001F373B" w:rsidP="007A759C">
                      <w:pPr>
                        <w:rPr>
                          <w:sz w:val="20"/>
                        </w:rPr>
                      </w:pPr>
                      <w:r w:rsidRPr="005C0506">
                        <w:rPr>
                          <w:sz w:val="20"/>
                        </w:rPr>
                        <w:t>Allocated to Trans-C</w:t>
                      </w:r>
                      <w:r>
                        <w:rPr>
                          <w:sz w:val="20"/>
                        </w:rPr>
                        <w:t xml:space="preserve"> </w:t>
                      </w:r>
                      <w:r w:rsidRPr="005C0506">
                        <w:rPr>
                          <w:sz w:val="20"/>
                        </w:rPr>
                        <w:t>(N=89)</w:t>
                      </w:r>
                    </w:p>
                    <w:p w14:paraId="75B98B65" w14:textId="77777777" w:rsidR="001F373B" w:rsidRPr="005C0506" w:rsidRDefault="001F373B" w:rsidP="007A759C">
                      <w:pPr>
                        <w:rPr>
                          <w:sz w:val="20"/>
                        </w:rPr>
                      </w:pPr>
                      <w:r w:rsidRPr="005C0506">
                        <w:rPr>
                          <w:sz w:val="20"/>
                        </w:rPr>
                        <w:t>Received allocated intervention</w:t>
                      </w:r>
                      <w:r>
                        <w:rPr>
                          <w:sz w:val="20"/>
                        </w:rPr>
                        <w:t xml:space="preserve"> </w:t>
                      </w:r>
                      <w:r w:rsidRPr="005C0506">
                        <w:rPr>
                          <w:sz w:val="20"/>
                        </w:rPr>
                        <w:t>(N=87)</w:t>
                      </w:r>
                    </w:p>
                    <w:p w14:paraId="6A25A33D" w14:textId="77777777" w:rsidR="001F373B" w:rsidRPr="005C0506" w:rsidRDefault="001F373B" w:rsidP="007A759C">
                      <w:pPr>
                        <w:rPr>
                          <w:sz w:val="20"/>
                        </w:rPr>
                      </w:pPr>
                      <w:r w:rsidRPr="005C0506">
                        <w:rPr>
                          <w:sz w:val="20"/>
                        </w:rPr>
                        <w:t>Did not receive allocated intervention (N=2)</w:t>
                      </w:r>
                    </w:p>
                    <w:p w14:paraId="40F45D9C" w14:textId="77777777" w:rsidR="001F373B" w:rsidRPr="005C0506" w:rsidRDefault="001F373B" w:rsidP="007A759C">
                      <w:pPr>
                        <w:ind w:left="240"/>
                        <w:rPr>
                          <w:sz w:val="20"/>
                        </w:rPr>
                      </w:pPr>
                      <w:r w:rsidRPr="005C0506">
                        <w:rPr>
                          <w:b/>
                          <w:sz w:val="20"/>
                        </w:rPr>
                        <w:t>Reason:</w:t>
                      </w:r>
                      <w:r w:rsidRPr="005C0506">
                        <w:rPr>
                          <w:sz w:val="20"/>
                        </w:rPr>
                        <w:t xml:space="preserve"> Families decided the study required a significant time commitment. </w:t>
                      </w:r>
                    </w:p>
                    <w:p w14:paraId="79B80C93" w14:textId="77777777" w:rsidR="001F373B" w:rsidRDefault="001F373B" w:rsidP="007A759C">
                      <w:pPr>
                        <w:ind w:left="360" w:hanging="360"/>
                        <w:rPr>
                          <w:rFonts w:ascii="Arial" w:hAnsi="Arial" w:cs="Arial"/>
                          <w:sz w:val="20"/>
                          <w:szCs w:val="20"/>
                          <w:lang w:val="en-CA"/>
                        </w:rPr>
                      </w:pPr>
                    </w:p>
                    <w:p w14:paraId="24C75A9E" w14:textId="77777777" w:rsidR="001F373B" w:rsidRDefault="001F373B" w:rsidP="007A759C">
                      <w:pPr>
                        <w:ind w:left="360" w:hanging="360"/>
                        <w:rPr>
                          <w:rFonts w:cs="Calibri"/>
                        </w:rPr>
                      </w:pPr>
                      <w:r>
                        <w:rPr>
                          <w:rFonts w:ascii="Arial" w:hAnsi="Arial" w:cs="Arial"/>
                          <w:sz w:val="20"/>
                          <w:szCs w:val="20"/>
                          <w:lang w:val="en-CA"/>
                        </w:rPr>
                        <w:tab/>
                      </w:r>
                    </w:p>
                  </w:txbxContent>
                </v:textbox>
              </v:rect>
            </w:pict>
          </mc:Fallback>
        </mc:AlternateContent>
      </w:r>
      <w:r w:rsidRPr="00292779">
        <w:rPr>
          <w:b/>
          <w:noProof/>
          <w:sz w:val="28"/>
          <w:szCs w:val="28"/>
        </w:rPr>
        <mc:AlternateContent>
          <mc:Choice Requires="wps">
            <w:drawing>
              <wp:anchor distT="0" distB="0" distL="114300" distR="114300" simplePos="0" relativeHeight="251665408" behindDoc="0" locked="0" layoutInCell="1" allowOverlap="1" wp14:anchorId="3A8CC37E" wp14:editId="45349C81">
                <wp:simplePos x="0" y="0"/>
                <wp:positionH relativeFrom="column">
                  <wp:posOffset>3267075</wp:posOffset>
                </wp:positionH>
                <wp:positionV relativeFrom="paragraph">
                  <wp:posOffset>2694940</wp:posOffset>
                </wp:positionV>
                <wp:extent cx="3300095" cy="904875"/>
                <wp:effectExtent l="0" t="0" r="1905" b="0"/>
                <wp:wrapNone/>
                <wp:docPr id="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0095" cy="904875"/>
                        </a:xfrm>
                        <a:prstGeom prst="rect">
                          <a:avLst/>
                        </a:prstGeom>
                        <a:solidFill>
                          <a:srgbClr val="FFFFFF"/>
                        </a:solidFill>
                        <a:ln w="9525">
                          <a:solidFill>
                            <a:srgbClr val="000000"/>
                          </a:solidFill>
                          <a:miter lim="800000"/>
                          <a:headEnd/>
                          <a:tailEnd/>
                        </a:ln>
                      </wps:spPr>
                      <wps:txbx>
                        <w:txbxContent>
                          <w:p w14:paraId="11916D91" w14:textId="77777777" w:rsidR="001F373B" w:rsidRPr="005C0506" w:rsidRDefault="001F373B" w:rsidP="007A759C">
                            <w:pPr>
                              <w:rPr>
                                <w:sz w:val="20"/>
                              </w:rPr>
                            </w:pPr>
                            <w:r w:rsidRPr="005C0506">
                              <w:rPr>
                                <w:sz w:val="20"/>
                              </w:rPr>
                              <w:t>Allocated to PE</w:t>
                            </w:r>
                            <w:r>
                              <w:rPr>
                                <w:sz w:val="20"/>
                              </w:rPr>
                              <w:t xml:space="preserve"> </w:t>
                            </w:r>
                            <w:r w:rsidRPr="005C0506">
                              <w:rPr>
                                <w:sz w:val="20"/>
                              </w:rPr>
                              <w:t>(N=87)</w:t>
                            </w:r>
                          </w:p>
                          <w:p w14:paraId="13251730" w14:textId="77777777" w:rsidR="001F373B" w:rsidRPr="005C0506" w:rsidRDefault="001F373B" w:rsidP="007A759C">
                            <w:pPr>
                              <w:rPr>
                                <w:sz w:val="20"/>
                              </w:rPr>
                            </w:pPr>
                            <w:r w:rsidRPr="005C0506">
                              <w:rPr>
                                <w:sz w:val="20"/>
                              </w:rPr>
                              <w:t>Received allocated intervention</w:t>
                            </w:r>
                            <w:r>
                              <w:rPr>
                                <w:sz w:val="20"/>
                              </w:rPr>
                              <w:t xml:space="preserve"> </w:t>
                            </w:r>
                            <w:r w:rsidRPr="005C0506">
                              <w:rPr>
                                <w:sz w:val="20"/>
                              </w:rPr>
                              <w:t>(N=86)</w:t>
                            </w:r>
                          </w:p>
                          <w:p w14:paraId="10F7592B" w14:textId="77777777" w:rsidR="001F373B" w:rsidRPr="005C0506" w:rsidRDefault="001F373B" w:rsidP="007A759C">
                            <w:pPr>
                              <w:rPr>
                                <w:sz w:val="20"/>
                              </w:rPr>
                            </w:pPr>
                            <w:r w:rsidRPr="005C0506">
                              <w:rPr>
                                <w:sz w:val="20"/>
                              </w:rPr>
                              <w:t>Did not receive allocated intervention</w:t>
                            </w:r>
                            <w:r>
                              <w:rPr>
                                <w:sz w:val="20"/>
                              </w:rPr>
                              <w:t xml:space="preserve"> </w:t>
                            </w:r>
                            <w:r w:rsidRPr="005C0506">
                              <w:rPr>
                                <w:sz w:val="20"/>
                              </w:rPr>
                              <w:t>(N=1)</w:t>
                            </w:r>
                          </w:p>
                          <w:p w14:paraId="7C247A18" w14:textId="77777777" w:rsidR="001F373B" w:rsidRPr="005C0506" w:rsidRDefault="001F373B" w:rsidP="007A759C">
                            <w:pPr>
                              <w:ind w:left="240"/>
                              <w:rPr>
                                <w:sz w:val="20"/>
                              </w:rPr>
                            </w:pPr>
                            <w:r w:rsidRPr="005C0506">
                              <w:rPr>
                                <w:b/>
                                <w:sz w:val="20"/>
                              </w:rPr>
                              <w:t xml:space="preserve">Reason: </w:t>
                            </w:r>
                            <w:r w:rsidRPr="005C0506">
                              <w:rPr>
                                <w:sz w:val="20"/>
                              </w:rPr>
                              <w:t>Family stopped responding to research staff.</w:t>
                            </w:r>
                          </w:p>
                          <w:p w14:paraId="1E6CE2C2" w14:textId="77777777" w:rsidR="001F373B" w:rsidRPr="00172316" w:rsidRDefault="001F373B" w:rsidP="007A759C">
                            <w:pPr>
                              <w:ind w:left="360" w:hanging="360"/>
                              <w:rPr>
                                <w:rFonts w:cs="Calibri"/>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8CC37E" id="Rectangle 29" o:spid="_x0000_s1036" style="position:absolute;left:0;text-align:left;margin-left:257.25pt;margin-top:212.2pt;width:259.85pt;height:7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">
                <v:path arrowok="t"/>
                <v:textbox inset=",7.2pt,,7.2pt">
                  <w:txbxContent>
                    <w:p w14:paraId="11916D91" w14:textId="77777777" w:rsidR="001F373B" w:rsidRPr="005C0506" w:rsidRDefault="001F373B" w:rsidP="007A759C">
                      <w:pPr>
                        <w:rPr>
                          <w:sz w:val="20"/>
                        </w:rPr>
                      </w:pPr>
                      <w:r w:rsidRPr="005C0506">
                        <w:rPr>
                          <w:sz w:val="20"/>
                        </w:rPr>
                        <w:t>Allocated to PE</w:t>
                      </w:r>
                      <w:r>
                        <w:rPr>
                          <w:sz w:val="20"/>
                        </w:rPr>
                        <w:t xml:space="preserve"> </w:t>
                      </w:r>
                      <w:r w:rsidRPr="005C0506">
                        <w:rPr>
                          <w:sz w:val="20"/>
                        </w:rPr>
                        <w:t>(N=87)</w:t>
                      </w:r>
                    </w:p>
                    <w:p w14:paraId="13251730" w14:textId="77777777" w:rsidR="001F373B" w:rsidRPr="005C0506" w:rsidRDefault="001F373B" w:rsidP="007A759C">
                      <w:pPr>
                        <w:rPr>
                          <w:sz w:val="20"/>
                        </w:rPr>
                      </w:pPr>
                      <w:r w:rsidRPr="005C0506">
                        <w:rPr>
                          <w:sz w:val="20"/>
                        </w:rPr>
                        <w:t>Received allocated intervention</w:t>
                      </w:r>
                      <w:r>
                        <w:rPr>
                          <w:sz w:val="20"/>
                        </w:rPr>
                        <w:t xml:space="preserve"> </w:t>
                      </w:r>
                      <w:r w:rsidRPr="005C0506">
                        <w:rPr>
                          <w:sz w:val="20"/>
                        </w:rPr>
                        <w:t>(N=86)</w:t>
                      </w:r>
                    </w:p>
                    <w:p w14:paraId="10F7592B" w14:textId="77777777" w:rsidR="001F373B" w:rsidRPr="005C0506" w:rsidRDefault="001F373B" w:rsidP="007A759C">
                      <w:pPr>
                        <w:rPr>
                          <w:sz w:val="20"/>
                        </w:rPr>
                      </w:pPr>
                      <w:r w:rsidRPr="005C0506">
                        <w:rPr>
                          <w:sz w:val="20"/>
                        </w:rPr>
                        <w:t>Did not receive allocated intervention</w:t>
                      </w:r>
                      <w:r>
                        <w:rPr>
                          <w:sz w:val="20"/>
                        </w:rPr>
                        <w:t xml:space="preserve"> </w:t>
                      </w:r>
                      <w:r w:rsidRPr="005C0506">
                        <w:rPr>
                          <w:sz w:val="20"/>
                        </w:rPr>
                        <w:t>(N=1)</w:t>
                      </w:r>
                    </w:p>
                    <w:p w14:paraId="7C247A18" w14:textId="77777777" w:rsidR="001F373B" w:rsidRPr="005C0506" w:rsidRDefault="001F373B" w:rsidP="007A759C">
                      <w:pPr>
                        <w:ind w:left="240"/>
                        <w:rPr>
                          <w:sz w:val="20"/>
                        </w:rPr>
                      </w:pPr>
                      <w:r w:rsidRPr="005C0506">
                        <w:rPr>
                          <w:b/>
                          <w:sz w:val="20"/>
                        </w:rPr>
                        <w:t xml:space="preserve">Reason: </w:t>
                      </w:r>
                      <w:r w:rsidRPr="005C0506">
                        <w:rPr>
                          <w:sz w:val="20"/>
                        </w:rPr>
                        <w:t>Family stopped responding to research staff.</w:t>
                      </w:r>
                    </w:p>
                    <w:p w14:paraId="1E6CE2C2" w14:textId="77777777" w:rsidR="001F373B" w:rsidRPr="00172316" w:rsidRDefault="001F373B" w:rsidP="007A759C">
                      <w:pPr>
                        <w:ind w:left="360" w:hanging="360"/>
                        <w:rPr>
                          <w:rFonts w:cs="Calibri"/>
                        </w:rPr>
                      </w:pPr>
                    </w:p>
                  </w:txbxContent>
                </v:textbox>
              </v:rect>
            </w:pict>
          </mc:Fallback>
        </mc:AlternateContent>
      </w:r>
      <w:r w:rsidRPr="00292779">
        <w:rPr>
          <w:b/>
          <w:noProof/>
          <w:sz w:val="28"/>
          <w:szCs w:val="28"/>
        </w:rPr>
        <mc:AlternateContent>
          <mc:Choice Requires="wps">
            <w:drawing>
              <wp:anchor distT="0" distB="0" distL="114300" distR="114300" simplePos="0" relativeHeight="251677696" behindDoc="0" locked="0" layoutInCell="1" allowOverlap="1" wp14:anchorId="0E64D1A4" wp14:editId="4CCB2CB6">
                <wp:simplePos x="0" y="0"/>
                <wp:positionH relativeFrom="column">
                  <wp:posOffset>2362200</wp:posOffset>
                </wp:positionH>
                <wp:positionV relativeFrom="paragraph">
                  <wp:posOffset>1693545</wp:posOffset>
                </wp:positionV>
                <wp:extent cx="1611630" cy="342900"/>
                <wp:effectExtent l="0" t="0" r="1270" b="0"/>
                <wp:wrapNone/>
                <wp:docPr id="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1630" cy="342900"/>
                        </a:xfrm>
                        <a:prstGeom prst="rect">
                          <a:avLst/>
                        </a:prstGeom>
                        <a:solidFill>
                          <a:srgbClr val="FFFFFF"/>
                        </a:solidFill>
                        <a:ln w="9525">
                          <a:solidFill>
                            <a:srgbClr val="000000"/>
                          </a:solidFill>
                          <a:miter lim="800000"/>
                          <a:headEnd/>
                          <a:tailEnd/>
                        </a:ln>
                      </wps:spPr>
                      <wps:txbx>
                        <w:txbxContent>
                          <w:p w14:paraId="10E7E5D5" w14:textId="77777777" w:rsidR="001F373B" w:rsidRPr="005C0506" w:rsidRDefault="001F373B" w:rsidP="007A759C">
                            <w:pPr>
                              <w:jc w:val="center"/>
                              <w:rPr>
                                <w:sz w:val="20"/>
                                <w:szCs w:val="20"/>
                              </w:rPr>
                            </w:pPr>
                            <w:r w:rsidRPr="005C0506">
                              <w:rPr>
                                <w:sz w:val="20"/>
                                <w:szCs w:val="20"/>
                              </w:rPr>
                              <w:t>Randomized (N=176)</w:t>
                            </w:r>
                          </w:p>
                          <w:p w14:paraId="2B68DFE4" w14:textId="77777777" w:rsidR="001F373B" w:rsidRPr="00172316" w:rsidRDefault="001F373B" w:rsidP="007A759C">
                            <w:pPr>
                              <w:widowControl w:val="0"/>
                              <w:jc w:val="cente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4D1A4" id="Rectangle 41" o:spid="_x0000_s1037" style="position:absolute;left:0;text-align:left;margin-left:186pt;margin-top:133.35pt;width:126.9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">
                <v:path arrowok="t"/>
                <v:textbox inset=",7.2pt,,7.2pt">
                  <w:txbxContent>
                    <w:p w14:paraId="10E7E5D5" w14:textId="77777777" w:rsidR="001F373B" w:rsidRPr="005C0506" w:rsidRDefault="001F373B" w:rsidP="007A759C">
                      <w:pPr>
                        <w:jc w:val="center"/>
                        <w:rPr>
                          <w:sz w:val="20"/>
                          <w:szCs w:val="20"/>
                        </w:rPr>
                      </w:pPr>
                      <w:r w:rsidRPr="005C0506">
                        <w:rPr>
                          <w:sz w:val="20"/>
                          <w:szCs w:val="20"/>
                        </w:rPr>
                        <w:t>Randomized (N=176)</w:t>
                      </w:r>
                    </w:p>
                    <w:p w14:paraId="2B68DFE4" w14:textId="77777777" w:rsidR="001F373B" w:rsidRPr="00172316" w:rsidRDefault="001F373B" w:rsidP="007A759C">
                      <w:pPr>
                        <w:widowControl w:val="0"/>
                        <w:jc w:val="center"/>
                        <w:rPr>
                          <w:rFonts w:ascii="Arial" w:hAnsi="Arial" w:cs="Arial"/>
                          <w:sz w:val="20"/>
                          <w:szCs w:val="20"/>
                        </w:rPr>
                      </w:pPr>
                    </w:p>
                  </w:txbxContent>
                </v:textbox>
              </v:rect>
            </w:pict>
          </mc:Fallback>
        </mc:AlternateContent>
      </w:r>
      <w:r w:rsidRPr="00292779">
        <w:rPr>
          <w:b/>
          <w:noProof/>
          <w:sz w:val="28"/>
          <w:szCs w:val="28"/>
        </w:rPr>
        <mc:AlternateContent>
          <mc:Choice Requires="wps">
            <w:drawing>
              <wp:anchor distT="36576" distB="36576" distL="36576" distR="36576" simplePos="0" relativeHeight="251674624" behindDoc="0" locked="0" layoutInCell="1" allowOverlap="1" wp14:anchorId="297F1B6F" wp14:editId="0C4C3896">
                <wp:simplePos x="0" y="0"/>
                <wp:positionH relativeFrom="column">
                  <wp:posOffset>1052195</wp:posOffset>
                </wp:positionH>
                <wp:positionV relativeFrom="paragraph">
                  <wp:posOffset>2280285</wp:posOffset>
                </wp:positionV>
                <wp:extent cx="2331720" cy="400050"/>
                <wp:effectExtent l="63500" t="0" r="5080" b="19050"/>
                <wp:wrapNone/>
                <wp:docPr id="2"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331720" cy="400050"/>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96E6E91" id="_x0000_t33" coordsize="21600,21600" o:spt="33" o:oned="t" path="m,l21600,r,21600e" filled="f">
                <v:stroke joinstyle="miter"/>
                <v:path arrowok="t" fillok="f" o:connecttype="none"/>
                <o:lock v:ext="edit" shapetype="t"/>
              </v:shapetype>
              <v:shape id="AutoShape 38" o:spid="_x0000_s1026" type="#_x0000_t33" style="position:absolute;margin-left:82.85pt;margin-top:179.55pt;width:183.6pt;height:31.5pt;rotation:180;flip:y;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">
                <v:stroke endarrow="block"/>
                <v:shadow color="#ccc"/>
                <o:lock v:ext="edit" shapetype="f"/>
              </v:shape>
            </w:pict>
          </mc:Fallback>
        </mc:AlternateContent>
      </w:r>
      <w:r w:rsidRPr="00292779">
        <w:rPr>
          <w:b/>
          <w:noProof/>
          <w:sz w:val="28"/>
          <w:szCs w:val="28"/>
        </w:rPr>
        <mc:AlternateContent>
          <mc:Choice Requires="wps">
            <w:drawing>
              <wp:anchor distT="36576" distB="36576" distL="36576" distR="36576" simplePos="0" relativeHeight="251675648" behindDoc="0" locked="0" layoutInCell="1" allowOverlap="1" wp14:anchorId="63237C00" wp14:editId="6358FDF7">
                <wp:simplePos x="0" y="0"/>
                <wp:positionH relativeFrom="column">
                  <wp:posOffset>2689225</wp:posOffset>
                </wp:positionH>
                <wp:positionV relativeFrom="paragraph">
                  <wp:posOffset>2280285</wp:posOffset>
                </wp:positionV>
                <wp:extent cx="2331720" cy="400050"/>
                <wp:effectExtent l="0" t="0" r="55880" b="19050"/>
                <wp:wrapNone/>
                <wp:docPr id="1"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31720" cy="400050"/>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2BA514E" id="AutoShape 39" o:spid="_x0000_s1026" type="#_x0000_t33" style="position:absolute;margin-left:211.75pt;margin-top:179.55pt;width:183.6pt;height:31.5pt;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">
                <v:stroke endarrow="block"/>
                <v:shadow color="#ccc"/>
                <o:lock v:ext="edit" shapetype="f"/>
              </v:shape>
            </w:pict>
          </mc:Fallback>
        </mc:AlternateContent>
      </w:r>
    </w:p>
    <w:p w14:paraId="699FAB96" w14:textId="34A527FF" w:rsidR="00433C29" w:rsidRDefault="001D0FF2" w:rsidP="007411A4">
      <w:r w:rsidRPr="00292779">
        <w:rPr>
          <w:b/>
          <w:noProof/>
          <w:sz w:val="28"/>
          <w:szCs w:val="28"/>
        </w:rPr>
        <mc:AlternateContent>
          <mc:Choice Requires="wps">
            <w:drawing>
              <wp:anchor distT="0" distB="0" distL="114300" distR="114300" simplePos="0" relativeHeight="251659264" behindDoc="0" locked="0" layoutInCell="1" allowOverlap="1" wp14:anchorId="4C0A4270" wp14:editId="179C57CE">
                <wp:simplePos x="0" y="0"/>
                <wp:positionH relativeFrom="column">
                  <wp:posOffset>2171700</wp:posOffset>
                </wp:positionH>
                <wp:positionV relativeFrom="paragraph">
                  <wp:posOffset>202507</wp:posOffset>
                </wp:positionV>
                <wp:extent cx="2000250" cy="397510"/>
                <wp:effectExtent l="0" t="0" r="19050" b="8890"/>
                <wp:wrapNone/>
                <wp:docPr id="2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0250" cy="397510"/>
                        </a:xfrm>
                        <a:prstGeom prst="rect">
                          <a:avLst/>
                        </a:prstGeom>
                        <a:solidFill>
                          <a:srgbClr val="FFFFFF"/>
                        </a:solidFill>
                        <a:ln w="9525">
                          <a:solidFill>
                            <a:srgbClr val="000000"/>
                          </a:solidFill>
                          <a:miter lim="800000"/>
                          <a:headEnd/>
                          <a:tailEnd/>
                        </a:ln>
                      </wps:spPr>
                      <wps:txbx>
                        <w:txbxContent>
                          <w:p w14:paraId="7DF4010D" w14:textId="77777777" w:rsidR="001F373B" w:rsidRPr="005C0506" w:rsidRDefault="001F373B" w:rsidP="007A759C">
                            <w:pPr>
                              <w:jc w:val="center"/>
                            </w:pPr>
                            <w:r w:rsidRPr="005C0506">
                              <w:rPr>
                                <w:sz w:val="20"/>
                                <w:szCs w:val="20"/>
                              </w:rPr>
                              <w:t>Assessed for Eligibility (N=396</w:t>
                            </w:r>
                            <w:r w:rsidRPr="005C0506">
                              <w:t>)</w:t>
                            </w:r>
                          </w:p>
                          <w:p w14:paraId="14D956F9" w14:textId="77777777" w:rsidR="001F373B" w:rsidRPr="00172316" w:rsidRDefault="001F373B" w:rsidP="007A759C">
                            <w:pPr>
                              <w:jc w:val="cente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0A4270" id="Rectangle 23" o:spid="_x0000_s1038" style="position:absolute;margin-left:171pt;margin-top:15.95pt;width:157.5pt;height:3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">
                <v:path arrowok="t"/>
                <v:textbox inset=",7.2pt,,7.2pt">
                  <w:txbxContent>
                    <w:p w14:paraId="7DF4010D" w14:textId="77777777" w:rsidR="001F373B" w:rsidRPr="005C0506" w:rsidRDefault="001F373B" w:rsidP="007A759C">
                      <w:pPr>
                        <w:jc w:val="center"/>
                      </w:pPr>
                      <w:r w:rsidRPr="005C0506">
                        <w:rPr>
                          <w:sz w:val="20"/>
                          <w:szCs w:val="20"/>
                        </w:rPr>
                        <w:t>Assessed for Eligibility (N=396</w:t>
                      </w:r>
                      <w:r w:rsidRPr="005C0506">
                        <w:t>)</w:t>
                      </w:r>
                    </w:p>
                    <w:p w14:paraId="14D956F9" w14:textId="77777777" w:rsidR="001F373B" w:rsidRPr="00172316" w:rsidRDefault="001F373B" w:rsidP="007A759C">
                      <w:pPr>
                        <w:jc w:val="center"/>
                        <w:rPr>
                          <w:rFonts w:ascii="Arial" w:hAnsi="Arial" w:cs="Arial"/>
                          <w:sz w:val="20"/>
                          <w:szCs w:val="20"/>
                        </w:rPr>
                      </w:pPr>
                    </w:p>
                  </w:txbxContent>
                </v:textbox>
              </v:rect>
            </w:pict>
          </mc:Fallback>
        </mc:AlternateContent>
      </w:r>
      <w:r w:rsidR="007A759C" w:rsidRPr="00292779">
        <w:rPr>
          <w:b/>
          <w:noProof/>
          <w:sz w:val="28"/>
          <w:szCs w:val="28"/>
        </w:rPr>
        <mc:AlternateContent>
          <mc:Choice Requires="wps">
            <w:drawing>
              <wp:anchor distT="0" distB="0" distL="114300" distR="114300" simplePos="0" relativeHeight="251661312" behindDoc="0" locked="0" layoutInCell="1" allowOverlap="1" wp14:anchorId="1F8B1D2B" wp14:editId="36EACF37">
                <wp:simplePos x="0" y="0"/>
                <wp:positionH relativeFrom="column">
                  <wp:posOffset>-589280</wp:posOffset>
                </wp:positionH>
                <wp:positionV relativeFrom="paragraph">
                  <wp:posOffset>6810375</wp:posOffset>
                </wp:positionV>
                <wp:extent cx="3294380" cy="495300"/>
                <wp:effectExtent l="0" t="0" r="7620" b="12700"/>
                <wp:wrapNone/>
                <wp:docPr id="1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4380" cy="495300"/>
                        </a:xfrm>
                        <a:prstGeom prst="rect">
                          <a:avLst/>
                        </a:prstGeom>
                        <a:solidFill>
                          <a:srgbClr val="FFFFFF"/>
                        </a:solidFill>
                        <a:ln w="9525">
                          <a:solidFill>
                            <a:srgbClr val="000000"/>
                          </a:solidFill>
                          <a:miter lim="800000"/>
                          <a:headEnd/>
                          <a:tailEnd/>
                        </a:ln>
                      </wps:spPr>
                      <wps:txbx>
                        <w:txbxContent>
                          <w:p w14:paraId="4D93FEDA" w14:textId="77777777" w:rsidR="001F373B" w:rsidRPr="00D404BC" w:rsidRDefault="001F373B" w:rsidP="007A759C">
                            <w:pPr>
                              <w:jc w:val="center"/>
                              <w:rPr>
                                <w:sz w:val="20"/>
                              </w:rPr>
                            </w:pPr>
                            <w:r w:rsidRPr="00D404BC">
                              <w:rPr>
                                <w:sz w:val="20"/>
                              </w:rPr>
                              <w:t>Analyzed (N=89)</w:t>
                            </w:r>
                          </w:p>
                          <w:p w14:paraId="41A4C8B6" w14:textId="77777777" w:rsidR="001F373B" w:rsidRPr="00D404BC" w:rsidRDefault="001F373B" w:rsidP="007A759C">
                            <w:pPr>
                              <w:jc w:val="center"/>
                              <w:rPr>
                                <w:sz w:val="20"/>
                              </w:rPr>
                            </w:pPr>
                            <w:r w:rsidRPr="00D404BC">
                              <w:rPr>
                                <w:sz w:val="20"/>
                              </w:rPr>
                              <w:t>Excluded from Analysis (N=0)</w:t>
                            </w:r>
                          </w:p>
                          <w:p w14:paraId="69B4CDF3" w14:textId="77777777" w:rsidR="001F373B" w:rsidRDefault="001F373B" w:rsidP="007A759C">
                            <w:pPr>
                              <w:rPr>
                                <w:rFonts w:cs="Calibri"/>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B1D2B" id="Rectangle 25" o:spid="_x0000_s1039" style="position:absolute;margin-left:-46.4pt;margin-top:536.25pt;width:259.4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">
                <v:path arrowok="t"/>
                <v:textbox inset=",7.2pt,,7.2pt">
                  <w:txbxContent>
                    <w:p w14:paraId="4D93FEDA" w14:textId="77777777" w:rsidR="001F373B" w:rsidRPr="00D404BC" w:rsidRDefault="001F373B" w:rsidP="007A759C">
                      <w:pPr>
                        <w:jc w:val="center"/>
                        <w:rPr>
                          <w:sz w:val="20"/>
                        </w:rPr>
                      </w:pPr>
                      <w:r w:rsidRPr="00D404BC">
                        <w:rPr>
                          <w:sz w:val="20"/>
                        </w:rPr>
                        <w:t>Analyzed (N=89)</w:t>
                      </w:r>
                    </w:p>
                    <w:p w14:paraId="41A4C8B6" w14:textId="77777777" w:rsidR="001F373B" w:rsidRPr="00D404BC" w:rsidRDefault="001F373B" w:rsidP="007A759C">
                      <w:pPr>
                        <w:jc w:val="center"/>
                        <w:rPr>
                          <w:sz w:val="20"/>
                        </w:rPr>
                      </w:pPr>
                      <w:r w:rsidRPr="00D404BC">
                        <w:rPr>
                          <w:sz w:val="20"/>
                        </w:rPr>
                        <w:t>Excluded from Analysis (N=0)</w:t>
                      </w:r>
                    </w:p>
                    <w:p w14:paraId="69B4CDF3" w14:textId="77777777" w:rsidR="001F373B" w:rsidRDefault="001F373B" w:rsidP="007A759C">
                      <w:pPr>
                        <w:rPr>
                          <w:rFonts w:cs="Calibri"/>
                        </w:rPr>
                      </w:pPr>
                    </w:p>
                  </w:txbxContent>
                </v:textbox>
              </v:rect>
            </w:pict>
          </mc:Fallback>
        </mc:AlternateContent>
      </w:r>
      <w:r w:rsidR="007A759C" w:rsidRPr="00292779">
        <w:rPr>
          <w:b/>
          <w:noProof/>
          <w:sz w:val="28"/>
          <w:szCs w:val="28"/>
        </w:rPr>
        <mc:AlternateContent>
          <mc:Choice Requires="wps">
            <w:drawing>
              <wp:anchor distT="0" distB="0" distL="114300" distR="114300" simplePos="0" relativeHeight="251666432" behindDoc="0" locked="0" layoutInCell="1" allowOverlap="1" wp14:anchorId="31FB4FB5" wp14:editId="112DA7CD">
                <wp:simplePos x="0" y="0"/>
                <wp:positionH relativeFrom="column">
                  <wp:posOffset>3267075</wp:posOffset>
                </wp:positionH>
                <wp:positionV relativeFrom="paragraph">
                  <wp:posOffset>6810375</wp:posOffset>
                </wp:positionV>
                <wp:extent cx="3300095" cy="495300"/>
                <wp:effectExtent l="0" t="0" r="14605" b="12700"/>
                <wp:wrapNone/>
                <wp:docPr id="16"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0095" cy="495300"/>
                        </a:xfrm>
                        <a:prstGeom prst="rect">
                          <a:avLst/>
                        </a:prstGeom>
                        <a:solidFill>
                          <a:srgbClr val="FFFFFF"/>
                        </a:solidFill>
                        <a:ln w="9525">
                          <a:solidFill>
                            <a:srgbClr val="000000"/>
                          </a:solidFill>
                          <a:miter lim="800000"/>
                          <a:headEnd/>
                          <a:tailEnd/>
                        </a:ln>
                      </wps:spPr>
                      <wps:txbx>
                        <w:txbxContent>
                          <w:p w14:paraId="4CB00DE2" w14:textId="77777777" w:rsidR="001F373B" w:rsidRPr="00D404BC" w:rsidRDefault="001F373B" w:rsidP="007A759C">
                            <w:pPr>
                              <w:jc w:val="center"/>
                              <w:rPr>
                                <w:sz w:val="20"/>
                              </w:rPr>
                            </w:pPr>
                            <w:r w:rsidRPr="00D404BC">
                              <w:rPr>
                                <w:sz w:val="20"/>
                              </w:rPr>
                              <w:t>Analyzed (N=87)</w:t>
                            </w:r>
                          </w:p>
                          <w:p w14:paraId="19118519" w14:textId="77777777" w:rsidR="001F373B" w:rsidRPr="00D404BC" w:rsidRDefault="001F373B" w:rsidP="007A759C">
                            <w:pPr>
                              <w:jc w:val="center"/>
                              <w:rPr>
                                <w:sz w:val="20"/>
                              </w:rPr>
                            </w:pPr>
                            <w:r w:rsidRPr="00D404BC">
                              <w:rPr>
                                <w:sz w:val="20"/>
                              </w:rPr>
                              <w:t>Excluded from Analysis (N=0)</w:t>
                            </w:r>
                          </w:p>
                          <w:p w14:paraId="502BDC6F" w14:textId="77777777" w:rsidR="001F373B" w:rsidRDefault="001F373B" w:rsidP="007A759C">
                            <w:pPr>
                              <w:rPr>
                                <w:rFonts w:cs="Calibri"/>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B4FB5" id="Rectangle 30" o:spid="_x0000_s1040" style="position:absolute;margin-left:257.25pt;margin-top:536.25pt;width:259.8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">
                <v:path arrowok="t"/>
                <v:textbox inset=",7.2pt,,7.2pt">
                  <w:txbxContent>
                    <w:p w14:paraId="4CB00DE2" w14:textId="77777777" w:rsidR="001F373B" w:rsidRPr="00D404BC" w:rsidRDefault="001F373B" w:rsidP="007A759C">
                      <w:pPr>
                        <w:jc w:val="center"/>
                        <w:rPr>
                          <w:sz w:val="20"/>
                        </w:rPr>
                      </w:pPr>
                      <w:r w:rsidRPr="00D404BC">
                        <w:rPr>
                          <w:sz w:val="20"/>
                        </w:rPr>
                        <w:t>Analyzed (N=87)</w:t>
                      </w:r>
                    </w:p>
                    <w:p w14:paraId="19118519" w14:textId="77777777" w:rsidR="001F373B" w:rsidRPr="00D404BC" w:rsidRDefault="001F373B" w:rsidP="007A759C">
                      <w:pPr>
                        <w:jc w:val="center"/>
                        <w:rPr>
                          <w:sz w:val="20"/>
                        </w:rPr>
                      </w:pPr>
                      <w:r w:rsidRPr="00D404BC">
                        <w:rPr>
                          <w:sz w:val="20"/>
                        </w:rPr>
                        <w:t>Excluded from Analysis (N=0)</w:t>
                      </w:r>
                    </w:p>
                    <w:p w14:paraId="502BDC6F" w14:textId="77777777" w:rsidR="001F373B" w:rsidRDefault="001F373B" w:rsidP="007A759C">
                      <w:pPr>
                        <w:rPr>
                          <w:rFonts w:cs="Calibri"/>
                        </w:rPr>
                      </w:pPr>
                    </w:p>
                  </w:txbxContent>
                </v:textbox>
              </v:rect>
            </w:pict>
          </mc:Fallback>
        </mc:AlternateContent>
      </w:r>
      <w:r w:rsidR="007A759C" w:rsidRPr="00292779">
        <w:rPr>
          <w:b/>
          <w:noProof/>
          <w:sz w:val="28"/>
          <w:szCs w:val="28"/>
        </w:rPr>
        <mc:AlternateContent>
          <mc:Choice Requires="wps">
            <w:drawing>
              <wp:anchor distT="0" distB="0" distL="114300" distR="114300" simplePos="0" relativeHeight="251668480" behindDoc="0" locked="0" layoutInCell="1" allowOverlap="1" wp14:anchorId="51F3BBB4" wp14:editId="0E74CD79">
                <wp:simplePos x="0" y="0"/>
                <wp:positionH relativeFrom="column">
                  <wp:posOffset>2298065</wp:posOffset>
                </wp:positionH>
                <wp:positionV relativeFrom="paragraph">
                  <wp:posOffset>6565265</wp:posOffset>
                </wp:positionV>
                <wp:extent cx="1493520" cy="297180"/>
                <wp:effectExtent l="0" t="0" r="17780" b="7620"/>
                <wp:wrapNone/>
                <wp:docPr id="17"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93520" cy="297180"/>
                        </a:xfrm>
                        <a:prstGeom prst="roundRect">
                          <a:avLst>
                            <a:gd name="adj" fmla="val 16667"/>
                          </a:avLst>
                        </a:prstGeom>
                        <a:solidFill>
                          <a:srgbClr val="A9C7FD"/>
                        </a:solidFill>
                        <a:ln w="9525">
                          <a:solidFill>
                            <a:srgbClr val="000000"/>
                          </a:solidFill>
                          <a:round/>
                          <a:headEnd/>
                          <a:tailEnd/>
                        </a:ln>
                      </wps:spPr>
                      <wps:txbx>
                        <w:txbxContent>
                          <w:p w14:paraId="15C41DC7" w14:textId="77777777" w:rsidR="001F373B" w:rsidRPr="00D404BC" w:rsidRDefault="001F373B" w:rsidP="007A759C">
                            <w:pPr>
                              <w:pStyle w:val="Heading2"/>
                              <w:spacing w:before="0"/>
                              <w:jc w:val="center"/>
                              <w:rPr>
                                <w:rFonts w:ascii="Times New Roman" w:hAnsi="Times New Roman"/>
                                <w:sz w:val="24"/>
                              </w:rPr>
                            </w:pPr>
                            <w:r w:rsidRPr="00D404BC">
                              <w:rPr>
                                <w:rFonts w:ascii="Times New Roman" w:hAnsi="Times New Roman"/>
                                <w:sz w:val="24"/>
                              </w:rPr>
                              <w:t>Analysis</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F3BBB4" id="AutoShape 32" o:spid="_x0000_s1041" style="position:absolute;margin-left:180.95pt;margin-top:516.95pt;width:117.6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" fillcolor="#a9c7fd">
                <v:path arrowok="t"/>
                <v:textbox inset="3.6pt,,3.6pt">
                  <w:txbxContent>
                    <w:p w14:paraId="15C41DC7" w14:textId="77777777" w:rsidR="001F373B" w:rsidRPr="00D404BC" w:rsidRDefault="001F373B" w:rsidP="007A759C">
                      <w:pPr>
                        <w:pStyle w:val="Heading2"/>
                        <w:spacing w:before="0"/>
                        <w:jc w:val="center"/>
                        <w:rPr>
                          <w:rFonts w:ascii="Times New Roman" w:hAnsi="Times New Roman"/>
                          <w:sz w:val="24"/>
                        </w:rPr>
                      </w:pPr>
                      <w:r w:rsidRPr="00D404BC">
                        <w:rPr>
                          <w:rFonts w:ascii="Times New Roman" w:hAnsi="Times New Roman"/>
                          <w:sz w:val="24"/>
                        </w:rPr>
                        <w:t>Analysis</w:t>
                      </w:r>
                    </w:p>
                  </w:txbxContent>
                </v:textbox>
              </v:roundrect>
            </w:pict>
          </mc:Fallback>
        </mc:AlternateContent>
      </w:r>
    </w:p>
    <w:p w14:paraId="0EBD86F3" w14:textId="77777777" w:rsidR="00433C29" w:rsidRPr="00433C29" w:rsidRDefault="00433C29" w:rsidP="00433C29"/>
    <w:p w14:paraId="41923FB0" w14:textId="77777777" w:rsidR="00433C29" w:rsidRPr="00433C29" w:rsidRDefault="00433C29" w:rsidP="00433C29"/>
    <w:p w14:paraId="3F2B7BFE" w14:textId="77777777" w:rsidR="00433C29" w:rsidRPr="00433C29" w:rsidRDefault="00433C29" w:rsidP="00433C29"/>
    <w:p w14:paraId="031F20A2" w14:textId="77777777" w:rsidR="00433C29" w:rsidRPr="00433C29" w:rsidRDefault="00433C29" w:rsidP="00433C29"/>
    <w:p w14:paraId="43AE85EF" w14:textId="77777777" w:rsidR="00433C29" w:rsidRPr="00433C29" w:rsidRDefault="00433C29" w:rsidP="00433C29"/>
    <w:p w14:paraId="6D782CB8" w14:textId="77777777" w:rsidR="00433C29" w:rsidRPr="00433C29" w:rsidRDefault="00433C29" w:rsidP="00433C29"/>
    <w:p w14:paraId="7C2A2B7C" w14:textId="77777777" w:rsidR="00433C29" w:rsidRPr="00433C29" w:rsidRDefault="00433C29" w:rsidP="00433C29"/>
    <w:p w14:paraId="5A03E782" w14:textId="77777777" w:rsidR="00433C29" w:rsidRPr="00433C29" w:rsidRDefault="00433C29" w:rsidP="00433C29"/>
    <w:p w14:paraId="2E406D39" w14:textId="77777777" w:rsidR="00433C29" w:rsidRPr="00433C29" w:rsidRDefault="00433C29" w:rsidP="00433C29"/>
    <w:p w14:paraId="507D902C" w14:textId="77777777" w:rsidR="00433C29" w:rsidRPr="00433C29" w:rsidRDefault="00433C29" w:rsidP="00433C29"/>
    <w:p w14:paraId="2A950591" w14:textId="77777777" w:rsidR="00433C29" w:rsidRPr="00433C29" w:rsidRDefault="00433C29" w:rsidP="00433C29"/>
    <w:p w14:paraId="44BF68A1" w14:textId="77777777" w:rsidR="00433C29" w:rsidRPr="00433C29" w:rsidRDefault="00433C29" w:rsidP="00433C29"/>
    <w:p w14:paraId="5630A823" w14:textId="77777777" w:rsidR="00433C29" w:rsidRPr="00433C29" w:rsidRDefault="00433C29" w:rsidP="00433C29"/>
    <w:p w14:paraId="10193DEB" w14:textId="77777777" w:rsidR="00433C29" w:rsidRPr="00433C29" w:rsidRDefault="00433C29" w:rsidP="00433C29"/>
    <w:p w14:paraId="60568713" w14:textId="77777777" w:rsidR="00433C29" w:rsidRPr="00433C29" w:rsidRDefault="00433C29" w:rsidP="00433C29"/>
    <w:p w14:paraId="0287F7D6" w14:textId="77777777" w:rsidR="00433C29" w:rsidRPr="00433C29" w:rsidRDefault="00433C29" w:rsidP="00433C29"/>
    <w:p w14:paraId="492B1991" w14:textId="77777777" w:rsidR="00433C29" w:rsidRPr="00433C29" w:rsidRDefault="00433C29" w:rsidP="00433C29"/>
    <w:p w14:paraId="03B1E19A" w14:textId="77777777" w:rsidR="00433C29" w:rsidRPr="00433C29" w:rsidRDefault="00433C29" w:rsidP="00433C29"/>
    <w:p w14:paraId="62107683" w14:textId="77777777" w:rsidR="00433C29" w:rsidRPr="00433C29" w:rsidRDefault="00433C29" w:rsidP="00433C29"/>
    <w:p w14:paraId="7C7DD15B" w14:textId="77777777" w:rsidR="00433C29" w:rsidRPr="00433C29" w:rsidRDefault="00433C29" w:rsidP="00433C29"/>
    <w:p w14:paraId="79654826" w14:textId="77777777" w:rsidR="00433C29" w:rsidRPr="00433C29" w:rsidRDefault="00433C29" w:rsidP="00433C29"/>
    <w:p w14:paraId="0611060F" w14:textId="77777777" w:rsidR="00433C29" w:rsidRPr="00433C29" w:rsidRDefault="00433C29" w:rsidP="00433C29"/>
    <w:p w14:paraId="74E8E631" w14:textId="77777777" w:rsidR="00433C29" w:rsidRPr="00433C29" w:rsidRDefault="00433C29" w:rsidP="00433C29"/>
    <w:p w14:paraId="4B0C3EA1" w14:textId="77777777" w:rsidR="00433C29" w:rsidRPr="00433C29" w:rsidRDefault="00433C29" w:rsidP="00433C29"/>
    <w:p w14:paraId="2B0A1F14" w14:textId="77777777" w:rsidR="00433C29" w:rsidRPr="00433C29" w:rsidRDefault="00433C29" w:rsidP="00433C29"/>
    <w:p w14:paraId="2EE0E95A" w14:textId="77777777" w:rsidR="00433C29" w:rsidRPr="00433C29" w:rsidRDefault="00433C29" w:rsidP="00433C29"/>
    <w:p w14:paraId="0D633055" w14:textId="77777777" w:rsidR="00433C29" w:rsidRPr="00433C29" w:rsidRDefault="00433C29" w:rsidP="00433C29"/>
    <w:p w14:paraId="4A6510E8" w14:textId="77777777" w:rsidR="00433C29" w:rsidRPr="00433C29" w:rsidRDefault="00433C29" w:rsidP="00433C29"/>
    <w:p w14:paraId="04517D8C" w14:textId="77777777" w:rsidR="00433C29" w:rsidRPr="00433C29" w:rsidRDefault="00433C29" w:rsidP="00433C29"/>
    <w:p w14:paraId="479BE256" w14:textId="77777777" w:rsidR="00433C29" w:rsidRPr="00433C29" w:rsidRDefault="00433C29" w:rsidP="00433C29"/>
    <w:p w14:paraId="3109C592" w14:textId="77777777" w:rsidR="00433C29" w:rsidRPr="00433C29" w:rsidRDefault="00433C29" w:rsidP="00433C29"/>
    <w:p w14:paraId="507C28CC" w14:textId="77777777" w:rsidR="00433C29" w:rsidRPr="00433C29" w:rsidRDefault="00433C29" w:rsidP="00433C29"/>
    <w:p w14:paraId="20A58E63" w14:textId="77777777" w:rsidR="00433C29" w:rsidRPr="00433C29" w:rsidRDefault="00433C29" w:rsidP="00433C29"/>
    <w:p w14:paraId="5D7FA796" w14:textId="77777777" w:rsidR="00433C29" w:rsidRPr="00433C29" w:rsidRDefault="00433C29" w:rsidP="00433C29"/>
    <w:p w14:paraId="7622CF17" w14:textId="77777777" w:rsidR="00433C29" w:rsidRPr="00433C29" w:rsidRDefault="00433C29" w:rsidP="00433C29"/>
    <w:p w14:paraId="45E1941D" w14:textId="77777777" w:rsidR="00433C29" w:rsidRPr="00433C29" w:rsidRDefault="00433C29" w:rsidP="00433C29"/>
    <w:p w14:paraId="5183B9EB" w14:textId="77777777" w:rsidR="00433C29" w:rsidRPr="00433C29" w:rsidRDefault="00433C29" w:rsidP="00433C29"/>
    <w:p w14:paraId="65B90FC9" w14:textId="77777777" w:rsidR="00433C29" w:rsidRPr="00433C29" w:rsidRDefault="00433C29" w:rsidP="00433C29"/>
    <w:p w14:paraId="0E54F66B" w14:textId="77777777" w:rsidR="00433C29" w:rsidRPr="00433C29" w:rsidRDefault="00433C29" w:rsidP="00433C29"/>
    <w:p w14:paraId="3E8BC592" w14:textId="77777777" w:rsidR="00433C29" w:rsidRPr="00433C29" w:rsidRDefault="00433C29" w:rsidP="00433C29"/>
    <w:p w14:paraId="65ADC760" w14:textId="77777777" w:rsidR="00433C29" w:rsidRPr="00433C29" w:rsidRDefault="00433C29" w:rsidP="00433C29"/>
    <w:p w14:paraId="1A0F009F" w14:textId="77777777" w:rsidR="00433C29" w:rsidRPr="00433C29" w:rsidRDefault="00433C29" w:rsidP="00433C29"/>
    <w:p w14:paraId="6B96878E" w14:textId="77777777" w:rsidR="00433C29" w:rsidRPr="00433C29" w:rsidRDefault="00433C29" w:rsidP="00433C29"/>
    <w:p w14:paraId="5E913D52" w14:textId="77777777" w:rsidR="00433C29" w:rsidRPr="00433C29" w:rsidRDefault="00433C29" w:rsidP="00433C29"/>
    <w:p w14:paraId="3EFC2ED0" w14:textId="04EA632F" w:rsidR="009B6718" w:rsidRDefault="00433C29" w:rsidP="00433C29">
      <w:pPr>
        <w:tabs>
          <w:tab w:val="left" w:pos="2095"/>
        </w:tabs>
      </w:pPr>
      <w:r>
        <w:tab/>
      </w:r>
    </w:p>
    <w:p w14:paraId="26471560" w14:textId="5392963D" w:rsidR="00433C29" w:rsidRPr="00E86685" w:rsidRDefault="00023128" w:rsidP="00433C29">
      <w:pPr>
        <w:tabs>
          <w:tab w:val="left" w:pos="2095"/>
        </w:tabs>
        <w:rPr>
          <w:i/>
        </w:rPr>
      </w:pPr>
      <w:r>
        <w:rPr>
          <w:i/>
        </w:rPr>
        <w:lastRenderedPageBreak/>
        <w:t>Figure 2</w:t>
      </w:r>
      <w:r w:rsidR="00433C29" w:rsidRPr="00E86685">
        <w:rPr>
          <w:i/>
        </w:rPr>
        <w:t xml:space="preserve">. </w:t>
      </w:r>
    </w:p>
    <w:p w14:paraId="302EDF35" w14:textId="77777777" w:rsidR="00433C29" w:rsidRDefault="00433C29" w:rsidP="00433C29">
      <w:pPr>
        <w:tabs>
          <w:tab w:val="left" w:pos="2095"/>
        </w:tabs>
      </w:pPr>
    </w:p>
    <w:p w14:paraId="58024275" w14:textId="20E4DEB8" w:rsidR="00433C29" w:rsidRDefault="00433C29" w:rsidP="00433C29">
      <w:pPr>
        <w:tabs>
          <w:tab w:val="left" w:pos="2095"/>
        </w:tabs>
      </w:pPr>
      <w:r w:rsidRPr="00433C29">
        <w:rPr>
          <w:noProof/>
        </w:rPr>
        <w:drawing>
          <wp:inline distT="0" distB="0" distL="0" distR="0" wp14:anchorId="07410067" wp14:editId="63B934CD">
            <wp:extent cx="502920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3657600"/>
                    </a:xfrm>
                    <a:prstGeom prst="rect">
                      <a:avLst/>
                    </a:prstGeom>
                  </pic:spPr>
                </pic:pic>
              </a:graphicData>
            </a:graphic>
          </wp:inline>
        </w:drawing>
      </w:r>
    </w:p>
    <w:p w14:paraId="22CEDFDA" w14:textId="77777777" w:rsidR="00B85E39" w:rsidRDefault="00B85E39" w:rsidP="00433C29">
      <w:pPr>
        <w:tabs>
          <w:tab w:val="left" w:pos="2095"/>
        </w:tabs>
      </w:pPr>
    </w:p>
    <w:p w14:paraId="665559E3" w14:textId="7997C851" w:rsidR="00023128" w:rsidRDefault="00023128">
      <w:pPr>
        <w:rPr>
          <w:i/>
        </w:rPr>
      </w:pPr>
      <w:r>
        <w:rPr>
          <w:i/>
        </w:rPr>
        <w:t xml:space="preserve">Note. </w:t>
      </w:r>
      <w:r w:rsidR="005B4886">
        <w:t>Age moderation of the treatment ef</w:t>
      </w:r>
      <w:r w:rsidR="0075303E">
        <w:t xml:space="preserve">fect of TranS-C relative to PE on weeknight bedtime. </w:t>
      </w:r>
      <w:r>
        <w:rPr>
          <w:i/>
        </w:rPr>
        <w:br w:type="page"/>
      </w:r>
    </w:p>
    <w:p w14:paraId="6E44B1C3" w14:textId="42616E77" w:rsidR="00B85E39" w:rsidRDefault="0075303E" w:rsidP="00433C29">
      <w:pPr>
        <w:tabs>
          <w:tab w:val="left" w:pos="2095"/>
        </w:tabs>
        <w:rPr>
          <w:i/>
        </w:rPr>
      </w:pPr>
      <w:r>
        <w:rPr>
          <w:i/>
        </w:rPr>
        <w:lastRenderedPageBreak/>
        <w:t>Figure 3</w:t>
      </w:r>
      <w:r w:rsidR="00B85E39" w:rsidRPr="00E86685">
        <w:rPr>
          <w:i/>
        </w:rPr>
        <w:t xml:space="preserve">. </w:t>
      </w:r>
    </w:p>
    <w:p w14:paraId="074DA35E" w14:textId="77777777" w:rsidR="005234C4" w:rsidRPr="00E86685" w:rsidRDefault="005234C4" w:rsidP="00433C29">
      <w:pPr>
        <w:tabs>
          <w:tab w:val="left" w:pos="2095"/>
        </w:tabs>
        <w:rPr>
          <w:i/>
        </w:rPr>
      </w:pPr>
    </w:p>
    <w:p w14:paraId="756E7620" w14:textId="30865952" w:rsidR="00B85E39" w:rsidRDefault="00B85E39" w:rsidP="00433C29">
      <w:pPr>
        <w:tabs>
          <w:tab w:val="left" w:pos="2095"/>
        </w:tabs>
      </w:pPr>
      <w:r w:rsidRPr="00B85E39">
        <w:rPr>
          <w:noProof/>
        </w:rPr>
        <w:drawing>
          <wp:inline distT="0" distB="0" distL="0" distR="0" wp14:anchorId="2D1D70C3" wp14:editId="5D7BB7BD">
            <wp:extent cx="50292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3657600"/>
                    </a:xfrm>
                    <a:prstGeom prst="rect">
                      <a:avLst/>
                    </a:prstGeom>
                  </pic:spPr>
                </pic:pic>
              </a:graphicData>
            </a:graphic>
          </wp:inline>
        </w:drawing>
      </w:r>
    </w:p>
    <w:p w14:paraId="051C017B" w14:textId="77777777" w:rsidR="00914BD9" w:rsidRDefault="00914BD9" w:rsidP="00433C29">
      <w:pPr>
        <w:tabs>
          <w:tab w:val="left" w:pos="2095"/>
        </w:tabs>
      </w:pPr>
    </w:p>
    <w:p w14:paraId="1E718348" w14:textId="3B918B26" w:rsidR="00914BD9" w:rsidRPr="00914BD9" w:rsidRDefault="00914BD9" w:rsidP="00914BD9">
      <w:pPr>
        <w:rPr>
          <w:i/>
        </w:rPr>
      </w:pPr>
      <w:r>
        <w:rPr>
          <w:i/>
        </w:rPr>
        <w:t xml:space="preserve">Note. </w:t>
      </w:r>
      <w:r>
        <w:t>Number of risk categories present at baseline</w:t>
      </w:r>
      <w:r>
        <w:t xml:space="preserve"> mod</w:t>
      </w:r>
      <w:r>
        <w:t>erated</w:t>
      </w:r>
      <w:r>
        <w:t xml:space="preserve"> the treatment effect of Tra</w:t>
      </w:r>
      <w:r>
        <w:t>nS-C relative to P</w:t>
      </w:r>
      <w:r w:rsidR="00640896">
        <w:t xml:space="preserve">E on behavioral risk composite. </w:t>
      </w:r>
    </w:p>
    <w:sectPr w:rsidR="00914BD9" w:rsidRPr="00914BD9" w:rsidSect="0024187D">
      <w:pgSz w:w="12240" w:h="15840"/>
      <w:pgMar w:top="99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46EA7" w14:textId="77777777" w:rsidR="00534CA4" w:rsidRDefault="00534CA4" w:rsidP="00507A23">
      <w:r>
        <w:separator/>
      </w:r>
    </w:p>
  </w:endnote>
  <w:endnote w:type="continuationSeparator" w:id="0">
    <w:p w14:paraId="2B55FF93" w14:textId="77777777" w:rsidR="00534CA4" w:rsidRDefault="00534CA4" w:rsidP="00507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altName w:val="Titlingmes New Roman PS"/>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BB6BB" w14:textId="77777777" w:rsidR="00534CA4" w:rsidRDefault="00534CA4" w:rsidP="00507A23">
      <w:r>
        <w:separator/>
      </w:r>
    </w:p>
  </w:footnote>
  <w:footnote w:type="continuationSeparator" w:id="0">
    <w:p w14:paraId="6C47EF5E" w14:textId="77777777" w:rsidR="00534CA4" w:rsidRDefault="00534CA4" w:rsidP="00507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6120226"/>
      <w:docPartObj>
        <w:docPartGallery w:val="Page Numbers (Top of Page)"/>
        <w:docPartUnique/>
      </w:docPartObj>
    </w:sdtPr>
    <w:sdtContent>
      <w:p w14:paraId="2231FB4D" w14:textId="10E34550" w:rsidR="001F373B" w:rsidRDefault="001F373B" w:rsidP="008A27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D43A69" w14:textId="77777777" w:rsidR="001F373B" w:rsidRDefault="001F373B" w:rsidP="00507A2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19545946"/>
      <w:docPartObj>
        <w:docPartGallery w:val="Page Numbers (Top of Page)"/>
        <w:docPartUnique/>
      </w:docPartObj>
    </w:sdtPr>
    <w:sdtContent>
      <w:p w14:paraId="0C186109" w14:textId="669AA7DE" w:rsidR="001F373B" w:rsidRDefault="001F373B" w:rsidP="008A27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D2E3F8" w14:textId="48F5DF7C" w:rsidR="001F373B" w:rsidRDefault="001F373B" w:rsidP="00507A23">
    <w:pPr>
      <w:pStyle w:val="Header"/>
      <w:ind w:right="360"/>
    </w:pPr>
    <w:r>
      <w:t>TRANSDIAGNOSTIC S</w:t>
    </w:r>
    <w:r w:rsidR="00585A08">
      <w:t>LEEP AND CIRCADIAN INTERVENTION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69856" w14:textId="61AFFC09" w:rsidR="00585A08" w:rsidRDefault="00585A08" w:rsidP="00585A08">
    <w:pPr>
      <w:pStyle w:val="Header"/>
      <w:ind w:right="360"/>
    </w:pPr>
    <w:r>
      <w:t xml:space="preserve">Running head: </w:t>
    </w:r>
    <w:r>
      <w:t xml:space="preserve">TRANSDIAGNOSTIC SLEEP AND CIRCADIAN INTERVENTION </w:t>
    </w:r>
  </w:p>
  <w:p w14:paraId="2C1E2CDD" w14:textId="77777777" w:rsidR="00585A08" w:rsidRDefault="00585A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1003"/>
    <w:multiLevelType w:val="hybridMultilevel"/>
    <w:tmpl w:val="C93A566E"/>
    <w:lvl w:ilvl="0" w:tplc="257ECA5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63390"/>
    <w:multiLevelType w:val="hybridMultilevel"/>
    <w:tmpl w:val="30F803B0"/>
    <w:lvl w:ilvl="0" w:tplc="257ECA5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F1C9E"/>
    <w:multiLevelType w:val="hybridMultilevel"/>
    <w:tmpl w:val="3C7A5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F0308B"/>
    <w:multiLevelType w:val="hybridMultilevel"/>
    <w:tmpl w:val="220A2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384E0C"/>
    <w:multiLevelType w:val="hybridMultilevel"/>
    <w:tmpl w:val="15328B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D00738C"/>
    <w:multiLevelType w:val="hybridMultilevel"/>
    <w:tmpl w:val="40566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56C0045"/>
    <w:multiLevelType w:val="hybridMultilevel"/>
    <w:tmpl w:val="2EDE59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13D"/>
    <w:rsid w:val="0000259D"/>
    <w:rsid w:val="00002CFB"/>
    <w:rsid w:val="00003975"/>
    <w:rsid w:val="0000492B"/>
    <w:rsid w:val="000112CA"/>
    <w:rsid w:val="00015C2C"/>
    <w:rsid w:val="00016363"/>
    <w:rsid w:val="00022288"/>
    <w:rsid w:val="0002260E"/>
    <w:rsid w:val="00023128"/>
    <w:rsid w:val="000242FB"/>
    <w:rsid w:val="0002475B"/>
    <w:rsid w:val="00025C5B"/>
    <w:rsid w:val="00025D86"/>
    <w:rsid w:val="00025FB9"/>
    <w:rsid w:val="00027D9E"/>
    <w:rsid w:val="00030734"/>
    <w:rsid w:val="0003138C"/>
    <w:rsid w:val="0003524B"/>
    <w:rsid w:val="00040C4C"/>
    <w:rsid w:val="000413DA"/>
    <w:rsid w:val="000421E6"/>
    <w:rsid w:val="0004333B"/>
    <w:rsid w:val="0004759F"/>
    <w:rsid w:val="00051AB6"/>
    <w:rsid w:val="00052712"/>
    <w:rsid w:val="00052B15"/>
    <w:rsid w:val="00055918"/>
    <w:rsid w:val="00055E7C"/>
    <w:rsid w:val="00056775"/>
    <w:rsid w:val="000569B3"/>
    <w:rsid w:val="00060816"/>
    <w:rsid w:val="000613ED"/>
    <w:rsid w:val="0006151A"/>
    <w:rsid w:val="0006276B"/>
    <w:rsid w:val="00066D2E"/>
    <w:rsid w:val="00067219"/>
    <w:rsid w:val="0006744C"/>
    <w:rsid w:val="0007124F"/>
    <w:rsid w:val="000722F2"/>
    <w:rsid w:val="00074196"/>
    <w:rsid w:val="00076151"/>
    <w:rsid w:val="000777A6"/>
    <w:rsid w:val="000817CD"/>
    <w:rsid w:val="000843F0"/>
    <w:rsid w:val="000848DF"/>
    <w:rsid w:val="00086500"/>
    <w:rsid w:val="00086673"/>
    <w:rsid w:val="000879C9"/>
    <w:rsid w:val="000923B2"/>
    <w:rsid w:val="00093EF5"/>
    <w:rsid w:val="000959F6"/>
    <w:rsid w:val="00096F6B"/>
    <w:rsid w:val="00097CD7"/>
    <w:rsid w:val="000A1481"/>
    <w:rsid w:val="000A188D"/>
    <w:rsid w:val="000A2E16"/>
    <w:rsid w:val="000A314D"/>
    <w:rsid w:val="000A42CF"/>
    <w:rsid w:val="000A7EE1"/>
    <w:rsid w:val="000B16DF"/>
    <w:rsid w:val="000B499F"/>
    <w:rsid w:val="000B5916"/>
    <w:rsid w:val="000B5B71"/>
    <w:rsid w:val="000C0380"/>
    <w:rsid w:val="000C03B8"/>
    <w:rsid w:val="000C0579"/>
    <w:rsid w:val="000C2EDC"/>
    <w:rsid w:val="000C503A"/>
    <w:rsid w:val="000C5A21"/>
    <w:rsid w:val="000C665C"/>
    <w:rsid w:val="000C6A15"/>
    <w:rsid w:val="000C798B"/>
    <w:rsid w:val="000D0E4D"/>
    <w:rsid w:val="000D0F60"/>
    <w:rsid w:val="000D1472"/>
    <w:rsid w:val="000E02C3"/>
    <w:rsid w:val="000E0C0A"/>
    <w:rsid w:val="000E18EA"/>
    <w:rsid w:val="000E23BC"/>
    <w:rsid w:val="000E2825"/>
    <w:rsid w:val="000E354C"/>
    <w:rsid w:val="000E3CF7"/>
    <w:rsid w:val="000E49DA"/>
    <w:rsid w:val="000E576D"/>
    <w:rsid w:val="000E601C"/>
    <w:rsid w:val="000E60B0"/>
    <w:rsid w:val="000E6708"/>
    <w:rsid w:val="000F1100"/>
    <w:rsid w:val="000F1C20"/>
    <w:rsid w:val="000F5C91"/>
    <w:rsid w:val="000F6B90"/>
    <w:rsid w:val="00101065"/>
    <w:rsid w:val="00101C96"/>
    <w:rsid w:val="00104D6C"/>
    <w:rsid w:val="0010643C"/>
    <w:rsid w:val="00113D92"/>
    <w:rsid w:val="00124ABD"/>
    <w:rsid w:val="00124D23"/>
    <w:rsid w:val="00126945"/>
    <w:rsid w:val="00127281"/>
    <w:rsid w:val="00127CBB"/>
    <w:rsid w:val="0013036E"/>
    <w:rsid w:val="00130CEC"/>
    <w:rsid w:val="00132C79"/>
    <w:rsid w:val="001336E1"/>
    <w:rsid w:val="00133D9D"/>
    <w:rsid w:val="001360DC"/>
    <w:rsid w:val="00142DCE"/>
    <w:rsid w:val="00143927"/>
    <w:rsid w:val="00144C4C"/>
    <w:rsid w:val="00145F46"/>
    <w:rsid w:val="00147D66"/>
    <w:rsid w:val="00150515"/>
    <w:rsid w:val="00150DBE"/>
    <w:rsid w:val="0015127B"/>
    <w:rsid w:val="00153130"/>
    <w:rsid w:val="00156E03"/>
    <w:rsid w:val="00157E50"/>
    <w:rsid w:val="001613F3"/>
    <w:rsid w:val="00161D25"/>
    <w:rsid w:val="001649F3"/>
    <w:rsid w:val="00165764"/>
    <w:rsid w:val="001660D0"/>
    <w:rsid w:val="00167BE6"/>
    <w:rsid w:val="0017296E"/>
    <w:rsid w:val="00173BB6"/>
    <w:rsid w:val="0017687A"/>
    <w:rsid w:val="001772A7"/>
    <w:rsid w:val="00177A47"/>
    <w:rsid w:val="00180C2C"/>
    <w:rsid w:val="00184FD4"/>
    <w:rsid w:val="00186CA6"/>
    <w:rsid w:val="001874D9"/>
    <w:rsid w:val="001926F1"/>
    <w:rsid w:val="00192833"/>
    <w:rsid w:val="00192C35"/>
    <w:rsid w:val="00194C8E"/>
    <w:rsid w:val="001950D3"/>
    <w:rsid w:val="00195DE8"/>
    <w:rsid w:val="00197060"/>
    <w:rsid w:val="001A04ED"/>
    <w:rsid w:val="001A0505"/>
    <w:rsid w:val="001A1163"/>
    <w:rsid w:val="001A1374"/>
    <w:rsid w:val="001A48DA"/>
    <w:rsid w:val="001A4FDA"/>
    <w:rsid w:val="001B037B"/>
    <w:rsid w:val="001B1911"/>
    <w:rsid w:val="001B44D7"/>
    <w:rsid w:val="001B5F69"/>
    <w:rsid w:val="001C1830"/>
    <w:rsid w:val="001C1D3A"/>
    <w:rsid w:val="001C2068"/>
    <w:rsid w:val="001C32F3"/>
    <w:rsid w:val="001C3579"/>
    <w:rsid w:val="001C47FD"/>
    <w:rsid w:val="001C6842"/>
    <w:rsid w:val="001C731F"/>
    <w:rsid w:val="001C7616"/>
    <w:rsid w:val="001D00F4"/>
    <w:rsid w:val="001D0FF2"/>
    <w:rsid w:val="001D34BF"/>
    <w:rsid w:val="001D495D"/>
    <w:rsid w:val="001E0039"/>
    <w:rsid w:val="001E00BB"/>
    <w:rsid w:val="001E0CEC"/>
    <w:rsid w:val="001E215B"/>
    <w:rsid w:val="001E588A"/>
    <w:rsid w:val="001E66A4"/>
    <w:rsid w:val="001E70C0"/>
    <w:rsid w:val="001F090E"/>
    <w:rsid w:val="001F2903"/>
    <w:rsid w:val="001F373B"/>
    <w:rsid w:val="001F384E"/>
    <w:rsid w:val="001F5866"/>
    <w:rsid w:val="001F5969"/>
    <w:rsid w:val="001F670D"/>
    <w:rsid w:val="001F6CF9"/>
    <w:rsid w:val="001F7717"/>
    <w:rsid w:val="0020135A"/>
    <w:rsid w:val="00202A2A"/>
    <w:rsid w:val="002048F1"/>
    <w:rsid w:val="00204D11"/>
    <w:rsid w:val="00205BE2"/>
    <w:rsid w:val="0020754E"/>
    <w:rsid w:val="00207A24"/>
    <w:rsid w:val="0021027D"/>
    <w:rsid w:val="00211259"/>
    <w:rsid w:val="002114F9"/>
    <w:rsid w:val="002138F5"/>
    <w:rsid w:val="002145BD"/>
    <w:rsid w:val="002146DB"/>
    <w:rsid w:val="0021761B"/>
    <w:rsid w:val="002176AB"/>
    <w:rsid w:val="002200DE"/>
    <w:rsid w:val="0022463E"/>
    <w:rsid w:val="0022636B"/>
    <w:rsid w:val="00226E27"/>
    <w:rsid w:val="00234924"/>
    <w:rsid w:val="0023568B"/>
    <w:rsid w:val="00235B4B"/>
    <w:rsid w:val="00235BB8"/>
    <w:rsid w:val="0024187D"/>
    <w:rsid w:val="002419DE"/>
    <w:rsid w:val="00241C1C"/>
    <w:rsid w:val="00242E68"/>
    <w:rsid w:val="00243C1C"/>
    <w:rsid w:val="002453EE"/>
    <w:rsid w:val="00245556"/>
    <w:rsid w:val="0024585E"/>
    <w:rsid w:val="002469CB"/>
    <w:rsid w:val="002546A7"/>
    <w:rsid w:val="00255B5B"/>
    <w:rsid w:val="002569B1"/>
    <w:rsid w:val="00260102"/>
    <w:rsid w:val="00260F59"/>
    <w:rsid w:val="00261A5E"/>
    <w:rsid w:val="002631D1"/>
    <w:rsid w:val="00263ACA"/>
    <w:rsid w:val="00263C6C"/>
    <w:rsid w:val="0026474D"/>
    <w:rsid w:val="002649C8"/>
    <w:rsid w:val="002655C3"/>
    <w:rsid w:val="0026768B"/>
    <w:rsid w:val="00267F11"/>
    <w:rsid w:val="0027049A"/>
    <w:rsid w:val="00271AA3"/>
    <w:rsid w:val="00273F2D"/>
    <w:rsid w:val="00274378"/>
    <w:rsid w:val="0027499A"/>
    <w:rsid w:val="00275456"/>
    <w:rsid w:val="0027650B"/>
    <w:rsid w:val="00280913"/>
    <w:rsid w:val="00280EDD"/>
    <w:rsid w:val="00281A0F"/>
    <w:rsid w:val="002828C9"/>
    <w:rsid w:val="00285589"/>
    <w:rsid w:val="002858F5"/>
    <w:rsid w:val="00285CC3"/>
    <w:rsid w:val="00287032"/>
    <w:rsid w:val="002906C2"/>
    <w:rsid w:val="00291808"/>
    <w:rsid w:val="00292779"/>
    <w:rsid w:val="00292CB4"/>
    <w:rsid w:val="00292E5C"/>
    <w:rsid w:val="00293218"/>
    <w:rsid w:val="00294843"/>
    <w:rsid w:val="0029574B"/>
    <w:rsid w:val="002971EE"/>
    <w:rsid w:val="002A0D69"/>
    <w:rsid w:val="002A2CB7"/>
    <w:rsid w:val="002A300E"/>
    <w:rsid w:val="002A35E4"/>
    <w:rsid w:val="002A4ACE"/>
    <w:rsid w:val="002A6A0F"/>
    <w:rsid w:val="002B0891"/>
    <w:rsid w:val="002B09E0"/>
    <w:rsid w:val="002B2F35"/>
    <w:rsid w:val="002B31F8"/>
    <w:rsid w:val="002B3489"/>
    <w:rsid w:val="002B5336"/>
    <w:rsid w:val="002B6EC0"/>
    <w:rsid w:val="002C05DF"/>
    <w:rsid w:val="002C2C6F"/>
    <w:rsid w:val="002C3CF9"/>
    <w:rsid w:val="002C47F0"/>
    <w:rsid w:val="002C7ADD"/>
    <w:rsid w:val="002D2406"/>
    <w:rsid w:val="002D4E51"/>
    <w:rsid w:val="002D5FEB"/>
    <w:rsid w:val="002D6542"/>
    <w:rsid w:val="002D6B88"/>
    <w:rsid w:val="002D7F22"/>
    <w:rsid w:val="002E0DB5"/>
    <w:rsid w:val="002E4F01"/>
    <w:rsid w:val="002F171C"/>
    <w:rsid w:val="002F33C0"/>
    <w:rsid w:val="002F375A"/>
    <w:rsid w:val="002F555D"/>
    <w:rsid w:val="002F68C3"/>
    <w:rsid w:val="002F79F7"/>
    <w:rsid w:val="0030159C"/>
    <w:rsid w:val="00302C7E"/>
    <w:rsid w:val="00302DCE"/>
    <w:rsid w:val="003064B5"/>
    <w:rsid w:val="0031022D"/>
    <w:rsid w:val="00310870"/>
    <w:rsid w:val="003129B8"/>
    <w:rsid w:val="003135E5"/>
    <w:rsid w:val="00314B8C"/>
    <w:rsid w:val="003150C9"/>
    <w:rsid w:val="003175EE"/>
    <w:rsid w:val="00317D75"/>
    <w:rsid w:val="00320B7F"/>
    <w:rsid w:val="0032341D"/>
    <w:rsid w:val="003250C9"/>
    <w:rsid w:val="00326323"/>
    <w:rsid w:val="0033090D"/>
    <w:rsid w:val="003335B8"/>
    <w:rsid w:val="0033368E"/>
    <w:rsid w:val="00336C86"/>
    <w:rsid w:val="00344351"/>
    <w:rsid w:val="00344532"/>
    <w:rsid w:val="00344936"/>
    <w:rsid w:val="00345AE1"/>
    <w:rsid w:val="003540C1"/>
    <w:rsid w:val="00354C58"/>
    <w:rsid w:val="003577D9"/>
    <w:rsid w:val="0036183F"/>
    <w:rsid w:val="00364D7D"/>
    <w:rsid w:val="00365193"/>
    <w:rsid w:val="0036738B"/>
    <w:rsid w:val="00371E12"/>
    <w:rsid w:val="00372CF4"/>
    <w:rsid w:val="003741BD"/>
    <w:rsid w:val="0037438C"/>
    <w:rsid w:val="003754A8"/>
    <w:rsid w:val="0037554E"/>
    <w:rsid w:val="0038026D"/>
    <w:rsid w:val="00381F55"/>
    <w:rsid w:val="0038282F"/>
    <w:rsid w:val="00383524"/>
    <w:rsid w:val="00383DE0"/>
    <w:rsid w:val="00384CE7"/>
    <w:rsid w:val="00385F38"/>
    <w:rsid w:val="00387E43"/>
    <w:rsid w:val="003904DB"/>
    <w:rsid w:val="003919BD"/>
    <w:rsid w:val="00392F31"/>
    <w:rsid w:val="0039632D"/>
    <w:rsid w:val="0039699B"/>
    <w:rsid w:val="00397CF6"/>
    <w:rsid w:val="003A521D"/>
    <w:rsid w:val="003A5A98"/>
    <w:rsid w:val="003A6324"/>
    <w:rsid w:val="003B010B"/>
    <w:rsid w:val="003B4BC9"/>
    <w:rsid w:val="003B59AB"/>
    <w:rsid w:val="003B6AAE"/>
    <w:rsid w:val="003B745C"/>
    <w:rsid w:val="003C0508"/>
    <w:rsid w:val="003C27A5"/>
    <w:rsid w:val="003C3DC4"/>
    <w:rsid w:val="003C54D6"/>
    <w:rsid w:val="003C5606"/>
    <w:rsid w:val="003C5BEE"/>
    <w:rsid w:val="003C62EA"/>
    <w:rsid w:val="003C6856"/>
    <w:rsid w:val="003D0C32"/>
    <w:rsid w:val="003D1C58"/>
    <w:rsid w:val="003D6939"/>
    <w:rsid w:val="003D7252"/>
    <w:rsid w:val="003D741A"/>
    <w:rsid w:val="003E1141"/>
    <w:rsid w:val="003E2508"/>
    <w:rsid w:val="003E4B14"/>
    <w:rsid w:val="003E5DDE"/>
    <w:rsid w:val="003E6250"/>
    <w:rsid w:val="003E64B5"/>
    <w:rsid w:val="003E7535"/>
    <w:rsid w:val="003F0E39"/>
    <w:rsid w:val="003F4DFF"/>
    <w:rsid w:val="003F5859"/>
    <w:rsid w:val="003F5895"/>
    <w:rsid w:val="003F58B5"/>
    <w:rsid w:val="003F60A6"/>
    <w:rsid w:val="003F7B45"/>
    <w:rsid w:val="003F7ED6"/>
    <w:rsid w:val="004006BD"/>
    <w:rsid w:val="00401499"/>
    <w:rsid w:val="00401B1B"/>
    <w:rsid w:val="00402366"/>
    <w:rsid w:val="00402EE4"/>
    <w:rsid w:val="0040343C"/>
    <w:rsid w:val="004069BB"/>
    <w:rsid w:val="0040765B"/>
    <w:rsid w:val="00407DB1"/>
    <w:rsid w:val="004104E5"/>
    <w:rsid w:val="00412145"/>
    <w:rsid w:val="004148DE"/>
    <w:rsid w:val="004158F5"/>
    <w:rsid w:val="00415C8A"/>
    <w:rsid w:val="00416AF5"/>
    <w:rsid w:val="00416D31"/>
    <w:rsid w:val="00422BB6"/>
    <w:rsid w:val="00424162"/>
    <w:rsid w:val="00424499"/>
    <w:rsid w:val="004247E6"/>
    <w:rsid w:val="0042686C"/>
    <w:rsid w:val="00427752"/>
    <w:rsid w:val="00431EB8"/>
    <w:rsid w:val="00433C29"/>
    <w:rsid w:val="00434A93"/>
    <w:rsid w:val="00435382"/>
    <w:rsid w:val="0043665B"/>
    <w:rsid w:val="00444110"/>
    <w:rsid w:val="004460E8"/>
    <w:rsid w:val="00446955"/>
    <w:rsid w:val="004472E0"/>
    <w:rsid w:val="004502DD"/>
    <w:rsid w:val="00450716"/>
    <w:rsid w:val="00450871"/>
    <w:rsid w:val="00452348"/>
    <w:rsid w:val="00452BD6"/>
    <w:rsid w:val="0045425F"/>
    <w:rsid w:val="004555DC"/>
    <w:rsid w:val="00457124"/>
    <w:rsid w:val="00457FA3"/>
    <w:rsid w:val="004611DD"/>
    <w:rsid w:val="00461D58"/>
    <w:rsid w:val="00462C98"/>
    <w:rsid w:val="00462CAF"/>
    <w:rsid w:val="0046703C"/>
    <w:rsid w:val="00467E57"/>
    <w:rsid w:val="004706DF"/>
    <w:rsid w:val="00470FBB"/>
    <w:rsid w:val="004745A1"/>
    <w:rsid w:val="004748DF"/>
    <w:rsid w:val="004755BA"/>
    <w:rsid w:val="00475AE9"/>
    <w:rsid w:val="00477FD7"/>
    <w:rsid w:val="00480F6C"/>
    <w:rsid w:val="004824BF"/>
    <w:rsid w:val="00483DD0"/>
    <w:rsid w:val="00484863"/>
    <w:rsid w:val="004851C6"/>
    <w:rsid w:val="004856C5"/>
    <w:rsid w:val="0048769E"/>
    <w:rsid w:val="00492232"/>
    <w:rsid w:val="00492735"/>
    <w:rsid w:val="00493365"/>
    <w:rsid w:val="00493A33"/>
    <w:rsid w:val="00494668"/>
    <w:rsid w:val="00494B4F"/>
    <w:rsid w:val="00494FCB"/>
    <w:rsid w:val="00495F0A"/>
    <w:rsid w:val="004A39A0"/>
    <w:rsid w:val="004A6057"/>
    <w:rsid w:val="004A6435"/>
    <w:rsid w:val="004A78A2"/>
    <w:rsid w:val="004A7B0F"/>
    <w:rsid w:val="004B014F"/>
    <w:rsid w:val="004B3319"/>
    <w:rsid w:val="004B4205"/>
    <w:rsid w:val="004B43CC"/>
    <w:rsid w:val="004B4542"/>
    <w:rsid w:val="004B6D62"/>
    <w:rsid w:val="004B7142"/>
    <w:rsid w:val="004C237D"/>
    <w:rsid w:val="004C3693"/>
    <w:rsid w:val="004C38CE"/>
    <w:rsid w:val="004C49B3"/>
    <w:rsid w:val="004C56E9"/>
    <w:rsid w:val="004C6274"/>
    <w:rsid w:val="004C75DB"/>
    <w:rsid w:val="004C7725"/>
    <w:rsid w:val="004D19D5"/>
    <w:rsid w:val="004D357A"/>
    <w:rsid w:val="004D4096"/>
    <w:rsid w:val="004D40BF"/>
    <w:rsid w:val="004D64E0"/>
    <w:rsid w:val="004D6C6D"/>
    <w:rsid w:val="004E515B"/>
    <w:rsid w:val="004F01CF"/>
    <w:rsid w:val="004F020A"/>
    <w:rsid w:val="004F1DEC"/>
    <w:rsid w:val="004F424B"/>
    <w:rsid w:val="004F4C5D"/>
    <w:rsid w:val="00500D41"/>
    <w:rsid w:val="005024ED"/>
    <w:rsid w:val="00504CE6"/>
    <w:rsid w:val="005060B3"/>
    <w:rsid w:val="00507A23"/>
    <w:rsid w:val="00507B08"/>
    <w:rsid w:val="0051401A"/>
    <w:rsid w:val="00514F66"/>
    <w:rsid w:val="00516461"/>
    <w:rsid w:val="005174EE"/>
    <w:rsid w:val="005218AF"/>
    <w:rsid w:val="00522B73"/>
    <w:rsid w:val="005231C2"/>
    <w:rsid w:val="005234C4"/>
    <w:rsid w:val="00523ADB"/>
    <w:rsid w:val="00526696"/>
    <w:rsid w:val="0053054E"/>
    <w:rsid w:val="00534CA4"/>
    <w:rsid w:val="0053683D"/>
    <w:rsid w:val="00537EBC"/>
    <w:rsid w:val="0054246B"/>
    <w:rsid w:val="005431FB"/>
    <w:rsid w:val="00551C83"/>
    <w:rsid w:val="00553AD7"/>
    <w:rsid w:val="00555380"/>
    <w:rsid w:val="0055547D"/>
    <w:rsid w:val="00556D66"/>
    <w:rsid w:val="005601AF"/>
    <w:rsid w:val="00560235"/>
    <w:rsid w:val="00560D86"/>
    <w:rsid w:val="00561996"/>
    <w:rsid w:val="00562F14"/>
    <w:rsid w:val="005649C2"/>
    <w:rsid w:val="005665E3"/>
    <w:rsid w:val="00570437"/>
    <w:rsid w:val="00574450"/>
    <w:rsid w:val="00575A10"/>
    <w:rsid w:val="00576FF4"/>
    <w:rsid w:val="00580706"/>
    <w:rsid w:val="00583A20"/>
    <w:rsid w:val="00585A08"/>
    <w:rsid w:val="0058655E"/>
    <w:rsid w:val="005867C3"/>
    <w:rsid w:val="00587208"/>
    <w:rsid w:val="00587B82"/>
    <w:rsid w:val="00590332"/>
    <w:rsid w:val="005928D5"/>
    <w:rsid w:val="005949BD"/>
    <w:rsid w:val="00596D4F"/>
    <w:rsid w:val="005A2DAA"/>
    <w:rsid w:val="005A3689"/>
    <w:rsid w:val="005A3CF7"/>
    <w:rsid w:val="005A44F1"/>
    <w:rsid w:val="005A6228"/>
    <w:rsid w:val="005B03DF"/>
    <w:rsid w:val="005B114B"/>
    <w:rsid w:val="005B13E9"/>
    <w:rsid w:val="005B1D78"/>
    <w:rsid w:val="005B2911"/>
    <w:rsid w:val="005B3377"/>
    <w:rsid w:val="005B4886"/>
    <w:rsid w:val="005B4FEB"/>
    <w:rsid w:val="005B6564"/>
    <w:rsid w:val="005C026F"/>
    <w:rsid w:val="005C1F13"/>
    <w:rsid w:val="005C2359"/>
    <w:rsid w:val="005C5947"/>
    <w:rsid w:val="005C66A0"/>
    <w:rsid w:val="005C7564"/>
    <w:rsid w:val="005D0983"/>
    <w:rsid w:val="005D1ED4"/>
    <w:rsid w:val="005D6942"/>
    <w:rsid w:val="005D75D8"/>
    <w:rsid w:val="005E1C13"/>
    <w:rsid w:val="005E368E"/>
    <w:rsid w:val="005E5DE7"/>
    <w:rsid w:val="005E63E4"/>
    <w:rsid w:val="005F101C"/>
    <w:rsid w:val="005F18CB"/>
    <w:rsid w:val="005F1D67"/>
    <w:rsid w:val="005F4815"/>
    <w:rsid w:val="005F6B88"/>
    <w:rsid w:val="005F7A37"/>
    <w:rsid w:val="00600153"/>
    <w:rsid w:val="00605D7D"/>
    <w:rsid w:val="006073C6"/>
    <w:rsid w:val="00607ECF"/>
    <w:rsid w:val="006117EF"/>
    <w:rsid w:val="00611A03"/>
    <w:rsid w:val="00613A19"/>
    <w:rsid w:val="00616F2C"/>
    <w:rsid w:val="00617696"/>
    <w:rsid w:val="006179AB"/>
    <w:rsid w:val="00621141"/>
    <w:rsid w:val="00621EF7"/>
    <w:rsid w:val="00622205"/>
    <w:rsid w:val="006260E9"/>
    <w:rsid w:val="00626593"/>
    <w:rsid w:val="00626B1B"/>
    <w:rsid w:val="00627A9C"/>
    <w:rsid w:val="006306DA"/>
    <w:rsid w:val="00634251"/>
    <w:rsid w:val="0063500B"/>
    <w:rsid w:val="00636F71"/>
    <w:rsid w:val="00640896"/>
    <w:rsid w:val="006426F8"/>
    <w:rsid w:val="00642EA2"/>
    <w:rsid w:val="006437A0"/>
    <w:rsid w:val="006448B5"/>
    <w:rsid w:val="0064501E"/>
    <w:rsid w:val="006453BE"/>
    <w:rsid w:val="00646DA2"/>
    <w:rsid w:val="00647128"/>
    <w:rsid w:val="00650345"/>
    <w:rsid w:val="0065219D"/>
    <w:rsid w:val="00652392"/>
    <w:rsid w:val="00657A57"/>
    <w:rsid w:val="00661504"/>
    <w:rsid w:val="00663698"/>
    <w:rsid w:val="00665C23"/>
    <w:rsid w:val="006662C0"/>
    <w:rsid w:val="00667DC0"/>
    <w:rsid w:val="00675B7B"/>
    <w:rsid w:val="00680677"/>
    <w:rsid w:val="006901D4"/>
    <w:rsid w:val="00690385"/>
    <w:rsid w:val="00690A02"/>
    <w:rsid w:val="0069298F"/>
    <w:rsid w:val="006936AD"/>
    <w:rsid w:val="00696E41"/>
    <w:rsid w:val="006A0132"/>
    <w:rsid w:val="006A2719"/>
    <w:rsid w:val="006A2C69"/>
    <w:rsid w:val="006A3C17"/>
    <w:rsid w:val="006A4408"/>
    <w:rsid w:val="006B1A70"/>
    <w:rsid w:val="006B298B"/>
    <w:rsid w:val="006B2F4F"/>
    <w:rsid w:val="006B4A5A"/>
    <w:rsid w:val="006B6549"/>
    <w:rsid w:val="006B65D1"/>
    <w:rsid w:val="006C413D"/>
    <w:rsid w:val="006C6AA1"/>
    <w:rsid w:val="006C7CAB"/>
    <w:rsid w:val="006D0551"/>
    <w:rsid w:val="006D402F"/>
    <w:rsid w:val="006D6072"/>
    <w:rsid w:val="006D7BF1"/>
    <w:rsid w:val="006E1895"/>
    <w:rsid w:val="006E3A35"/>
    <w:rsid w:val="006E403D"/>
    <w:rsid w:val="006E56A7"/>
    <w:rsid w:val="006F0FB9"/>
    <w:rsid w:val="006F2002"/>
    <w:rsid w:val="006F3BB9"/>
    <w:rsid w:val="006F46BB"/>
    <w:rsid w:val="00700B42"/>
    <w:rsid w:val="00701146"/>
    <w:rsid w:val="007013DD"/>
    <w:rsid w:val="00701B11"/>
    <w:rsid w:val="0070217F"/>
    <w:rsid w:val="007026C6"/>
    <w:rsid w:val="00702A1C"/>
    <w:rsid w:val="00702FE2"/>
    <w:rsid w:val="00703D91"/>
    <w:rsid w:val="007049DE"/>
    <w:rsid w:val="007054AD"/>
    <w:rsid w:val="00705937"/>
    <w:rsid w:val="007067FB"/>
    <w:rsid w:val="007077A4"/>
    <w:rsid w:val="00707A45"/>
    <w:rsid w:val="00707CDB"/>
    <w:rsid w:val="00710683"/>
    <w:rsid w:val="007122F5"/>
    <w:rsid w:val="00713963"/>
    <w:rsid w:val="007147F4"/>
    <w:rsid w:val="00715ECA"/>
    <w:rsid w:val="007167FD"/>
    <w:rsid w:val="00720C59"/>
    <w:rsid w:val="0072164C"/>
    <w:rsid w:val="00721EBF"/>
    <w:rsid w:val="00722026"/>
    <w:rsid w:val="00722935"/>
    <w:rsid w:val="00727E36"/>
    <w:rsid w:val="00734215"/>
    <w:rsid w:val="0073724F"/>
    <w:rsid w:val="0073787E"/>
    <w:rsid w:val="00737E60"/>
    <w:rsid w:val="007403B6"/>
    <w:rsid w:val="00740A83"/>
    <w:rsid w:val="007411A4"/>
    <w:rsid w:val="00744245"/>
    <w:rsid w:val="00744C5E"/>
    <w:rsid w:val="00744DAA"/>
    <w:rsid w:val="00745339"/>
    <w:rsid w:val="00745948"/>
    <w:rsid w:val="007477E4"/>
    <w:rsid w:val="007501F3"/>
    <w:rsid w:val="00751985"/>
    <w:rsid w:val="00751B46"/>
    <w:rsid w:val="00751B4C"/>
    <w:rsid w:val="00751BDF"/>
    <w:rsid w:val="007523BA"/>
    <w:rsid w:val="007524F3"/>
    <w:rsid w:val="0075303E"/>
    <w:rsid w:val="00755081"/>
    <w:rsid w:val="00755553"/>
    <w:rsid w:val="00755E75"/>
    <w:rsid w:val="00757C69"/>
    <w:rsid w:val="00761E99"/>
    <w:rsid w:val="00762D12"/>
    <w:rsid w:val="007637A9"/>
    <w:rsid w:val="0077274B"/>
    <w:rsid w:val="00772F97"/>
    <w:rsid w:val="007768BD"/>
    <w:rsid w:val="0077704E"/>
    <w:rsid w:val="00777C1A"/>
    <w:rsid w:val="00777F9E"/>
    <w:rsid w:val="007818A4"/>
    <w:rsid w:val="007818FA"/>
    <w:rsid w:val="00782112"/>
    <w:rsid w:val="00782661"/>
    <w:rsid w:val="00782CB8"/>
    <w:rsid w:val="00782D4E"/>
    <w:rsid w:val="00784558"/>
    <w:rsid w:val="00786471"/>
    <w:rsid w:val="007864DF"/>
    <w:rsid w:val="007871EF"/>
    <w:rsid w:val="00790245"/>
    <w:rsid w:val="00791037"/>
    <w:rsid w:val="00793D94"/>
    <w:rsid w:val="00794794"/>
    <w:rsid w:val="00795CD4"/>
    <w:rsid w:val="00796C3D"/>
    <w:rsid w:val="00797357"/>
    <w:rsid w:val="007A2E22"/>
    <w:rsid w:val="007A2F6E"/>
    <w:rsid w:val="007A4A96"/>
    <w:rsid w:val="007A4C86"/>
    <w:rsid w:val="007A70E5"/>
    <w:rsid w:val="007A7194"/>
    <w:rsid w:val="007A7509"/>
    <w:rsid w:val="007A759C"/>
    <w:rsid w:val="007A7B10"/>
    <w:rsid w:val="007B0150"/>
    <w:rsid w:val="007B06D2"/>
    <w:rsid w:val="007B0E28"/>
    <w:rsid w:val="007B4A97"/>
    <w:rsid w:val="007C209B"/>
    <w:rsid w:val="007C264D"/>
    <w:rsid w:val="007C5A38"/>
    <w:rsid w:val="007C6D04"/>
    <w:rsid w:val="007D0A2A"/>
    <w:rsid w:val="007D2394"/>
    <w:rsid w:val="007D4335"/>
    <w:rsid w:val="007D6E7F"/>
    <w:rsid w:val="007D791A"/>
    <w:rsid w:val="007E0F1D"/>
    <w:rsid w:val="007E1298"/>
    <w:rsid w:val="007E33C0"/>
    <w:rsid w:val="007E52AD"/>
    <w:rsid w:val="007E5471"/>
    <w:rsid w:val="007E5C8F"/>
    <w:rsid w:val="007F22D4"/>
    <w:rsid w:val="007F49AA"/>
    <w:rsid w:val="007F6666"/>
    <w:rsid w:val="007F6CED"/>
    <w:rsid w:val="00800A3B"/>
    <w:rsid w:val="00800B33"/>
    <w:rsid w:val="00800E50"/>
    <w:rsid w:val="00800EF3"/>
    <w:rsid w:val="00803837"/>
    <w:rsid w:val="0080527E"/>
    <w:rsid w:val="00806A21"/>
    <w:rsid w:val="00806DC8"/>
    <w:rsid w:val="00807D9D"/>
    <w:rsid w:val="008105F8"/>
    <w:rsid w:val="008112E5"/>
    <w:rsid w:val="00812CF7"/>
    <w:rsid w:val="00814A23"/>
    <w:rsid w:val="00815B8E"/>
    <w:rsid w:val="008206A4"/>
    <w:rsid w:val="0082187E"/>
    <w:rsid w:val="00822A3A"/>
    <w:rsid w:val="008267D0"/>
    <w:rsid w:val="00833ACC"/>
    <w:rsid w:val="00835DEA"/>
    <w:rsid w:val="00836079"/>
    <w:rsid w:val="00836C32"/>
    <w:rsid w:val="00840D23"/>
    <w:rsid w:val="00842395"/>
    <w:rsid w:val="008453AA"/>
    <w:rsid w:val="00847AFC"/>
    <w:rsid w:val="00854095"/>
    <w:rsid w:val="008560B4"/>
    <w:rsid w:val="00860E65"/>
    <w:rsid w:val="008634A9"/>
    <w:rsid w:val="00863C2B"/>
    <w:rsid w:val="00864156"/>
    <w:rsid w:val="0086417B"/>
    <w:rsid w:val="00870F07"/>
    <w:rsid w:val="008713F4"/>
    <w:rsid w:val="00872D0E"/>
    <w:rsid w:val="00874277"/>
    <w:rsid w:val="00875741"/>
    <w:rsid w:val="008801AA"/>
    <w:rsid w:val="008801C2"/>
    <w:rsid w:val="0088055C"/>
    <w:rsid w:val="00882AD6"/>
    <w:rsid w:val="00884A11"/>
    <w:rsid w:val="008853E1"/>
    <w:rsid w:val="008854B6"/>
    <w:rsid w:val="00886174"/>
    <w:rsid w:val="00890B45"/>
    <w:rsid w:val="00890D03"/>
    <w:rsid w:val="0089210A"/>
    <w:rsid w:val="00895F17"/>
    <w:rsid w:val="00896313"/>
    <w:rsid w:val="00897841"/>
    <w:rsid w:val="008A27D9"/>
    <w:rsid w:val="008A36BE"/>
    <w:rsid w:val="008A516D"/>
    <w:rsid w:val="008A53B5"/>
    <w:rsid w:val="008A58FF"/>
    <w:rsid w:val="008A7D0A"/>
    <w:rsid w:val="008B066F"/>
    <w:rsid w:val="008B160C"/>
    <w:rsid w:val="008B2116"/>
    <w:rsid w:val="008B3FCA"/>
    <w:rsid w:val="008B4375"/>
    <w:rsid w:val="008B43D3"/>
    <w:rsid w:val="008B6CBA"/>
    <w:rsid w:val="008B7AC8"/>
    <w:rsid w:val="008C0CD3"/>
    <w:rsid w:val="008C53B0"/>
    <w:rsid w:val="008C67F5"/>
    <w:rsid w:val="008C68B4"/>
    <w:rsid w:val="008C6CB1"/>
    <w:rsid w:val="008C7E71"/>
    <w:rsid w:val="008C7EF0"/>
    <w:rsid w:val="008D0303"/>
    <w:rsid w:val="008D0E8C"/>
    <w:rsid w:val="008D19FE"/>
    <w:rsid w:val="008D297D"/>
    <w:rsid w:val="008D3122"/>
    <w:rsid w:val="008D33B3"/>
    <w:rsid w:val="008D346F"/>
    <w:rsid w:val="008D5024"/>
    <w:rsid w:val="008D6CA2"/>
    <w:rsid w:val="008D7438"/>
    <w:rsid w:val="008F3F33"/>
    <w:rsid w:val="008F4D27"/>
    <w:rsid w:val="008F6CE6"/>
    <w:rsid w:val="009007F7"/>
    <w:rsid w:val="00901AE7"/>
    <w:rsid w:val="00904D03"/>
    <w:rsid w:val="00905570"/>
    <w:rsid w:val="00907DDD"/>
    <w:rsid w:val="00910334"/>
    <w:rsid w:val="00913BAC"/>
    <w:rsid w:val="00914BD9"/>
    <w:rsid w:val="00921471"/>
    <w:rsid w:val="00921A9E"/>
    <w:rsid w:val="009242EA"/>
    <w:rsid w:val="00924A4B"/>
    <w:rsid w:val="009266B9"/>
    <w:rsid w:val="00927373"/>
    <w:rsid w:val="0093195C"/>
    <w:rsid w:val="009321B6"/>
    <w:rsid w:val="00932A9F"/>
    <w:rsid w:val="00932C5C"/>
    <w:rsid w:val="0093419E"/>
    <w:rsid w:val="00935EC1"/>
    <w:rsid w:val="00937C2D"/>
    <w:rsid w:val="0094319F"/>
    <w:rsid w:val="009439BF"/>
    <w:rsid w:val="0094557E"/>
    <w:rsid w:val="00945B93"/>
    <w:rsid w:val="00945C14"/>
    <w:rsid w:val="00947387"/>
    <w:rsid w:val="00951EB6"/>
    <w:rsid w:val="00953F5B"/>
    <w:rsid w:val="0095465D"/>
    <w:rsid w:val="00955744"/>
    <w:rsid w:val="00956A50"/>
    <w:rsid w:val="00957BB9"/>
    <w:rsid w:val="00957ECA"/>
    <w:rsid w:val="00960999"/>
    <w:rsid w:val="00961AA7"/>
    <w:rsid w:val="00965573"/>
    <w:rsid w:val="009661A7"/>
    <w:rsid w:val="00967763"/>
    <w:rsid w:val="0097499E"/>
    <w:rsid w:val="00975623"/>
    <w:rsid w:val="0097571F"/>
    <w:rsid w:val="00975D7A"/>
    <w:rsid w:val="009779D9"/>
    <w:rsid w:val="00977A7D"/>
    <w:rsid w:val="00984FC2"/>
    <w:rsid w:val="009859F8"/>
    <w:rsid w:val="009873A3"/>
    <w:rsid w:val="00990D98"/>
    <w:rsid w:val="0099330B"/>
    <w:rsid w:val="0099482F"/>
    <w:rsid w:val="00995A67"/>
    <w:rsid w:val="00995C42"/>
    <w:rsid w:val="00995DD4"/>
    <w:rsid w:val="009A15C0"/>
    <w:rsid w:val="009A2884"/>
    <w:rsid w:val="009A48B6"/>
    <w:rsid w:val="009A49AC"/>
    <w:rsid w:val="009A7489"/>
    <w:rsid w:val="009B4A0A"/>
    <w:rsid w:val="009B52E7"/>
    <w:rsid w:val="009B6718"/>
    <w:rsid w:val="009B75EF"/>
    <w:rsid w:val="009B79BF"/>
    <w:rsid w:val="009C2DCC"/>
    <w:rsid w:val="009C6614"/>
    <w:rsid w:val="009C7644"/>
    <w:rsid w:val="009D07B7"/>
    <w:rsid w:val="009D0A53"/>
    <w:rsid w:val="009D1830"/>
    <w:rsid w:val="009D2375"/>
    <w:rsid w:val="009D3CAE"/>
    <w:rsid w:val="009D415E"/>
    <w:rsid w:val="009E2AAA"/>
    <w:rsid w:val="009E6DD9"/>
    <w:rsid w:val="009F0D53"/>
    <w:rsid w:val="009F0E0D"/>
    <w:rsid w:val="009F1676"/>
    <w:rsid w:val="009F1D6E"/>
    <w:rsid w:val="009F1DBD"/>
    <w:rsid w:val="009F26D2"/>
    <w:rsid w:val="009F388D"/>
    <w:rsid w:val="009F5900"/>
    <w:rsid w:val="009F5A8C"/>
    <w:rsid w:val="009F642F"/>
    <w:rsid w:val="00A015E8"/>
    <w:rsid w:val="00A04B56"/>
    <w:rsid w:val="00A05527"/>
    <w:rsid w:val="00A06176"/>
    <w:rsid w:val="00A12593"/>
    <w:rsid w:val="00A12B48"/>
    <w:rsid w:val="00A14F3F"/>
    <w:rsid w:val="00A15524"/>
    <w:rsid w:val="00A15DEE"/>
    <w:rsid w:val="00A1627D"/>
    <w:rsid w:val="00A21FEC"/>
    <w:rsid w:val="00A2418F"/>
    <w:rsid w:val="00A24890"/>
    <w:rsid w:val="00A25BAF"/>
    <w:rsid w:val="00A267C5"/>
    <w:rsid w:val="00A26B00"/>
    <w:rsid w:val="00A26D29"/>
    <w:rsid w:val="00A32EBC"/>
    <w:rsid w:val="00A33AC6"/>
    <w:rsid w:val="00A33BAE"/>
    <w:rsid w:val="00A3686B"/>
    <w:rsid w:val="00A378C8"/>
    <w:rsid w:val="00A37BCC"/>
    <w:rsid w:val="00A37DA6"/>
    <w:rsid w:val="00A406DA"/>
    <w:rsid w:val="00A4296A"/>
    <w:rsid w:val="00A4509E"/>
    <w:rsid w:val="00A453C1"/>
    <w:rsid w:val="00A45A4F"/>
    <w:rsid w:val="00A468AE"/>
    <w:rsid w:val="00A469EA"/>
    <w:rsid w:val="00A52F62"/>
    <w:rsid w:val="00A534E2"/>
    <w:rsid w:val="00A5444B"/>
    <w:rsid w:val="00A54DF7"/>
    <w:rsid w:val="00A55882"/>
    <w:rsid w:val="00A5646E"/>
    <w:rsid w:val="00A56B47"/>
    <w:rsid w:val="00A57182"/>
    <w:rsid w:val="00A62B9C"/>
    <w:rsid w:val="00A6396D"/>
    <w:rsid w:val="00A6535D"/>
    <w:rsid w:val="00A66484"/>
    <w:rsid w:val="00A70C2D"/>
    <w:rsid w:val="00A713E5"/>
    <w:rsid w:val="00A743D7"/>
    <w:rsid w:val="00A74D14"/>
    <w:rsid w:val="00A776CA"/>
    <w:rsid w:val="00A8437F"/>
    <w:rsid w:val="00A84BE9"/>
    <w:rsid w:val="00A8539B"/>
    <w:rsid w:val="00A85906"/>
    <w:rsid w:val="00A86894"/>
    <w:rsid w:val="00A86D7D"/>
    <w:rsid w:val="00A91C9F"/>
    <w:rsid w:val="00A92D89"/>
    <w:rsid w:val="00A930B0"/>
    <w:rsid w:val="00A96411"/>
    <w:rsid w:val="00A97734"/>
    <w:rsid w:val="00A97BFE"/>
    <w:rsid w:val="00AA0DCD"/>
    <w:rsid w:val="00AA0F02"/>
    <w:rsid w:val="00AA176C"/>
    <w:rsid w:val="00AA18E1"/>
    <w:rsid w:val="00AA25C9"/>
    <w:rsid w:val="00AA2C79"/>
    <w:rsid w:val="00AA68FB"/>
    <w:rsid w:val="00AA6A76"/>
    <w:rsid w:val="00AA753B"/>
    <w:rsid w:val="00AB0F6F"/>
    <w:rsid w:val="00AB1259"/>
    <w:rsid w:val="00AB2E08"/>
    <w:rsid w:val="00AB3596"/>
    <w:rsid w:val="00AB3768"/>
    <w:rsid w:val="00AB6794"/>
    <w:rsid w:val="00AB68FF"/>
    <w:rsid w:val="00AB6AE2"/>
    <w:rsid w:val="00AB7937"/>
    <w:rsid w:val="00AC0ACF"/>
    <w:rsid w:val="00AC3231"/>
    <w:rsid w:val="00AC3F99"/>
    <w:rsid w:val="00AC4E69"/>
    <w:rsid w:val="00AC7F80"/>
    <w:rsid w:val="00AD06CD"/>
    <w:rsid w:val="00AD0751"/>
    <w:rsid w:val="00AD2342"/>
    <w:rsid w:val="00AD273F"/>
    <w:rsid w:val="00AD5EB3"/>
    <w:rsid w:val="00AD6C89"/>
    <w:rsid w:val="00AE183A"/>
    <w:rsid w:val="00AE23E6"/>
    <w:rsid w:val="00AE259B"/>
    <w:rsid w:val="00AE7C1F"/>
    <w:rsid w:val="00AE7C7A"/>
    <w:rsid w:val="00AE7D1B"/>
    <w:rsid w:val="00AF0342"/>
    <w:rsid w:val="00AF0623"/>
    <w:rsid w:val="00AF0A06"/>
    <w:rsid w:val="00AF0F11"/>
    <w:rsid w:val="00AF1657"/>
    <w:rsid w:val="00AF2AAD"/>
    <w:rsid w:val="00AF2D4C"/>
    <w:rsid w:val="00AF331D"/>
    <w:rsid w:val="00AF3743"/>
    <w:rsid w:val="00AF66C7"/>
    <w:rsid w:val="00AF79C5"/>
    <w:rsid w:val="00B030F5"/>
    <w:rsid w:val="00B0522E"/>
    <w:rsid w:val="00B11B08"/>
    <w:rsid w:val="00B11EB9"/>
    <w:rsid w:val="00B14856"/>
    <w:rsid w:val="00B16C03"/>
    <w:rsid w:val="00B17D6F"/>
    <w:rsid w:val="00B223D4"/>
    <w:rsid w:val="00B2362C"/>
    <w:rsid w:val="00B24B07"/>
    <w:rsid w:val="00B25D56"/>
    <w:rsid w:val="00B31E89"/>
    <w:rsid w:val="00B33509"/>
    <w:rsid w:val="00B3669C"/>
    <w:rsid w:val="00B37410"/>
    <w:rsid w:val="00B40809"/>
    <w:rsid w:val="00B42D7C"/>
    <w:rsid w:val="00B4457C"/>
    <w:rsid w:val="00B44AF4"/>
    <w:rsid w:val="00B45287"/>
    <w:rsid w:val="00B45D10"/>
    <w:rsid w:val="00B50EF4"/>
    <w:rsid w:val="00B524B9"/>
    <w:rsid w:val="00B54886"/>
    <w:rsid w:val="00B55F73"/>
    <w:rsid w:val="00B573A5"/>
    <w:rsid w:val="00B57C71"/>
    <w:rsid w:val="00B57D44"/>
    <w:rsid w:val="00B649C7"/>
    <w:rsid w:val="00B66DD0"/>
    <w:rsid w:val="00B67B56"/>
    <w:rsid w:val="00B67CAA"/>
    <w:rsid w:val="00B731DE"/>
    <w:rsid w:val="00B744FA"/>
    <w:rsid w:val="00B765DF"/>
    <w:rsid w:val="00B77403"/>
    <w:rsid w:val="00B81787"/>
    <w:rsid w:val="00B83EBA"/>
    <w:rsid w:val="00B842A7"/>
    <w:rsid w:val="00B85150"/>
    <w:rsid w:val="00B853A7"/>
    <w:rsid w:val="00B85E39"/>
    <w:rsid w:val="00B90B5C"/>
    <w:rsid w:val="00B93626"/>
    <w:rsid w:val="00B93D8C"/>
    <w:rsid w:val="00B94833"/>
    <w:rsid w:val="00B94CD5"/>
    <w:rsid w:val="00B96027"/>
    <w:rsid w:val="00B9658C"/>
    <w:rsid w:val="00B9760F"/>
    <w:rsid w:val="00BA0032"/>
    <w:rsid w:val="00BA01DA"/>
    <w:rsid w:val="00BA0482"/>
    <w:rsid w:val="00BA2BB3"/>
    <w:rsid w:val="00BA4607"/>
    <w:rsid w:val="00BA4A7C"/>
    <w:rsid w:val="00BA625C"/>
    <w:rsid w:val="00BB2690"/>
    <w:rsid w:val="00BB3261"/>
    <w:rsid w:val="00BB3965"/>
    <w:rsid w:val="00BB3CAD"/>
    <w:rsid w:val="00BB4AC2"/>
    <w:rsid w:val="00BC05C2"/>
    <w:rsid w:val="00BC084F"/>
    <w:rsid w:val="00BC23DF"/>
    <w:rsid w:val="00BC424D"/>
    <w:rsid w:val="00BD5082"/>
    <w:rsid w:val="00BD5CC0"/>
    <w:rsid w:val="00BE02FE"/>
    <w:rsid w:val="00BE12F2"/>
    <w:rsid w:val="00BE1E0E"/>
    <w:rsid w:val="00BE227F"/>
    <w:rsid w:val="00BE379F"/>
    <w:rsid w:val="00BE3916"/>
    <w:rsid w:val="00BE3DD3"/>
    <w:rsid w:val="00BE77F5"/>
    <w:rsid w:val="00BF38A2"/>
    <w:rsid w:val="00BF4340"/>
    <w:rsid w:val="00BF5736"/>
    <w:rsid w:val="00BF5CB0"/>
    <w:rsid w:val="00BF6E90"/>
    <w:rsid w:val="00BF7BFC"/>
    <w:rsid w:val="00BF7F68"/>
    <w:rsid w:val="00C0005F"/>
    <w:rsid w:val="00C006DF"/>
    <w:rsid w:val="00C00E29"/>
    <w:rsid w:val="00C05A96"/>
    <w:rsid w:val="00C10C01"/>
    <w:rsid w:val="00C12CDB"/>
    <w:rsid w:val="00C14C07"/>
    <w:rsid w:val="00C1515A"/>
    <w:rsid w:val="00C15FEB"/>
    <w:rsid w:val="00C170CB"/>
    <w:rsid w:val="00C171C2"/>
    <w:rsid w:val="00C17FE7"/>
    <w:rsid w:val="00C22CBA"/>
    <w:rsid w:val="00C31FE5"/>
    <w:rsid w:val="00C3337D"/>
    <w:rsid w:val="00C3352D"/>
    <w:rsid w:val="00C3355D"/>
    <w:rsid w:val="00C339A7"/>
    <w:rsid w:val="00C366BA"/>
    <w:rsid w:val="00C4001E"/>
    <w:rsid w:val="00C419EC"/>
    <w:rsid w:val="00C4314B"/>
    <w:rsid w:val="00C457EA"/>
    <w:rsid w:val="00C46245"/>
    <w:rsid w:val="00C47E6B"/>
    <w:rsid w:val="00C5039B"/>
    <w:rsid w:val="00C519E3"/>
    <w:rsid w:val="00C520C9"/>
    <w:rsid w:val="00C52D29"/>
    <w:rsid w:val="00C54A81"/>
    <w:rsid w:val="00C557D1"/>
    <w:rsid w:val="00C56670"/>
    <w:rsid w:val="00C56C28"/>
    <w:rsid w:val="00C62A4C"/>
    <w:rsid w:val="00C62CA0"/>
    <w:rsid w:val="00C62E64"/>
    <w:rsid w:val="00C63356"/>
    <w:rsid w:val="00C6726D"/>
    <w:rsid w:val="00C676F8"/>
    <w:rsid w:val="00C729C2"/>
    <w:rsid w:val="00C74104"/>
    <w:rsid w:val="00C74EC5"/>
    <w:rsid w:val="00C77F61"/>
    <w:rsid w:val="00C822DA"/>
    <w:rsid w:val="00C82D61"/>
    <w:rsid w:val="00C840C3"/>
    <w:rsid w:val="00C8440D"/>
    <w:rsid w:val="00C857A3"/>
    <w:rsid w:val="00C85A87"/>
    <w:rsid w:val="00C86427"/>
    <w:rsid w:val="00C92EFD"/>
    <w:rsid w:val="00C93889"/>
    <w:rsid w:val="00CA0B6B"/>
    <w:rsid w:val="00CA34D1"/>
    <w:rsid w:val="00CA364C"/>
    <w:rsid w:val="00CA39B1"/>
    <w:rsid w:val="00CA5B68"/>
    <w:rsid w:val="00CA6BCA"/>
    <w:rsid w:val="00CB03E6"/>
    <w:rsid w:val="00CB0ECC"/>
    <w:rsid w:val="00CB1A41"/>
    <w:rsid w:val="00CB1A90"/>
    <w:rsid w:val="00CB1C24"/>
    <w:rsid w:val="00CB55AB"/>
    <w:rsid w:val="00CB6E79"/>
    <w:rsid w:val="00CC5C40"/>
    <w:rsid w:val="00CC5CE5"/>
    <w:rsid w:val="00CC67A0"/>
    <w:rsid w:val="00CC6B94"/>
    <w:rsid w:val="00CD064C"/>
    <w:rsid w:val="00CD0932"/>
    <w:rsid w:val="00CD1493"/>
    <w:rsid w:val="00CD2197"/>
    <w:rsid w:val="00CD2DDD"/>
    <w:rsid w:val="00CD2F4F"/>
    <w:rsid w:val="00CD7017"/>
    <w:rsid w:val="00CE0D01"/>
    <w:rsid w:val="00CE2038"/>
    <w:rsid w:val="00CE48B2"/>
    <w:rsid w:val="00CE4FEC"/>
    <w:rsid w:val="00CE5F37"/>
    <w:rsid w:val="00CE63F8"/>
    <w:rsid w:val="00CE7A0A"/>
    <w:rsid w:val="00CF084F"/>
    <w:rsid w:val="00CF12CC"/>
    <w:rsid w:val="00CF164B"/>
    <w:rsid w:val="00CF3BDE"/>
    <w:rsid w:val="00CF6FE3"/>
    <w:rsid w:val="00D0010A"/>
    <w:rsid w:val="00D03681"/>
    <w:rsid w:val="00D06C44"/>
    <w:rsid w:val="00D06E6D"/>
    <w:rsid w:val="00D078B7"/>
    <w:rsid w:val="00D108C3"/>
    <w:rsid w:val="00D115EF"/>
    <w:rsid w:val="00D11A9C"/>
    <w:rsid w:val="00D150D4"/>
    <w:rsid w:val="00D171F5"/>
    <w:rsid w:val="00D2112D"/>
    <w:rsid w:val="00D22078"/>
    <w:rsid w:val="00D223CE"/>
    <w:rsid w:val="00D23728"/>
    <w:rsid w:val="00D25021"/>
    <w:rsid w:val="00D25C62"/>
    <w:rsid w:val="00D2710B"/>
    <w:rsid w:val="00D2791F"/>
    <w:rsid w:val="00D31EC5"/>
    <w:rsid w:val="00D33520"/>
    <w:rsid w:val="00D3503D"/>
    <w:rsid w:val="00D36B07"/>
    <w:rsid w:val="00D40017"/>
    <w:rsid w:val="00D40908"/>
    <w:rsid w:val="00D41C16"/>
    <w:rsid w:val="00D428EA"/>
    <w:rsid w:val="00D430F9"/>
    <w:rsid w:val="00D451F7"/>
    <w:rsid w:val="00D47C66"/>
    <w:rsid w:val="00D54372"/>
    <w:rsid w:val="00D5629C"/>
    <w:rsid w:val="00D602DE"/>
    <w:rsid w:val="00D60F3C"/>
    <w:rsid w:val="00D66388"/>
    <w:rsid w:val="00D72E5D"/>
    <w:rsid w:val="00D737BA"/>
    <w:rsid w:val="00D74A87"/>
    <w:rsid w:val="00D7711E"/>
    <w:rsid w:val="00D77454"/>
    <w:rsid w:val="00D82B6C"/>
    <w:rsid w:val="00D8494A"/>
    <w:rsid w:val="00D84B81"/>
    <w:rsid w:val="00D87A5F"/>
    <w:rsid w:val="00D90BDC"/>
    <w:rsid w:val="00D916C5"/>
    <w:rsid w:val="00D92445"/>
    <w:rsid w:val="00D94869"/>
    <w:rsid w:val="00D95E39"/>
    <w:rsid w:val="00DA0642"/>
    <w:rsid w:val="00DA0B7F"/>
    <w:rsid w:val="00DA25BE"/>
    <w:rsid w:val="00DA5663"/>
    <w:rsid w:val="00DA7AA5"/>
    <w:rsid w:val="00DB14A2"/>
    <w:rsid w:val="00DB3905"/>
    <w:rsid w:val="00DC2A92"/>
    <w:rsid w:val="00DC2CF6"/>
    <w:rsid w:val="00DC33D4"/>
    <w:rsid w:val="00DC3651"/>
    <w:rsid w:val="00DC3DF8"/>
    <w:rsid w:val="00DC3E1D"/>
    <w:rsid w:val="00DC4278"/>
    <w:rsid w:val="00DC439C"/>
    <w:rsid w:val="00DC525E"/>
    <w:rsid w:val="00DC597E"/>
    <w:rsid w:val="00DC709E"/>
    <w:rsid w:val="00DD441D"/>
    <w:rsid w:val="00DD53CD"/>
    <w:rsid w:val="00DD7AB8"/>
    <w:rsid w:val="00DE09C9"/>
    <w:rsid w:val="00DE2DCA"/>
    <w:rsid w:val="00DE468B"/>
    <w:rsid w:val="00DE7A80"/>
    <w:rsid w:val="00DF154E"/>
    <w:rsid w:val="00DF2B23"/>
    <w:rsid w:val="00DF32EA"/>
    <w:rsid w:val="00DF3AE4"/>
    <w:rsid w:val="00DF6616"/>
    <w:rsid w:val="00DF687D"/>
    <w:rsid w:val="00E01576"/>
    <w:rsid w:val="00E03BB3"/>
    <w:rsid w:val="00E04C59"/>
    <w:rsid w:val="00E14416"/>
    <w:rsid w:val="00E200EE"/>
    <w:rsid w:val="00E206C6"/>
    <w:rsid w:val="00E21E50"/>
    <w:rsid w:val="00E22A23"/>
    <w:rsid w:val="00E2545F"/>
    <w:rsid w:val="00E26367"/>
    <w:rsid w:val="00E26EE9"/>
    <w:rsid w:val="00E27073"/>
    <w:rsid w:val="00E276C0"/>
    <w:rsid w:val="00E31E24"/>
    <w:rsid w:val="00E32919"/>
    <w:rsid w:val="00E34911"/>
    <w:rsid w:val="00E349F3"/>
    <w:rsid w:val="00E35C37"/>
    <w:rsid w:val="00E404F2"/>
    <w:rsid w:val="00E4202D"/>
    <w:rsid w:val="00E44275"/>
    <w:rsid w:val="00E4484A"/>
    <w:rsid w:val="00E45A88"/>
    <w:rsid w:val="00E47DDA"/>
    <w:rsid w:val="00E47E49"/>
    <w:rsid w:val="00E503BA"/>
    <w:rsid w:val="00E54142"/>
    <w:rsid w:val="00E54269"/>
    <w:rsid w:val="00E54ADC"/>
    <w:rsid w:val="00E550E5"/>
    <w:rsid w:val="00E55BB3"/>
    <w:rsid w:val="00E55F7E"/>
    <w:rsid w:val="00E567C4"/>
    <w:rsid w:val="00E60E61"/>
    <w:rsid w:val="00E61726"/>
    <w:rsid w:val="00E630D8"/>
    <w:rsid w:val="00E63233"/>
    <w:rsid w:val="00E63776"/>
    <w:rsid w:val="00E64613"/>
    <w:rsid w:val="00E66905"/>
    <w:rsid w:val="00E67E15"/>
    <w:rsid w:val="00E71B31"/>
    <w:rsid w:val="00E801C8"/>
    <w:rsid w:val="00E80495"/>
    <w:rsid w:val="00E8358E"/>
    <w:rsid w:val="00E8574C"/>
    <w:rsid w:val="00E86256"/>
    <w:rsid w:val="00E86685"/>
    <w:rsid w:val="00E900B3"/>
    <w:rsid w:val="00E9087F"/>
    <w:rsid w:val="00E921CB"/>
    <w:rsid w:val="00E932C1"/>
    <w:rsid w:val="00E94708"/>
    <w:rsid w:val="00E95946"/>
    <w:rsid w:val="00EA3798"/>
    <w:rsid w:val="00EA3CBD"/>
    <w:rsid w:val="00EA40E9"/>
    <w:rsid w:val="00EA5F06"/>
    <w:rsid w:val="00EB05C6"/>
    <w:rsid w:val="00EB0CD4"/>
    <w:rsid w:val="00EB193F"/>
    <w:rsid w:val="00EB6501"/>
    <w:rsid w:val="00EB65C1"/>
    <w:rsid w:val="00EC1802"/>
    <w:rsid w:val="00EC2016"/>
    <w:rsid w:val="00EC4A67"/>
    <w:rsid w:val="00EC7AA7"/>
    <w:rsid w:val="00ED16A6"/>
    <w:rsid w:val="00ED4EBB"/>
    <w:rsid w:val="00ED5DA2"/>
    <w:rsid w:val="00ED6C46"/>
    <w:rsid w:val="00EE09C0"/>
    <w:rsid w:val="00EE472C"/>
    <w:rsid w:val="00EE5699"/>
    <w:rsid w:val="00EE6F5E"/>
    <w:rsid w:val="00EF1628"/>
    <w:rsid w:val="00EF6661"/>
    <w:rsid w:val="00F00932"/>
    <w:rsid w:val="00F01B4C"/>
    <w:rsid w:val="00F03E14"/>
    <w:rsid w:val="00F03EE0"/>
    <w:rsid w:val="00F03F66"/>
    <w:rsid w:val="00F04386"/>
    <w:rsid w:val="00F05967"/>
    <w:rsid w:val="00F06D12"/>
    <w:rsid w:val="00F143DE"/>
    <w:rsid w:val="00F15D27"/>
    <w:rsid w:val="00F16B48"/>
    <w:rsid w:val="00F20C3F"/>
    <w:rsid w:val="00F22B97"/>
    <w:rsid w:val="00F254D3"/>
    <w:rsid w:val="00F25ECE"/>
    <w:rsid w:val="00F25FEF"/>
    <w:rsid w:val="00F261CE"/>
    <w:rsid w:val="00F27011"/>
    <w:rsid w:val="00F271DD"/>
    <w:rsid w:val="00F35008"/>
    <w:rsid w:val="00F3700C"/>
    <w:rsid w:val="00F404CB"/>
    <w:rsid w:val="00F409B8"/>
    <w:rsid w:val="00F41510"/>
    <w:rsid w:val="00F4285A"/>
    <w:rsid w:val="00F4314B"/>
    <w:rsid w:val="00F45A85"/>
    <w:rsid w:val="00F46028"/>
    <w:rsid w:val="00F46F9C"/>
    <w:rsid w:val="00F4733F"/>
    <w:rsid w:val="00F47E7B"/>
    <w:rsid w:val="00F52983"/>
    <w:rsid w:val="00F52C4F"/>
    <w:rsid w:val="00F546EA"/>
    <w:rsid w:val="00F558D4"/>
    <w:rsid w:val="00F579FB"/>
    <w:rsid w:val="00F61978"/>
    <w:rsid w:val="00F63E4B"/>
    <w:rsid w:val="00F658FA"/>
    <w:rsid w:val="00F7164F"/>
    <w:rsid w:val="00F73DB7"/>
    <w:rsid w:val="00F766DE"/>
    <w:rsid w:val="00F77CA5"/>
    <w:rsid w:val="00F825EC"/>
    <w:rsid w:val="00F8355C"/>
    <w:rsid w:val="00F85914"/>
    <w:rsid w:val="00F86B6B"/>
    <w:rsid w:val="00F87EFF"/>
    <w:rsid w:val="00F9265E"/>
    <w:rsid w:val="00F932F3"/>
    <w:rsid w:val="00F93FB3"/>
    <w:rsid w:val="00F952D8"/>
    <w:rsid w:val="00F97DB2"/>
    <w:rsid w:val="00FA0B8B"/>
    <w:rsid w:val="00FA1DAA"/>
    <w:rsid w:val="00FA2A97"/>
    <w:rsid w:val="00FA3070"/>
    <w:rsid w:val="00FA3C03"/>
    <w:rsid w:val="00FA62ED"/>
    <w:rsid w:val="00FA6357"/>
    <w:rsid w:val="00FB0046"/>
    <w:rsid w:val="00FB25F7"/>
    <w:rsid w:val="00FB3895"/>
    <w:rsid w:val="00FB3C05"/>
    <w:rsid w:val="00FB662A"/>
    <w:rsid w:val="00FC05E7"/>
    <w:rsid w:val="00FC0C0F"/>
    <w:rsid w:val="00FC1CD5"/>
    <w:rsid w:val="00FC64DC"/>
    <w:rsid w:val="00FC65C1"/>
    <w:rsid w:val="00FD4B3F"/>
    <w:rsid w:val="00FD55B0"/>
    <w:rsid w:val="00FD56E9"/>
    <w:rsid w:val="00FE03F0"/>
    <w:rsid w:val="00FE1002"/>
    <w:rsid w:val="00FE11B0"/>
    <w:rsid w:val="00FE3436"/>
    <w:rsid w:val="00FE3C36"/>
    <w:rsid w:val="00FE4A97"/>
    <w:rsid w:val="00FE503D"/>
    <w:rsid w:val="00FE5D8F"/>
    <w:rsid w:val="00FE7653"/>
    <w:rsid w:val="00FF55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BBC06"/>
  <w15:docId w15:val="{27D6B587-4440-5645-A7DC-61784EF8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363"/>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7A759C"/>
    <w:pPr>
      <w:keepNext/>
      <w:keepLines/>
      <w:spacing w:before="200" w:line="276" w:lineRule="auto"/>
      <w:outlineLvl w:val="1"/>
    </w:pPr>
    <w:rPr>
      <w:rFonts w:ascii="Cambria" w:hAnsi="Cambria"/>
      <w:b/>
      <w:bCs/>
      <w:color w:val="4F81BD"/>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13D"/>
    <w:pPr>
      <w:ind w:left="720"/>
      <w:contextualSpacing/>
    </w:pPr>
  </w:style>
  <w:style w:type="character" w:styleId="CommentReference">
    <w:name w:val="annotation reference"/>
    <w:uiPriority w:val="99"/>
    <w:semiHidden/>
    <w:unhideWhenUsed/>
    <w:rsid w:val="006C413D"/>
    <w:rPr>
      <w:sz w:val="16"/>
      <w:szCs w:val="16"/>
    </w:rPr>
  </w:style>
  <w:style w:type="paragraph" w:styleId="CommentText">
    <w:name w:val="annotation text"/>
    <w:basedOn w:val="Normal"/>
    <w:link w:val="CommentTextChar"/>
    <w:uiPriority w:val="99"/>
    <w:unhideWhenUsed/>
    <w:rsid w:val="006C413D"/>
    <w:rPr>
      <w:sz w:val="20"/>
      <w:szCs w:val="20"/>
    </w:rPr>
  </w:style>
  <w:style w:type="character" w:customStyle="1" w:styleId="CommentTextChar">
    <w:name w:val="Comment Text Char"/>
    <w:basedOn w:val="DefaultParagraphFont"/>
    <w:link w:val="CommentText"/>
    <w:uiPriority w:val="99"/>
    <w:rsid w:val="006C413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413D"/>
    <w:rPr>
      <w:b/>
      <w:bCs/>
    </w:rPr>
  </w:style>
  <w:style w:type="character" w:customStyle="1" w:styleId="CommentSubjectChar">
    <w:name w:val="Comment Subject Char"/>
    <w:basedOn w:val="CommentTextChar"/>
    <w:link w:val="CommentSubject"/>
    <w:uiPriority w:val="99"/>
    <w:semiHidden/>
    <w:rsid w:val="006C413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C41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13D"/>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rsid w:val="007A759C"/>
    <w:rPr>
      <w:rFonts w:ascii="Cambria" w:eastAsia="Times New Roman" w:hAnsi="Cambria" w:cs="Times New Roman"/>
      <w:b/>
      <w:bCs/>
      <w:color w:val="4F81BD"/>
      <w:sz w:val="26"/>
      <w:szCs w:val="26"/>
      <w:lang w:eastAsia="en-US"/>
    </w:rPr>
  </w:style>
  <w:style w:type="table" w:styleId="TableGrid">
    <w:name w:val="Table Grid"/>
    <w:basedOn w:val="TableNormal"/>
    <w:uiPriority w:val="59"/>
    <w:rsid w:val="00D663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D430F9"/>
    <w:rPr>
      <w:rFonts w:ascii="Helvetica" w:eastAsia="SimSun" w:hAnsi="Helvetica"/>
      <w:sz w:val="18"/>
      <w:szCs w:val="18"/>
    </w:rPr>
  </w:style>
  <w:style w:type="paragraph" w:styleId="Caption">
    <w:name w:val="caption"/>
    <w:basedOn w:val="Normal"/>
    <w:next w:val="Normal"/>
    <w:uiPriority w:val="35"/>
    <w:unhideWhenUsed/>
    <w:qFormat/>
    <w:rsid w:val="005A6228"/>
    <w:pPr>
      <w:spacing w:after="200"/>
    </w:pPr>
    <w:rPr>
      <w:rFonts w:asciiTheme="minorHAnsi" w:eastAsia="SimSun" w:hAnsiTheme="minorHAnsi" w:cstheme="minorBidi"/>
      <w:i/>
      <w:iCs/>
      <w:color w:val="44546A" w:themeColor="text2"/>
      <w:sz w:val="18"/>
      <w:szCs w:val="18"/>
    </w:rPr>
  </w:style>
  <w:style w:type="paragraph" w:styleId="Header">
    <w:name w:val="header"/>
    <w:basedOn w:val="Normal"/>
    <w:link w:val="HeaderChar"/>
    <w:uiPriority w:val="99"/>
    <w:unhideWhenUsed/>
    <w:rsid w:val="00507A23"/>
    <w:pPr>
      <w:tabs>
        <w:tab w:val="center" w:pos="4680"/>
        <w:tab w:val="right" w:pos="9360"/>
      </w:tabs>
    </w:pPr>
  </w:style>
  <w:style w:type="character" w:customStyle="1" w:styleId="HeaderChar">
    <w:name w:val="Header Char"/>
    <w:basedOn w:val="DefaultParagraphFont"/>
    <w:link w:val="Header"/>
    <w:uiPriority w:val="99"/>
    <w:rsid w:val="00507A23"/>
    <w:rPr>
      <w:rFonts w:ascii="Times New Roman" w:eastAsia="Times New Roman" w:hAnsi="Times New Roman" w:cs="Times New Roman"/>
    </w:rPr>
  </w:style>
  <w:style w:type="paragraph" w:styleId="Footer">
    <w:name w:val="footer"/>
    <w:basedOn w:val="Normal"/>
    <w:link w:val="FooterChar"/>
    <w:uiPriority w:val="99"/>
    <w:unhideWhenUsed/>
    <w:rsid w:val="00507A23"/>
    <w:pPr>
      <w:tabs>
        <w:tab w:val="center" w:pos="4680"/>
        <w:tab w:val="right" w:pos="9360"/>
      </w:tabs>
    </w:pPr>
  </w:style>
  <w:style w:type="character" w:customStyle="1" w:styleId="FooterChar">
    <w:name w:val="Footer Char"/>
    <w:basedOn w:val="DefaultParagraphFont"/>
    <w:link w:val="Footer"/>
    <w:uiPriority w:val="99"/>
    <w:rsid w:val="00507A23"/>
    <w:rPr>
      <w:rFonts w:ascii="Times New Roman" w:eastAsia="Times New Roman" w:hAnsi="Times New Roman" w:cs="Times New Roman"/>
    </w:rPr>
  </w:style>
  <w:style w:type="character" w:styleId="PageNumber">
    <w:name w:val="page number"/>
    <w:basedOn w:val="DefaultParagraphFont"/>
    <w:uiPriority w:val="99"/>
    <w:semiHidden/>
    <w:unhideWhenUsed/>
    <w:rsid w:val="00507A23"/>
  </w:style>
  <w:style w:type="character" w:styleId="FootnoteReference">
    <w:name w:val="footnote reference"/>
    <w:uiPriority w:val="99"/>
    <w:unhideWhenUsed/>
    <w:rsid w:val="00616F2C"/>
    <w:rPr>
      <w:vertAlign w:val="superscript"/>
    </w:rPr>
  </w:style>
  <w:style w:type="paragraph" w:styleId="Title">
    <w:name w:val="Title"/>
    <w:basedOn w:val="Normal"/>
    <w:next w:val="Normal"/>
    <w:link w:val="TitleChar"/>
    <w:uiPriority w:val="10"/>
    <w:qFormat/>
    <w:rsid w:val="00A469EA"/>
    <w:pPr>
      <w:spacing w:before="2400" w:line="480" w:lineRule="auto"/>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0"/>
    <w:rsid w:val="00A469EA"/>
    <w:rPr>
      <w:rFonts w:asciiTheme="majorHAnsi" w:eastAsiaTheme="majorEastAsia" w:hAnsiTheme="majorHAnsi" w:cstheme="majorBidi"/>
      <w:kern w:val="24"/>
      <w:lang w:eastAsia="ja-JP"/>
    </w:rPr>
  </w:style>
  <w:style w:type="paragraph" w:customStyle="1" w:styleId="textbox">
    <w:name w:val="textbox"/>
    <w:basedOn w:val="Normal"/>
    <w:rsid w:val="00A469E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9212">
      <w:bodyDiv w:val="1"/>
      <w:marLeft w:val="0"/>
      <w:marRight w:val="0"/>
      <w:marTop w:val="0"/>
      <w:marBottom w:val="0"/>
      <w:divBdr>
        <w:top w:val="none" w:sz="0" w:space="0" w:color="auto"/>
        <w:left w:val="none" w:sz="0" w:space="0" w:color="auto"/>
        <w:bottom w:val="none" w:sz="0" w:space="0" w:color="auto"/>
        <w:right w:val="none" w:sz="0" w:space="0" w:color="auto"/>
      </w:divBdr>
    </w:div>
    <w:div w:id="236942574">
      <w:bodyDiv w:val="1"/>
      <w:marLeft w:val="0"/>
      <w:marRight w:val="0"/>
      <w:marTop w:val="0"/>
      <w:marBottom w:val="0"/>
      <w:divBdr>
        <w:top w:val="none" w:sz="0" w:space="0" w:color="auto"/>
        <w:left w:val="none" w:sz="0" w:space="0" w:color="auto"/>
        <w:bottom w:val="none" w:sz="0" w:space="0" w:color="auto"/>
        <w:right w:val="none" w:sz="0" w:space="0" w:color="auto"/>
      </w:divBdr>
    </w:div>
    <w:div w:id="425081852">
      <w:bodyDiv w:val="1"/>
      <w:marLeft w:val="0"/>
      <w:marRight w:val="0"/>
      <w:marTop w:val="0"/>
      <w:marBottom w:val="0"/>
      <w:divBdr>
        <w:top w:val="none" w:sz="0" w:space="0" w:color="auto"/>
        <w:left w:val="none" w:sz="0" w:space="0" w:color="auto"/>
        <w:bottom w:val="none" w:sz="0" w:space="0" w:color="auto"/>
        <w:right w:val="none" w:sz="0" w:space="0" w:color="auto"/>
      </w:divBdr>
    </w:div>
    <w:div w:id="994533951">
      <w:bodyDiv w:val="1"/>
      <w:marLeft w:val="0"/>
      <w:marRight w:val="0"/>
      <w:marTop w:val="0"/>
      <w:marBottom w:val="0"/>
      <w:divBdr>
        <w:top w:val="none" w:sz="0" w:space="0" w:color="auto"/>
        <w:left w:val="none" w:sz="0" w:space="0" w:color="auto"/>
        <w:bottom w:val="none" w:sz="0" w:space="0" w:color="auto"/>
        <w:right w:val="none" w:sz="0" w:space="0" w:color="auto"/>
      </w:divBdr>
    </w:div>
    <w:div w:id="1388995797">
      <w:bodyDiv w:val="1"/>
      <w:marLeft w:val="0"/>
      <w:marRight w:val="0"/>
      <w:marTop w:val="0"/>
      <w:marBottom w:val="0"/>
      <w:divBdr>
        <w:top w:val="none" w:sz="0" w:space="0" w:color="auto"/>
        <w:left w:val="none" w:sz="0" w:space="0" w:color="auto"/>
        <w:bottom w:val="none" w:sz="0" w:space="0" w:color="auto"/>
        <w:right w:val="none" w:sz="0" w:space="0" w:color="auto"/>
      </w:divBdr>
    </w:div>
    <w:div w:id="1434204538">
      <w:bodyDiv w:val="1"/>
      <w:marLeft w:val="0"/>
      <w:marRight w:val="0"/>
      <w:marTop w:val="0"/>
      <w:marBottom w:val="0"/>
      <w:divBdr>
        <w:top w:val="none" w:sz="0" w:space="0" w:color="auto"/>
        <w:left w:val="none" w:sz="0" w:space="0" w:color="auto"/>
        <w:bottom w:val="none" w:sz="0" w:space="0" w:color="auto"/>
        <w:right w:val="none" w:sz="0" w:space="0" w:color="auto"/>
      </w:divBdr>
    </w:div>
    <w:div w:id="209893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D2068-0529-C44D-9736-2E5D18356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30</Pages>
  <Words>22785</Words>
  <Characters>129877</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 Dong</dc:creator>
  <cp:lastModifiedBy>Lu Dong</cp:lastModifiedBy>
  <cp:revision>337</cp:revision>
  <dcterms:created xsi:type="dcterms:W3CDTF">2018-06-16T20:07:00Z</dcterms:created>
  <dcterms:modified xsi:type="dcterms:W3CDTF">2018-06-22T06:43:00Z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e9db214e-260b-32de-bace-c7e166b096e3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http://www.zotero.org/styles/chicago-note-bibliography</vt:lpwstr>
  </property>
  <property fmtid="{D5CDD505-2E9C-101B-9397-08002B2CF9AE}" pid="16" name="Mendeley Recent Style Name 5_1">
    <vt:lpwstr>Chicago Manual of Style 16th edition (note)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