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E96E" w14:textId="024F6454" w:rsidR="00A75873" w:rsidRPr="00816F0D" w:rsidRDefault="00A75873" w:rsidP="00A75873">
      <w:pPr>
        <w:spacing w:line="480" w:lineRule="auto"/>
        <w:rPr>
          <w:lang w:val="en-GB"/>
        </w:rPr>
      </w:pPr>
      <w:r>
        <w:rPr>
          <w:lang w:val="en-GB"/>
        </w:rPr>
        <w:t xml:space="preserve">Online supporting information for: </w:t>
      </w:r>
      <w:r w:rsidR="00E50052" w:rsidRPr="00A75873">
        <w:rPr>
          <w:lang w:val="en-GB"/>
        </w:rPr>
        <w:t xml:space="preserve">Improvements of adolescent psychopathology after insomnia treatment: Results from a randomized controlled trial over </w:t>
      </w:r>
      <w:r>
        <w:rPr>
          <w:lang w:val="en-GB"/>
        </w:rPr>
        <w:t xml:space="preserve">1 year – by </w:t>
      </w:r>
      <w:r w:rsidR="00C77500" w:rsidRPr="002577DE">
        <w:rPr>
          <w:lang w:val="en-GB"/>
        </w:rPr>
        <w:t>Eduard J. de Bruin</w:t>
      </w:r>
      <w:r>
        <w:rPr>
          <w:vertAlign w:val="superscript"/>
          <w:lang w:val="en-GB"/>
        </w:rPr>
        <w:t xml:space="preserve"> </w:t>
      </w:r>
      <w:r w:rsidR="00816F0D">
        <w:rPr>
          <w:lang w:val="en-GB"/>
        </w:rPr>
        <w:t>et al.</w:t>
      </w:r>
      <w:bookmarkStart w:id="0" w:name="_GoBack"/>
      <w:bookmarkEnd w:id="0"/>
      <w:r w:rsidR="00C77500" w:rsidRPr="002577DE">
        <w:rPr>
          <w:lang w:val="en-GB"/>
        </w:rPr>
        <w:br/>
      </w:r>
    </w:p>
    <w:p w14:paraId="35D4A61A" w14:textId="2B04CF9F" w:rsidR="00504A17" w:rsidRPr="002577DE" w:rsidRDefault="00376B8C" w:rsidP="00A75873">
      <w:pPr>
        <w:spacing w:line="480" w:lineRule="auto"/>
        <w:rPr>
          <w:lang w:val="en-GB"/>
        </w:rPr>
      </w:pPr>
      <w:r w:rsidRPr="002577DE">
        <w:rPr>
          <w:b/>
          <w:lang w:val="en-GB"/>
        </w:rPr>
        <w:t xml:space="preserve">Range and clinical scores from the Youth Self-Report. </w:t>
      </w:r>
      <w:r w:rsidRPr="002577DE">
        <w:rPr>
          <w:lang w:val="en-GB"/>
        </w:rPr>
        <w:t xml:space="preserve">Table </w:t>
      </w:r>
      <w:r w:rsidR="00194CE9" w:rsidRPr="002577DE">
        <w:rPr>
          <w:lang w:val="en-GB"/>
        </w:rPr>
        <w:t>S1</w:t>
      </w:r>
      <w:r w:rsidR="00A75873">
        <w:rPr>
          <w:lang w:val="en-GB"/>
        </w:rPr>
        <w:t>.</w:t>
      </w:r>
      <w:r w:rsidRPr="002577DE">
        <w:rPr>
          <w:lang w:val="en-GB"/>
        </w:rPr>
        <w:t xml:space="preserve"> shows the range of the scores of all participants </w:t>
      </w:r>
      <w:r w:rsidR="00A1393C" w:rsidRPr="002577DE">
        <w:rPr>
          <w:lang w:val="en-GB"/>
        </w:rPr>
        <w:t xml:space="preserve">from GT, IT and WL </w:t>
      </w:r>
      <w:r w:rsidRPr="002577DE">
        <w:rPr>
          <w:lang w:val="en-GB"/>
        </w:rPr>
        <w:t xml:space="preserve">for the DSM-scales of the </w:t>
      </w:r>
      <w:r w:rsidR="00320A26" w:rsidRPr="002577DE">
        <w:rPr>
          <w:lang w:val="en-GB"/>
        </w:rPr>
        <w:t>YSR at each measurement time</w:t>
      </w:r>
      <w:r w:rsidR="00504A17" w:rsidRPr="002577DE">
        <w:rPr>
          <w:lang w:val="en-GB"/>
        </w:rPr>
        <w:t>, and the percentage of participants with scores in the non-clinical, borderline, or clinical range</w:t>
      </w:r>
      <w:r w:rsidRPr="002577DE">
        <w:rPr>
          <w:lang w:val="en-GB"/>
        </w:rPr>
        <w:t>.</w:t>
      </w:r>
    </w:p>
    <w:p w14:paraId="09DC2110" w14:textId="77777777" w:rsidR="00A1393C" w:rsidRPr="002577DE" w:rsidRDefault="00A1393C" w:rsidP="00723AA2">
      <w:pPr>
        <w:spacing w:line="480" w:lineRule="auto"/>
        <w:outlineLvl w:val="0"/>
        <w:rPr>
          <w:lang w:val="en-GB"/>
        </w:rPr>
      </w:pPr>
    </w:p>
    <w:p w14:paraId="26BC6769" w14:textId="7C1187E1" w:rsidR="00A1393C" w:rsidRPr="002577DE" w:rsidRDefault="00504A17" w:rsidP="00A1393C">
      <w:pPr>
        <w:spacing w:line="480" w:lineRule="auto"/>
        <w:jc w:val="center"/>
        <w:rPr>
          <w:lang w:val="en-GB"/>
        </w:rPr>
      </w:pPr>
      <w:r w:rsidRPr="002577DE">
        <w:rPr>
          <w:lang w:val="en-GB"/>
        </w:rPr>
        <w:t xml:space="preserve">[Insert Table </w:t>
      </w:r>
      <w:r w:rsidR="00194CE9" w:rsidRPr="002577DE">
        <w:rPr>
          <w:lang w:val="en-GB"/>
        </w:rPr>
        <w:t>S1</w:t>
      </w:r>
      <w:r w:rsidRPr="002577DE">
        <w:rPr>
          <w:lang w:val="en-GB"/>
        </w:rPr>
        <w:t xml:space="preserve"> here]</w:t>
      </w:r>
    </w:p>
    <w:p w14:paraId="5F7D1951" w14:textId="24D7E796" w:rsidR="0072630D" w:rsidRPr="002577DE" w:rsidRDefault="002B3E71" w:rsidP="00A1393C">
      <w:pPr>
        <w:spacing w:line="480" w:lineRule="auto"/>
        <w:jc w:val="center"/>
        <w:rPr>
          <w:lang w:val="en-GB"/>
        </w:rPr>
      </w:pPr>
      <w:r w:rsidRPr="002577DE">
        <w:rPr>
          <w:lang w:val="en-GB"/>
        </w:rPr>
        <w:t xml:space="preserve"> </w:t>
      </w:r>
    </w:p>
    <w:p w14:paraId="04ECF67A" w14:textId="025ADB2F" w:rsidR="0072630D" w:rsidRPr="002577DE" w:rsidRDefault="00490FE2" w:rsidP="00A75873">
      <w:pPr>
        <w:spacing w:line="480" w:lineRule="auto"/>
        <w:outlineLvl w:val="0"/>
        <w:rPr>
          <w:lang w:val="en-GB"/>
        </w:rPr>
      </w:pPr>
      <w:r w:rsidRPr="002577DE">
        <w:rPr>
          <w:b/>
          <w:lang w:val="en-GB"/>
        </w:rPr>
        <w:t>Results at 2-month</w:t>
      </w:r>
      <w:r w:rsidR="0072630D" w:rsidRPr="002577DE">
        <w:rPr>
          <w:b/>
          <w:lang w:val="en-GB"/>
        </w:rPr>
        <w:t xml:space="preserve"> follow-up compared to baseline directly.</w:t>
      </w:r>
      <w:r w:rsidR="0072630D" w:rsidRPr="002577DE">
        <w:rPr>
          <w:lang w:val="en-GB"/>
        </w:rPr>
        <w:t xml:space="preserve"> </w:t>
      </w:r>
      <w:r w:rsidR="00320A26" w:rsidRPr="002577DE">
        <w:rPr>
          <w:lang w:val="en-GB"/>
        </w:rPr>
        <w:t>Using an alternative parameteris</w:t>
      </w:r>
      <w:r w:rsidR="0072630D" w:rsidRPr="002577DE">
        <w:rPr>
          <w:lang w:val="en-GB"/>
        </w:rPr>
        <w:t xml:space="preserve">ation in the multilevel regression analyses, </w:t>
      </w:r>
      <w:r w:rsidR="00320A26" w:rsidRPr="002577DE">
        <w:rPr>
          <w:lang w:val="en-GB"/>
        </w:rPr>
        <w:t>we checked whether changes at 2-month</w:t>
      </w:r>
      <w:r w:rsidR="0072630D" w:rsidRPr="002577DE">
        <w:rPr>
          <w:lang w:val="en-GB"/>
        </w:rPr>
        <w:t xml:space="preserve"> follow-up were significant if co</w:t>
      </w:r>
      <w:r w:rsidR="00AE7806" w:rsidRPr="002577DE">
        <w:rPr>
          <w:lang w:val="en-GB"/>
        </w:rPr>
        <w:t xml:space="preserve">mpared to baseline measurements (See </w:t>
      </w:r>
      <w:r w:rsidR="00320A26" w:rsidRPr="002577DE">
        <w:rPr>
          <w:lang w:val="en-GB"/>
        </w:rPr>
        <w:t>S2</w:t>
      </w:r>
      <w:r w:rsidR="00AE7806" w:rsidRPr="002577DE">
        <w:rPr>
          <w:lang w:val="en-GB"/>
        </w:rPr>
        <w:t>)</w:t>
      </w:r>
      <w:r w:rsidR="0072630D" w:rsidRPr="002577DE">
        <w:rPr>
          <w:lang w:val="en-GB"/>
        </w:rPr>
        <w:t xml:space="preserve">. </w:t>
      </w:r>
      <w:r w:rsidR="00AE7806" w:rsidRPr="002577DE">
        <w:rPr>
          <w:lang w:val="en-GB"/>
        </w:rPr>
        <w:t>A</w:t>
      </w:r>
      <w:r w:rsidR="0072630D" w:rsidRPr="002577DE">
        <w:rPr>
          <w:lang w:val="en-GB"/>
        </w:rPr>
        <w:t xml:space="preserve">ll results from the analyses for psychopathology that were described </w:t>
      </w:r>
      <w:r w:rsidR="00AE7806" w:rsidRPr="002577DE">
        <w:rPr>
          <w:lang w:val="en-GB"/>
        </w:rPr>
        <w:t>in the original analyses</w:t>
      </w:r>
      <w:r w:rsidR="0072630D" w:rsidRPr="002577DE">
        <w:rPr>
          <w:lang w:val="en-GB"/>
        </w:rPr>
        <w:t>, were confirmed, with improvements at post-treatment maint</w:t>
      </w:r>
      <w:r w:rsidR="00320A26" w:rsidRPr="002577DE">
        <w:rPr>
          <w:lang w:val="en-GB"/>
        </w:rPr>
        <w:t>ained or further increased at 2-month</w:t>
      </w:r>
      <w:r w:rsidR="0072630D" w:rsidRPr="002577DE">
        <w:rPr>
          <w:lang w:val="en-GB"/>
        </w:rPr>
        <w:t xml:space="preserve"> follow-up in comparison to baseline. For IT and GT res</w:t>
      </w:r>
      <w:r w:rsidR="00320A26" w:rsidRPr="002577DE">
        <w:rPr>
          <w:lang w:val="en-GB"/>
        </w:rPr>
        <w:t>pectively the effect sizes at 2-month</w:t>
      </w:r>
      <w:r w:rsidR="0072630D" w:rsidRPr="002577DE">
        <w:rPr>
          <w:lang w:val="en-GB"/>
        </w:rPr>
        <w:t xml:space="preserve"> follow-up compared to baseline were: </w:t>
      </w:r>
      <w:r w:rsidR="0072630D" w:rsidRPr="002577DE">
        <w:rPr>
          <w:i/>
          <w:lang w:val="en-GB"/>
        </w:rPr>
        <w:t>Affective problems</w:t>
      </w:r>
      <w:r w:rsidR="0072630D" w:rsidRPr="002577DE">
        <w:rPr>
          <w:lang w:val="en-GB"/>
        </w:rPr>
        <w:t xml:space="preserve"> </w:t>
      </w:r>
      <w:r w:rsidR="0072630D" w:rsidRPr="002577DE">
        <w:rPr>
          <w:i/>
          <w:iCs/>
          <w:color w:val="000000"/>
          <w:lang w:val="en-GB" w:eastAsia="en-US"/>
        </w:rPr>
        <w:t>ß</w:t>
      </w:r>
      <w:r w:rsidR="0072630D" w:rsidRPr="002577DE">
        <w:rPr>
          <w:lang w:val="en-GB"/>
        </w:rPr>
        <w:t xml:space="preserve"> = -0.56 and -0.38, </w:t>
      </w:r>
      <w:r w:rsidR="0072630D" w:rsidRPr="002577DE">
        <w:rPr>
          <w:i/>
          <w:lang w:val="en-GB"/>
        </w:rPr>
        <w:t>Anxiety problems</w:t>
      </w:r>
      <w:r w:rsidR="0072630D" w:rsidRPr="002577DE">
        <w:rPr>
          <w:lang w:val="en-GB"/>
        </w:rPr>
        <w:t xml:space="preserve"> </w:t>
      </w:r>
      <w:r w:rsidR="0072630D" w:rsidRPr="002577DE">
        <w:rPr>
          <w:i/>
          <w:iCs/>
          <w:color w:val="000000"/>
          <w:lang w:val="en-GB" w:eastAsia="en-US"/>
        </w:rPr>
        <w:t>ß</w:t>
      </w:r>
      <w:r w:rsidR="0072630D" w:rsidRPr="002577DE">
        <w:rPr>
          <w:lang w:val="en-GB"/>
        </w:rPr>
        <w:t xml:space="preserve"> = -0.65 (significant for IT only), </w:t>
      </w:r>
      <w:r w:rsidR="0072630D" w:rsidRPr="002577DE">
        <w:rPr>
          <w:i/>
          <w:lang w:val="en-GB"/>
        </w:rPr>
        <w:t>Somatic problems</w:t>
      </w:r>
      <w:r w:rsidR="0072630D" w:rsidRPr="002577DE">
        <w:rPr>
          <w:lang w:val="en-GB"/>
        </w:rPr>
        <w:t xml:space="preserve"> </w:t>
      </w:r>
      <w:r w:rsidR="0072630D" w:rsidRPr="002577DE">
        <w:rPr>
          <w:i/>
          <w:iCs/>
          <w:color w:val="000000"/>
          <w:lang w:val="en-GB" w:eastAsia="en-US"/>
        </w:rPr>
        <w:t>ß</w:t>
      </w:r>
      <w:r w:rsidR="0072630D" w:rsidRPr="002577DE">
        <w:rPr>
          <w:lang w:val="en-GB"/>
        </w:rPr>
        <w:t xml:space="preserve"> = -0.71 and -0.43, </w:t>
      </w:r>
      <w:r w:rsidR="0072630D" w:rsidRPr="002577DE">
        <w:rPr>
          <w:i/>
          <w:lang w:val="en-GB"/>
        </w:rPr>
        <w:t>ADHD problems</w:t>
      </w:r>
      <w:r w:rsidR="0072630D" w:rsidRPr="002577DE">
        <w:rPr>
          <w:lang w:val="en-GB"/>
        </w:rPr>
        <w:t xml:space="preserve"> </w:t>
      </w:r>
      <w:r w:rsidR="0072630D" w:rsidRPr="002577DE">
        <w:rPr>
          <w:i/>
          <w:iCs/>
          <w:color w:val="000000"/>
          <w:lang w:val="en-GB" w:eastAsia="en-US"/>
        </w:rPr>
        <w:t>ß</w:t>
      </w:r>
      <w:r w:rsidR="0072630D" w:rsidRPr="002577DE">
        <w:rPr>
          <w:lang w:val="en-GB"/>
        </w:rPr>
        <w:t xml:space="preserve"> = -0.93 and -0.87, </w:t>
      </w:r>
      <w:r w:rsidR="0072630D" w:rsidRPr="002577DE">
        <w:rPr>
          <w:i/>
          <w:lang w:val="en-GB"/>
        </w:rPr>
        <w:t>Oppositional defiant problems</w:t>
      </w:r>
      <w:r w:rsidR="0072630D" w:rsidRPr="002577DE">
        <w:rPr>
          <w:lang w:val="en-GB"/>
        </w:rPr>
        <w:t xml:space="preserve"> </w:t>
      </w:r>
      <w:r w:rsidR="0072630D" w:rsidRPr="002577DE">
        <w:rPr>
          <w:i/>
          <w:iCs/>
          <w:color w:val="000000"/>
          <w:lang w:val="en-GB" w:eastAsia="en-US"/>
        </w:rPr>
        <w:t>ß</w:t>
      </w:r>
      <w:r w:rsidR="0072630D" w:rsidRPr="002577DE">
        <w:rPr>
          <w:lang w:val="en-GB"/>
        </w:rPr>
        <w:t xml:space="preserve"> = -0.57 and -0.44.</w:t>
      </w:r>
    </w:p>
    <w:p w14:paraId="5A891C06" w14:textId="77777777" w:rsidR="0072630D" w:rsidRPr="002577DE" w:rsidRDefault="0072630D" w:rsidP="0072630D">
      <w:pPr>
        <w:spacing w:line="480" w:lineRule="auto"/>
        <w:ind w:firstLine="708"/>
        <w:outlineLvl w:val="0"/>
        <w:rPr>
          <w:lang w:val="en-GB"/>
        </w:rPr>
      </w:pPr>
    </w:p>
    <w:p w14:paraId="2D01CBF0" w14:textId="55DDC04C" w:rsidR="0072630D" w:rsidRPr="002577DE" w:rsidRDefault="00964CA5" w:rsidP="0072630D">
      <w:pPr>
        <w:spacing w:line="480" w:lineRule="auto"/>
        <w:jc w:val="center"/>
        <w:rPr>
          <w:lang w:val="en-GB"/>
        </w:rPr>
      </w:pPr>
      <w:r w:rsidRPr="002577DE">
        <w:rPr>
          <w:lang w:val="en-GB"/>
        </w:rPr>
        <w:t>[Insert Table S2</w:t>
      </w:r>
      <w:r w:rsidR="0072630D" w:rsidRPr="002577DE">
        <w:rPr>
          <w:lang w:val="en-GB"/>
        </w:rPr>
        <w:t xml:space="preserve"> here]</w:t>
      </w:r>
    </w:p>
    <w:p w14:paraId="10CFEBCA" w14:textId="77777777" w:rsidR="00A1393C" w:rsidRPr="002577DE" w:rsidRDefault="00A1393C" w:rsidP="0072630D">
      <w:pPr>
        <w:spacing w:line="480" w:lineRule="auto"/>
        <w:jc w:val="center"/>
        <w:rPr>
          <w:lang w:val="en-GB"/>
        </w:rPr>
      </w:pPr>
    </w:p>
    <w:p w14:paraId="3AE6465F" w14:textId="29887309" w:rsidR="00E54C8D" w:rsidRPr="002577DE" w:rsidRDefault="00A1393C" w:rsidP="00723AA2">
      <w:pPr>
        <w:spacing w:line="480" w:lineRule="auto"/>
        <w:outlineLvl w:val="0"/>
        <w:rPr>
          <w:b/>
          <w:lang w:val="en-GB"/>
        </w:rPr>
      </w:pPr>
      <w:r w:rsidRPr="002577DE">
        <w:rPr>
          <w:b/>
          <w:lang w:val="en-GB"/>
        </w:rPr>
        <w:lastRenderedPageBreak/>
        <w:t xml:space="preserve">Mediation of insomnia for treatment effects on psychopathology for GT and IT separately. </w:t>
      </w:r>
      <w:r w:rsidRPr="002577DE">
        <w:rPr>
          <w:lang w:val="en-GB"/>
        </w:rPr>
        <w:t>In addition to the main mediation analyses reported in th</w:t>
      </w:r>
      <w:r w:rsidR="00320A26" w:rsidRPr="002577DE">
        <w:rPr>
          <w:lang w:val="en-GB"/>
        </w:rPr>
        <w:t>e results, with GT and IT analys</w:t>
      </w:r>
      <w:r w:rsidRPr="002577DE">
        <w:rPr>
          <w:lang w:val="en-GB"/>
        </w:rPr>
        <w:t>ed as one group, we conducted similar analyses for GT and IT separately.</w:t>
      </w:r>
    </w:p>
    <w:p w14:paraId="003BB397" w14:textId="6E969570" w:rsidR="006A70A0" w:rsidRPr="002577DE" w:rsidRDefault="0072630D" w:rsidP="006560DC">
      <w:pPr>
        <w:spacing w:line="480" w:lineRule="auto"/>
        <w:outlineLvl w:val="0"/>
        <w:rPr>
          <w:lang w:val="en-GB"/>
        </w:rPr>
      </w:pPr>
      <w:r w:rsidRPr="002577DE">
        <w:rPr>
          <w:b/>
          <w:lang w:val="en-GB"/>
        </w:rPr>
        <w:tab/>
      </w:r>
      <w:r w:rsidR="006E6265" w:rsidRPr="002577DE">
        <w:rPr>
          <w:b/>
          <w:lang w:val="en-GB"/>
        </w:rPr>
        <w:t>Mediation of treatment effects for GT</w:t>
      </w:r>
      <w:r w:rsidR="00D948E5" w:rsidRPr="002577DE">
        <w:rPr>
          <w:b/>
          <w:lang w:val="en-GB"/>
        </w:rPr>
        <w:t>.</w:t>
      </w:r>
      <w:r w:rsidR="00D948E5" w:rsidRPr="002577DE">
        <w:rPr>
          <w:lang w:val="en-GB"/>
        </w:rPr>
        <w:t xml:space="preserve"> In </w:t>
      </w:r>
      <w:r w:rsidR="00475B39" w:rsidRPr="002577DE">
        <w:rPr>
          <w:lang w:val="en-GB"/>
        </w:rPr>
        <w:t xml:space="preserve">GT </w:t>
      </w:r>
      <w:r w:rsidR="00320A26" w:rsidRPr="002577DE">
        <w:rPr>
          <w:lang w:val="en-GB"/>
        </w:rPr>
        <w:t>reduction</w:t>
      </w:r>
      <w:r w:rsidR="005B7316" w:rsidRPr="002577DE">
        <w:rPr>
          <w:lang w:val="en-GB"/>
        </w:rPr>
        <w:t xml:space="preserve"> of </w:t>
      </w:r>
      <w:r w:rsidR="0080139A" w:rsidRPr="002577DE">
        <w:rPr>
          <w:lang w:val="en-GB"/>
        </w:rPr>
        <w:t xml:space="preserve">insomnia </w:t>
      </w:r>
      <w:r w:rsidR="00320A26" w:rsidRPr="002577DE">
        <w:rPr>
          <w:lang w:val="en-GB"/>
        </w:rPr>
        <w:t xml:space="preserve">symptoms </w:t>
      </w:r>
      <w:r w:rsidR="007D18E9" w:rsidRPr="002577DE">
        <w:rPr>
          <w:lang w:val="en-GB"/>
        </w:rPr>
        <w:t>w</w:t>
      </w:r>
      <w:r w:rsidR="0080139A" w:rsidRPr="002577DE">
        <w:rPr>
          <w:lang w:val="en-GB"/>
        </w:rPr>
        <w:t>as</w:t>
      </w:r>
      <w:r w:rsidR="007D18E9" w:rsidRPr="002577DE">
        <w:rPr>
          <w:lang w:val="en-GB"/>
        </w:rPr>
        <w:t xml:space="preserve"> </w:t>
      </w:r>
      <w:r w:rsidR="0080139A" w:rsidRPr="002577DE">
        <w:rPr>
          <w:lang w:val="en-GB"/>
        </w:rPr>
        <w:t>a significant predictor</w:t>
      </w:r>
      <w:r w:rsidR="007D18E9" w:rsidRPr="002577DE">
        <w:rPr>
          <w:lang w:val="en-GB"/>
        </w:rPr>
        <w:t xml:space="preserve"> for </w:t>
      </w:r>
      <w:r w:rsidR="002D3B05" w:rsidRPr="002577DE">
        <w:rPr>
          <w:i/>
          <w:lang w:val="en-GB"/>
        </w:rPr>
        <w:t xml:space="preserve">Affective, Anxiety, </w:t>
      </w:r>
      <w:r w:rsidR="00D948E5" w:rsidRPr="002577DE">
        <w:rPr>
          <w:i/>
          <w:lang w:val="en-GB"/>
        </w:rPr>
        <w:t>Somatic</w:t>
      </w:r>
      <w:r w:rsidR="002A5E4F" w:rsidRPr="002577DE">
        <w:rPr>
          <w:i/>
          <w:lang w:val="en-GB"/>
        </w:rPr>
        <w:t>,</w:t>
      </w:r>
      <w:r w:rsidR="002D3B05" w:rsidRPr="002577DE">
        <w:rPr>
          <w:lang w:val="en-GB"/>
        </w:rPr>
        <w:t xml:space="preserve"> and </w:t>
      </w:r>
      <w:r w:rsidR="002D3B05" w:rsidRPr="002577DE">
        <w:rPr>
          <w:i/>
          <w:lang w:val="en-GB"/>
        </w:rPr>
        <w:t xml:space="preserve">Oppositional </w:t>
      </w:r>
      <w:r w:rsidR="00683052" w:rsidRPr="002577DE">
        <w:rPr>
          <w:i/>
          <w:lang w:val="en-GB"/>
        </w:rPr>
        <w:t xml:space="preserve">defiant </w:t>
      </w:r>
      <w:r w:rsidR="002D3B05" w:rsidRPr="002577DE">
        <w:rPr>
          <w:i/>
          <w:lang w:val="en-GB"/>
        </w:rPr>
        <w:t>problems</w:t>
      </w:r>
      <w:r w:rsidR="00683052" w:rsidRPr="002577DE">
        <w:rPr>
          <w:lang w:val="en-GB"/>
        </w:rPr>
        <w:t xml:space="preserve">, </w:t>
      </w:r>
      <w:r w:rsidR="000A3D65" w:rsidRPr="002577DE">
        <w:rPr>
          <w:lang w:val="en-GB"/>
        </w:rPr>
        <w:t xml:space="preserve">indicating that </w:t>
      </w:r>
      <w:r w:rsidR="00974AAE" w:rsidRPr="002577DE">
        <w:rPr>
          <w:lang w:val="en-GB"/>
        </w:rPr>
        <w:t xml:space="preserve">for these scales also </w:t>
      </w:r>
      <w:r w:rsidR="00491AAD" w:rsidRPr="002577DE">
        <w:rPr>
          <w:lang w:val="en-GB"/>
        </w:rPr>
        <w:t>criterion</w:t>
      </w:r>
      <w:r w:rsidR="00974AAE" w:rsidRPr="002577DE">
        <w:rPr>
          <w:lang w:val="en-GB"/>
        </w:rPr>
        <w:t xml:space="preserve"> 3</w:t>
      </w:r>
      <w:r w:rsidR="000A3D65" w:rsidRPr="002577DE">
        <w:rPr>
          <w:lang w:val="en-GB"/>
        </w:rPr>
        <w:t xml:space="preserve"> was </w:t>
      </w:r>
      <w:r w:rsidR="00DC38BF" w:rsidRPr="002577DE">
        <w:rPr>
          <w:lang w:val="en-GB"/>
        </w:rPr>
        <w:t>met</w:t>
      </w:r>
      <w:r w:rsidR="00683052" w:rsidRPr="002577DE">
        <w:rPr>
          <w:lang w:val="en-GB"/>
        </w:rPr>
        <w:t xml:space="preserve">, but not for </w:t>
      </w:r>
      <w:r w:rsidR="00D948E5" w:rsidRPr="002577DE">
        <w:rPr>
          <w:i/>
          <w:lang w:val="en-GB"/>
        </w:rPr>
        <w:t>ADHD</w:t>
      </w:r>
      <w:r w:rsidR="00683052" w:rsidRPr="002577DE">
        <w:rPr>
          <w:i/>
          <w:lang w:val="en-GB"/>
        </w:rPr>
        <w:t xml:space="preserve"> problems</w:t>
      </w:r>
      <w:r w:rsidR="002D3B05" w:rsidRPr="002577DE">
        <w:rPr>
          <w:lang w:val="en-GB"/>
        </w:rPr>
        <w:t xml:space="preserve">. Furthermore, analyses showed </w:t>
      </w:r>
      <w:r w:rsidR="002A5E4F" w:rsidRPr="002577DE">
        <w:rPr>
          <w:lang w:val="en-GB"/>
        </w:rPr>
        <w:t xml:space="preserve">that controlling for the effect of </w:t>
      </w:r>
      <w:r w:rsidR="00F431CC" w:rsidRPr="002577DE">
        <w:rPr>
          <w:lang w:val="en-GB"/>
        </w:rPr>
        <w:t>insomnia</w:t>
      </w:r>
      <w:r w:rsidR="006560DC" w:rsidRPr="002577DE">
        <w:rPr>
          <w:lang w:val="en-GB"/>
        </w:rPr>
        <w:t>,</w:t>
      </w:r>
      <w:r w:rsidR="00F431CC" w:rsidRPr="002577DE">
        <w:rPr>
          <w:lang w:val="en-GB"/>
        </w:rPr>
        <w:t xml:space="preserve"> </w:t>
      </w:r>
      <w:r w:rsidR="002A5E4F" w:rsidRPr="002577DE">
        <w:rPr>
          <w:lang w:val="en-GB"/>
        </w:rPr>
        <w:t xml:space="preserve">treatment </w:t>
      </w:r>
      <w:r w:rsidR="0001152A" w:rsidRPr="002577DE">
        <w:rPr>
          <w:lang w:val="en-GB"/>
        </w:rPr>
        <w:t xml:space="preserve">effect </w:t>
      </w:r>
      <w:r w:rsidR="000A3D65" w:rsidRPr="002577DE">
        <w:rPr>
          <w:lang w:val="en-GB"/>
        </w:rPr>
        <w:t xml:space="preserve">decreased </w:t>
      </w:r>
      <w:r w:rsidR="002A5E4F" w:rsidRPr="002577DE">
        <w:rPr>
          <w:lang w:val="en-GB"/>
        </w:rPr>
        <w:t xml:space="preserve">to non-significant levels for </w:t>
      </w:r>
      <w:r w:rsidR="002A5E4F" w:rsidRPr="002577DE">
        <w:rPr>
          <w:i/>
          <w:lang w:val="en-GB"/>
        </w:rPr>
        <w:t>Anxiety, Affective</w:t>
      </w:r>
      <w:r w:rsidR="00D948E5" w:rsidRPr="002577DE">
        <w:rPr>
          <w:i/>
          <w:lang w:val="en-GB"/>
        </w:rPr>
        <w:t>, Somatic</w:t>
      </w:r>
      <w:r w:rsidR="002A5E4F" w:rsidRPr="002577DE">
        <w:rPr>
          <w:lang w:val="en-GB"/>
        </w:rPr>
        <w:t xml:space="preserve"> and </w:t>
      </w:r>
      <w:r w:rsidR="002A5E4F" w:rsidRPr="002577DE">
        <w:rPr>
          <w:i/>
          <w:lang w:val="en-GB"/>
        </w:rPr>
        <w:t xml:space="preserve">Oppositional </w:t>
      </w:r>
      <w:r w:rsidR="00683052" w:rsidRPr="002577DE">
        <w:rPr>
          <w:i/>
          <w:lang w:val="en-GB"/>
        </w:rPr>
        <w:t xml:space="preserve">defiant </w:t>
      </w:r>
      <w:r w:rsidR="002A5E4F" w:rsidRPr="002577DE">
        <w:rPr>
          <w:i/>
          <w:lang w:val="en-GB"/>
        </w:rPr>
        <w:t>problems</w:t>
      </w:r>
      <w:r w:rsidR="00F42746" w:rsidRPr="002577DE">
        <w:rPr>
          <w:i/>
          <w:lang w:val="en-GB"/>
        </w:rPr>
        <w:t xml:space="preserve"> </w:t>
      </w:r>
      <w:r w:rsidR="00D948E5" w:rsidRPr="002577DE">
        <w:rPr>
          <w:lang w:val="en-GB"/>
        </w:rPr>
        <w:t>(see Table 5</w:t>
      </w:r>
      <w:r w:rsidR="00F42746" w:rsidRPr="002577DE">
        <w:rPr>
          <w:lang w:val="en-GB"/>
        </w:rPr>
        <w:t>)</w:t>
      </w:r>
      <w:r w:rsidR="002A5E4F" w:rsidRPr="002577DE">
        <w:rPr>
          <w:lang w:val="en-GB"/>
        </w:rPr>
        <w:t xml:space="preserve">. These results indicate full mediation of insomnia for effects of </w:t>
      </w:r>
      <w:r w:rsidR="00320A26" w:rsidRPr="002577DE">
        <w:rPr>
          <w:lang w:val="en-GB"/>
        </w:rPr>
        <w:t xml:space="preserve">group </w:t>
      </w:r>
      <w:r w:rsidR="002A5E4F" w:rsidRPr="002577DE">
        <w:rPr>
          <w:lang w:val="en-GB"/>
        </w:rPr>
        <w:t xml:space="preserve">CBTI on </w:t>
      </w:r>
      <w:r w:rsidR="002A5E4F" w:rsidRPr="002577DE">
        <w:rPr>
          <w:i/>
          <w:lang w:val="en-GB"/>
        </w:rPr>
        <w:t>Affective, Anxiety,</w:t>
      </w:r>
      <w:r w:rsidR="00D948E5" w:rsidRPr="002577DE">
        <w:rPr>
          <w:i/>
          <w:lang w:val="en-GB"/>
        </w:rPr>
        <w:t xml:space="preserve"> Somatic</w:t>
      </w:r>
      <w:r w:rsidR="002A5E4F" w:rsidRPr="002577DE">
        <w:rPr>
          <w:lang w:val="en-GB"/>
        </w:rPr>
        <w:t xml:space="preserve"> and </w:t>
      </w:r>
      <w:r w:rsidR="002A5E4F" w:rsidRPr="002577DE">
        <w:rPr>
          <w:i/>
          <w:lang w:val="en-GB"/>
        </w:rPr>
        <w:t xml:space="preserve">Oppositional </w:t>
      </w:r>
      <w:r w:rsidR="00683052" w:rsidRPr="002577DE">
        <w:rPr>
          <w:i/>
          <w:lang w:val="en-GB"/>
        </w:rPr>
        <w:t xml:space="preserve">defiant </w:t>
      </w:r>
      <w:r w:rsidR="002A5E4F" w:rsidRPr="002577DE">
        <w:rPr>
          <w:i/>
          <w:lang w:val="en-GB"/>
        </w:rPr>
        <w:t>problems</w:t>
      </w:r>
      <w:r w:rsidR="002A5E4F" w:rsidRPr="002577DE">
        <w:rPr>
          <w:lang w:val="en-GB"/>
        </w:rPr>
        <w:t>.</w:t>
      </w:r>
    </w:p>
    <w:p w14:paraId="5E621103" w14:textId="77777777" w:rsidR="0072630D" w:rsidRPr="002577DE" w:rsidRDefault="0072630D" w:rsidP="006560DC">
      <w:pPr>
        <w:spacing w:line="480" w:lineRule="auto"/>
        <w:outlineLvl w:val="0"/>
        <w:rPr>
          <w:lang w:val="en-GB"/>
        </w:rPr>
      </w:pPr>
    </w:p>
    <w:p w14:paraId="577452F0" w14:textId="70DB33A8" w:rsidR="00F93188" w:rsidRPr="002577DE" w:rsidRDefault="0072630D" w:rsidP="006A70A0">
      <w:pPr>
        <w:spacing w:line="480" w:lineRule="auto"/>
        <w:jc w:val="center"/>
        <w:rPr>
          <w:lang w:val="en-GB"/>
        </w:rPr>
      </w:pPr>
      <w:r w:rsidRPr="002577DE">
        <w:rPr>
          <w:lang w:val="en-GB"/>
        </w:rPr>
        <w:t xml:space="preserve">[Insert Table </w:t>
      </w:r>
      <w:r w:rsidR="00964CA5" w:rsidRPr="002577DE">
        <w:rPr>
          <w:lang w:val="en-GB"/>
        </w:rPr>
        <w:t>S3</w:t>
      </w:r>
      <w:r w:rsidR="00BD19D0" w:rsidRPr="002577DE">
        <w:rPr>
          <w:lang w:val="en-GB"/>
        </w:rPr>
        <w:t xml:space="preserve"> here]</w:t>
      </w:r>
    </w:p>
    <w:p w14:paraId="239E291D" w14:textId="77777777" w:rsidR="00C64A6A" w:rsidRPr="002577DE" w:rsidRDefault="00C64A6A" w:rsidP="006A70A0">
      <w:pPr>
        <w:spacing w:line="480" w:lineRule="auto"/>
        <w:jc w:val="center"/>
        <w:rPr>
          <w:lang w:val="en-GB"/>
        </w:rPr>
      </w:pPr>
    </w:p>
    <w:p w14:paraId="24B7355A" w14:textId="21EFE998" w:rsidR="00D948E5" w:rsidRPr="002577DE" w:rsidRDefault="00491AAD" w:rsidP="0065749B">
      <w:pPr>
        <w:spacing w:line="480" w:lineRule="auto"/>
        <w:rPr>
          <w:lang w:val="en-GB"/>
        </w:rPr>
      </w:pPr>
      <w:r w:rsidRPr="002577DE">
        <w:rPr>
          <w:lang w:val="en-GB"/>
        </w:rPr>
        <w:tab/>
      </w:r>
      <w:r w:rsidR="00683052" w:rsidRPr="002577DE">
        <w:rPr>
          <w:lang w:val="en-GB"/>
        </w:rPr>
        <w:t>T</w:t>
      </w:r>
      <w:r w:rsidR="00182E61" w:rsidRPr="002577DE">
        <w:rPr>
          <w:lang w:val="en-GB"/>
        </w:rPr>
        <w:t xml:space="preserve">he product of coefficients and bootstrapping procedure showed that the indirect </w:t>
      </w:r>
      <w:r w:rsidR="00F44B0B" w:rsidRPr="002577DE">
        <w:rPr>
          <w:lang w:val="en-GB"/>
        </w:rPr>
        <w:t xml:space="preserve">(mediation) </w:t>
      </w:r>
      <w:r w:rsidR="00182E61" w:rsidRPr="002577DE">
        <w:rPr>
          <w:lang w:val="en-GB"/>
        </w:rPr>
        <w:t>effect was significant for</w:t>
      </w:r>
      <w:r w:rsidR="0099385B" w:rsidRPr="002577DE">
        <w:rPr>
          <w:lang w:val="en-GB"/>
        </w:rPr>
        <w:t xml:space="preserve"> </w:t>
      </w:r>
      <w:r w:rsidR="0099385B" w:rsidRPr="002577DE">
        <w:rPr>
          <w:i/>
          <w:lang w:val="en-GB"/>
        </w:rPr>
        <w:t>Affective problems</w:t>
      </w:r>
      <w:r w:rsidR="0099385B" w:rsidRPr="002577DE">
        <w:rPr>
          <w:lang w:val="en-GB"/>
        </w:rPr>
        <w:t xml:space="preserve"> (</w:t>
      </w:r>
      <w:r w:rsidR="0099385B" w:rsidRPr="002577DE">
        <w:rPr>
          <w:i/>
          <w:lang w:val="en-GB"/>
        </w:rPr>
        <w:t>z</w:t>
      </w:r>
      <w:r w:rsidR="00E26D31" w:rsidRPr="002577DE">
        <w:rPr>
          <w:lang w:val="en-GB"/>
        </w:rPr>
        <w:t xml:space="preserve"> = -2</w:t>
      </w:r>
      <w:r w:rsidR="0099385B" w:rsidRPr="002577DE">
        <w:rPr>
          <w:lang w:val="en-GB"/>
        </w:rPr>
        <w:t>.</w:t>
      </w:r>
      <w:r w:rsidR="00E26D31" w:rsidRPr="002577DE">
        <w:rPr>
          <w:lang w:val="en-GB"/>
        </w:rPr>
        <w:t>65</w:t>
      </w:r>
      <w:r w:rsidR="0099385B" w:rsidRPr="002577DE">
        <w:rPr>
          <w:lang w:val="en-GB"/>
        </w:rPr>
        <w:t xml:space="preserve">, </w:t>
      </w:r>
      <w:r w:rsidR="0099385B" w:rsidRPr="002577DE">
        <w:rPr>
          <w:i/>
          <w:lang w:val="en-GB"/>
        </w:rPr>
        <w:t>p</w:t>
      </w:r>
      <w:r w:rsidR="0099385B" w:rsidRPr="002577DE">
        <w:rPr>
          <w:lang w:val="en-GB"/>
        </w:rPr>
        <w:t xml:space="preserve"> &lt; .0</w:t>
      </w:r>
      <w:r w:rsidR="00E26D31" w:rsidRPr="002577DE">
        <w:rPr>
          <w:lang w:val="en-GB"/>
        </w:rPr>
        <w:t>1</w:t>
      </w:r>
      <w:r w:rsidR="0099385B" w:rsidRPr="002577DE">
        <w:rPr>
          <w:lang w:val="en-GB"/>
        </w:rPr>
        <w:t>)</w:t>
      </w:r>
      <w:r w:rsidR="00E26D31" w:rsidRPr="002577DE">
        <w:rPr>
          <w:lang w:val="en-GB"/>
        </w:rPr>
        <w:t>, and</w:t>
      </w:r>
      <w:r w:rsidR="0099385B" w:rsidRPr="002577DE">
        <w:rPr>
          <w:lang w:val="en-GB"/>
        </w:rPr>
        <w:t xml:space="preserve"> </w:t>
      </w:r>
      <w:r w:rsidR="00E26D31" w:rsidRPr="002577DE">
        <w:rPr>
          <w:i/>
          <w:lang w:val="en-GB"/>
        </w:rPr>
        <w:t>Somatic</w:t>
      </w:r>
      <w:r w:rsidR="0099385B" w:rsidRPr="002577DE">
        <w:rPr>
          <w:i/>
          <w:lang w:val="en-GB"/>
        </w:rPr>
        <w:t xml:space="preserve"> problems</w:t>
      </w:r>
      <w:r w:rsidR="0099385B" w:rsidRPr="002577DE">
        <w:rPr>
          <w:lang w:val="en-GB"/>
        </w:rPr>
        <w:t xml:space="preserve"> (</w:t>
      </w:r>
      <w:r w:rsidR="0099385B" w:rsidRPr="002577DE">
        <w:rPr>
          <w:i/>
          <w:lang w:val="en-GB"/>
        </w:rPr>
        <w:t>z</w:t>
      </w:r>
      <w:r w:rsidR="0099385B" w:rsidRPr="002577DE">
        <w:rPr>
          <w:lang w:val="en-GB"/>
        </w:rPr>
        <w:t xml:space="preserve"> = -</w:t>
      </w:r>
      <w:r w:rsidR="00E26D31" w:rsidRPr="002577DE">
        <w:rPr>
          <w:lang w:val="en-GB"/>
        </w:rPr>
        <w:t>3</w:t>
      </w:r>
      <w:r w:rsidR="0099385B" w:rsidRPr="002577DE">
        <w:rPr>
          <w:lang w:val="en-GB"/>
        </w:rPr>
        <w:t>.</w:t>
      </w:r>
      <w:r w:rsidR="00E26D31" w:rsidRPr="002577DE">
        <w:rPr>
          <w:lang w:val="en-GB"/>
        </w:rPr>
        <w:t>44</w:t>
      </w:r>
      <w:r w:rsidR="0099385B" w:rsidRPr="002577DE">
        <w:rPr>
          <w:lang w:val="en-GB"/>
        </w:rPr>
        <w:t xml:space="preserve">, </w:t>
      </w:r>
      <w:r w:rsidR="0099385B" w:rsidRPr="002577DE">
        <w:rPr>
          <w:i/>
          <w:lang w:val="en-GB"/>
        </w:rPr>
        <w:t>p</w:t>
      </w:r>
      <w:r w:rsidR="0099385B" w:rsidRPr="002577DE">
        <w:rPr>
          <w:lang w:val="en-GB"/>
        </w:rPr>
        <w:t xml:space="preserve"> &lt; .</w:t>
      </w:r>
      <w:r w:rsidR="00E26D31" w:rsidRPr="002577DE">
        <w:rPr>
          <w:lang w:val="en-GB"/>
        </w:rPr>
        <w:t>0</w:t>
      </w:r>
      <w:r w:rsidR="0099385B" w:rsidRPr="002577DE">
        <w:rPr>
          <w:lang w:val="en-GB"/>
        </w:rPr>
        <w:t xml:space="preserve">01), </w:t>
      </w:r>
      <w:r w:rsidR="00320A26" w:rsidRPr="002577DE">
        <w:rPr>
          <w:lang w:val="en-GB"/>
        </w:rPr>
        <w:t>though</w:t>
      </w:r>
      <w:r w:rsidR="0099385B" w:rsidRPr="002577DE">
        <w:rPr>
          <w:lang w:val="en-GB"/>
        </w:rPr>
        <w:t xml:space="preserve"> not for </w:t>
      </w:r>
      <w:r w:rsidR="00E26D31" w:rsidRPr="002577DE">
        <w:rPr>
          <w:i/>
          <w:lang w:val="en-GB"/>
        </w:rPr>
        <w:t>Anxiety problems</w:t>
      </w:r>
      <w:r w:rsidR="00E26D31" w:rsidRPr="002577DE">
        <w:rPr>
          <w:lang w:val="en-GB"/>
        </w:rPr>
        <w:t xml:space="preserve"> (</w:t>
      </w:r>
      <w:r w:rsidR="00E26D31" w:rsidRPr="002577DE">
        <w:rPr>
          <w:i/>
          <w:lang w:val="en-GB"/>
        </w:rPr>
        <w:t>z</w:t>
      </w:r>
      <w:r w:rsidR="00E26D31" w:rsidRPr="002577DE">
        <w:rPr>
          <w:lang w:val="en-GB"/>
        </w:rPr>
        <w:t xml:space="preserve"> = -1.83, </w:t>
      </w:r>
      <w:r w:rsidR="00E26D31" w:rsidRPr="002577DE">
        <w:rPr>
          <w:i/>
          <w:lang w:val="en-GB"/>
        </w:rPr>
        <w:t>p</w:t>
      </w:r>
      <w:r w:rsidR="00E26D31" w:rsidRPr="002577DE">
        <w:rPr>
          <w:lang w:val="en-GB"/>
        </w:rPr>
        <w:t xml:space="preserve"> = .07), and </w:t>
      </w:r>
      <w:r w:rsidR="0099385B" w:rsidRPr="002577DE">
        <w:rPr>
          <w:i/>
          <w:lang w:val="en-GB"/>
        </w:rPr>
        <w:t>Oppositional defiant problems</w:t>
      </w:r>
      <w:r w:rsidR="0099385B" w:rsidRPr="002577DE">
        <w:rPr>
          <w:lang w:val="en-GB"/>
        </w:rPr>
        <w:t xml:space="preserve"> (</w:t>
      </w:r>
      <w:r w:rsidR="0099385B" w:rsidRPr="002577DE">
        <w:rPr>
          <w:i/>
          <w:lang w:val="en-GB"/>
        </w:rPr>
        <w:t>z</w:t>
      </w:r>
      <w:r w:rsidR="00E26D31" w:rsidRPr="002577DE">
        <w:rPr>
          <w:lang w:val="en-GB"/>
        </w:rPr>
        <w:t xml:space="preserve"> = </w:t>
      </w:r>
      <w:r w:rsidR="0099385B" w:rsidRPr="002577DE">
        <w:rPr>
          <w:lang w:val="en-GB"/>
        </w:rPr>
        <w:t>0.</w:t>
      </w:r>
      <w:r w:rsidR="00E26D31" w:rsidRPr="002577DE">
        <w:rPr>
          <w:lang w:val="en-GB"/>
        </w:rPr>
        <w:t>23</w:t>
      </w:r>
      <w:r w:rsidR="0099385B" w:rsidRPr="002577DE">
        <w:rPr>
          <w:lang w:val="en-GB"/>
        </w:rPr>
        <w:t xml:space="preserve">, </w:t>
      </w:r>
      <w:r w:rsidR="0099385B" w:rsidRPr="002577DE">
        <w:rPr>
          <w:i/>
          <w:lang w:val="en-GB"/>
        </w:rPr>
        <w:t>p</w:t>
      </w:r>
      <w:r w:rsidR="0099385B" w:rsidRPr="002577DE">
        <w:rPr>
          <w:lang w:val="en-GB"/>
        </w:rPr>
        <w:t xml:space="preserve"> = .</w:t>
      </w:r>
      <w:r w:rsidR="00E26D31" w:rsidRPr="002577DE">
        <w:rPr>
          <w:lang w:val="en-GB"/>
        </w:rPr>
        <w:t>82</w:t>
      </w:r>
      <w:r w:rsidR="009D5521" w:rsidRPr="002577DE">
        <w:rPr>
          <w:lang w:val="en-GB"/>
        </w:rPr>
        <w:t>)</w:t>
      </w:r>
      <w:r w:rsidR="00D948E5" w:rsidRPr="002577DE">
        <w:rPr>
          <w:lang w:val="en-GB"/>
        </w:rPr>
        <w:t>.</w:t>
      </w:r>
    </w:p>
    <w:p w14:paraId="05F59F20" w14:textId="77777777" w:rsidR="00E54C8D" w:rsidRPr="002577DE" w:rsidRDefault="00E54C8D" w:rsidP="0065749B">
      <w:pPr>
        <w:spacing w:line="480" w:lineRule="auto"/>
        <w:rPr>
          <w:lang w:val="en-GB"/>
        </w:rPr>
      </w:pPr>
    </w:p>
    <w:p w14:paraId="1D02D61A" w14:textId="07B4AB1A" w:rsidR="00D948E5" w:rsidRPr="002577DE" w:rsidRDefault="0072630D" w:rsidP="00D948E5">
      <w:pPr>
        <w:spacing w:line="480" w:lineRule="auto"/>
        <w:outlineLvl w:val="0"/>
        <w:rPr>
          <w:lang w:val="en-GB"/>
        </w:rPr>
      </w:pPr>
      <w:r w:rsidRPr="002577DE">
        <w:rPr>
          <w:b/>
          <w:lang w:val="en-GB"/>
        </w:rPr>
        <w:tab/>
      </w:r>
      <w:r w:rsidR="00D948E5" w:rsidRPr="002577DE">
        <w:rPr>
          <w:b/>
          <w:lang w:val="en-GB"/>
        </w:rPr>
        <w:t>Mediation of treatment effects for IT.</w:t>
      </w:r>
      <w:r w:rsidR="00D948E5" w:rsidRPr="002577DE">
        <w:rPr>
          <w:lang w:val="en-GB"/>
        </w:rPr>
        <w:t xml:space="preserve"> In IT improvement of insomnia was a significant predictor for </w:t>
      </w:r>
      <w:r w:rsidR="00D948E5" w:rsidRPr="002577DE">
        <w:rPr>
          <w:i/>
          <w:lang w:val="en-GB"/>
        </w:rPr>
        <w:t xml:space="preserve">Affective </w:t>
      </w:r>
      <w:r w:rsidR="00D948E5" w:rsidRPr="002577DE">
        <w:rPr>
          <w:lang w:val="en-GB"/>
        </w:rPr>
        <w:t xml:space="preserve">and </w:t>
      </w:r>
      <w:r w:rsidR="00D948E5" w:rsidRPr="002577DE">
        <w:rPr>
          <w:i/>
          <w:lang w:val="en-GB"/>
        </w:rPr>
        <w:t>Oppositional defiant problems</w:t>
      </w:r>
      <w:r w:rsidR="00D948E5" w:rsidRPr="002577DE">
        <w:rPr>
          <w:lang w:val="en-GB"/>
        </w:rPr>
        <w:t>, indicating that for these scales also criterion 3 was met, but not for any of the other DSM-scales. Furthermore, analyses showed that controlling for the effect of insomnia, treatment effect</w:t>
      </w:r>
      <w:r w:rsidR="00320A26" w:rsidRPr="002577DE">
        <w:rPr>
          <w:lang w:val="en-GB"/>
        </w:rPr>
        <w:t>s</w:t>
      </w:r>
      <w:r w:rsidR="00D948E5" w:rsidRPr="002577DE">
        <w:rPr>
          <w:lang w:val="en-GB"/>
        </w:rPr>
        <w:t xml:space="preserve"> decreased to non-significant levels for both </w:t>
      </w:r>
      <w:r w:rsidR="00D948E5" w:rsidRPr="002577DE">
        <w:rPr>
          <w:i/>
          <w:lang w:val="en-GB"/>
        </w:rPr>
        <w:t>Anxiety</w:t>
      </w:r>
      <w:r w:rsidR="00D948E5" w:rsidRPr="002577DE">
        <w:rPr>
          <w:lang w:val="en-GB"/>
        </w:rPr>
        <w:t xml:space="preserve"> and </w:t>
      </w:r>
      <w:r w:rsidR="00D948E5" w:rsidRPr="002577DE">
        <w:rPr>
          <w:i/>
          <w:lang w:val="en-GB"/>
        </w:rPr>
        <w:t xml:space="preserve">Oppositional defiant problems </w:t>
      </w:r>
      <w:r w:rsidR="00BC14F8" w:rsidRPr="002577DE">
        <w:rPr>
          <w:lang w:val="en-GB"/>
        </w:rPr>
        <w:t>(see Table 6</w:t>
      </w:r>
      <w:r w:rsidR="00D948E5" w:rsidRPr="002577DE">
        <w:rPr>
          <w:lang w:val="en-GB"/>
        </w:rPr>
        <w:t xml:space="preserve">). These results indicate full mediation of insomnia for effects of Internet-CBTI on </w:t>
      </w:r>
      <w:r w:rsidR="00D948E5" w:rsidRPr="002577DE">
        <w:rPr>
          <w:i/>
          <w:lang w:val="en-GB"/>
        </w:rPr>
        <w:t>Affective</w:t>
      </w:r>
      <w:r w:rsidR="00D948E5" w:rsidRPr="002577DE">
        <w:rPr>
          <w:lang w:val="en-GB"/>
        </w:rPr>
        <w:t xml:space="preserve"> and </w:t>
      </w:r>
      <w:r w:rsidR="00D948E5" w:rsidRPr="002577DE">
        <w:rPr>
          <w:i/>
          <w:lang w:val="en-GB"/>
        </w:rPr>
        <w:t>Oppositional defiant problems</w:t>
      </w:r>
      <w:r w:rsidR="00D948E5" w:rsidRPr="002577DE">
        <w:rPr>
          <w:lang w:val="en-GB"/>
        </w:rPr>
        <w:t>.</w:t>
      </w:r>
    </w:p>
    <w:p w14:paraId="1B5D628D" w14:textId="77777777" w:rsidR="0072630D" w:rsidRPr="002577DE" w:rsidRDefault="0072630D" w:rsidP="00D948E5">
      <w:pPr>
        <w:spacing w:line="480" w:lineRule="auto"/>
        <w:outlineLvl w:val="0"/>
        <w:rPr>
          <w:lang w:val="en-GB"/>
        </w:rPr>
      </w:pPr>
    </w:p>
    <w:p w14:paraId="10DC69A8" w14:textId="20EB4D8B" w:rsidR="00D948E5" w:rsidRPr="002577DE" w:rsidRDefault="0072630D" w:rsidP="00D948E5">
      <w:pPr>
        <w:spacing w:line="480" w:lineRule="auto"/>
        <w:jc w:val="center"/>
        <w:rPr>
          <w:lang w:val="en-GB"/>
        </w:rPr>
      </w:pPr>
      <w:r w:rsidRPr="002577DE">
        <w:rPr>
          <w:lang w:val="en-GB"/>
        </w:rPr>
        <w:t xml:space="preserve">[Insert Table </w:t>
      </w:r>
      <w:r w:rsidR="00964CA5" w:rsidRPr="002577DE">
        <w:rPr>
          <w:lang w:val="en-GB"/>
        </w:rPr>
        <w:t>S4</w:t>
      </w:r>
      <w:r w:rsidR="00D948E5" w:rsidRPr="002577DE">
        <w:rPr>
          <w:lang w:val="en-GB"/>
        </w:rPr>
        <w:t xml:space="preserve"> here]</w:t>
      </w:r>
    </w:p>
    <w:p w14:paraId="72CE0D12" w14:textId="77777777" w:rsidR="00D948E5" w:rsidRPr="002577DE" w:rsidRDefault="00D948E5" w:rsidP="00D948E5">
      <w:pPr>
        <w:spacing w:line="480" w:lineRule="auto"/>
        <w:jc w:val="center"/>
        <w:rPr>
          <w:lang w:val="en-GB"/>
        </w:rPr>
      </w:pPr>
    </w:p>
    <w:p w14:paraId="60DBD092" w14:textId="3A3AB8D4" w:rsidR="00D948E5" w:rsidRPr="002577DE" w:rsidRDefault="00D948E5" w:rsidP="0065749B">
      <w:pPr>
        <w:spacing w:line="480" w:lineRule="auto"/>
        <w:rPr>
          <w:lang w:val="en-GB"/>
        </w:rPr>
      </w:pPr>
      <w:r w:rsidRPr="002577DE">
        <w:rPr>
          <w:lang w:val="en-GB"/>
        </w:rPr>
        <w:tab/>
        <w:t xml:space="preserve">The product of coefficients and bootstrapping procedure showed that the indirect (mediation) effect was significant for </w:t>
      </w:r>
      <w:r w:rsidRPr="002577DE">
        <w:rPr>
          <w:i/>
          <w:lang w:val="en-GB"/>
        </w:rPr>
        <w:t>Affective problems</w:t>
      </w:r>
      <w:r w:rsidRPr="002577DE">
        <w:rPr>
          <w:lang w:val="en-GB"/>
        </w:rPr>
        <w:t xml:space="preserve"> (</w:t>
      </w:r>
      <w:r w:rsidRPr="002577DE">
        <w:rPr>
          <w:i/>
          <w:lang w:val="en-GB"/>
        </w:rPr>
        <w:t>z</w:t>
      </w:r>
      <w:r w:rsidR="00015CDA" w:rsidRPr="002577DE">
        <w:rPr>
          <w:lang w:val="en-GB"/>
        </w:rPr>
        <w:t xml:space="preserve"> = -3.0</w:t>
      </w:r>
      <w:r w:rsidRPr="002577DE">
        <w:rPr>
          <w:lang w:val="en-GB"/>
        </w:rPr>
        <w:t xml:space="preserve">7, </w:t>
      </w:r>
      <w:r w:rsidRPr="002577DE">
        <w:rPr>
          <w:i/>
          <w:lang w:val="en-GB"/>
        </w:rPr>
        <w:t>p</w:t>
      </w:r>
      <w:r w:rsidR="00015CDA" w:rsidRPr="002577DE">
        <w:rPr>
          <w:lang w:val="en-GB"/>
        </w:rPr>
        <w:t xml:space="preserve"> &lt; .0</w:t>
      </w:r>
      <w:r w:rsidR="004978A2" w:rsidRPr="002577DE">
        <w:rPr>
          <w:lang w:val="en-GB"/>
        </w:rPr>
        <w:t xml:space="preserve">1), </w:t>
      </w:r>
      <w:r w:rsidR="00EC658E" w:rsidRPr="002577DE">
        <w:rPr>
          <w:lang w:val="en-GB"/>
        </w:rPr>
        <w:t>though</w:t>
      </w:r>
      <w:r w:rsidRPr="002577DE">
        <w:rPr>
          <w:lang w:val="en-GB"/>
        </w:rPr>
        <w:t xml:space="preserve"> not for </w:t>
      </w:r>
      <w:r w:rsidRPr="002577DE">
        <w:rPr>
          <w:i/>
          <w:lang w:val="en-GB"/>
        </w:rPr>
        <w:t>Oppositional defiant problems</w:t>
      </w:r>
      <w:r w:rsidRPr="002577DE">
        <w:rPr>
          <w:lang w:val="en-GB"/>
        </w:rPr>
        <w:t xml:space="preserve"> (</w:t>
      </w:r>
      <w:r w:rsidRPr="002577DE">
        <w:rPr>
          <w:i/>
          <w:lang w:val="en-GB"/>
        </w:rPr>
        <w:t>z</w:t>
      </w:r>
      <w:r w:rsidR="004978A2" w:rsidRPr="002577DE">
        <w:rPr>
          <w:lang w:val="en-GB"/>
        </w:rPr>
        <w:t xml:space="preserve"> = -0.48</w:t>
      </w:r>
      <w:r w:rsidRPr="002577DE">
        <w:rPr>
          <w:lang w:val="en-GB"/>
        </w:rPr>
        <w:t xml:space="preserve">,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= .</w:t>
      </w:r>
      <w:r w:rsidR="004978A2" w:rsidRPr="002577DE">
        <w:rPr>
          <w:lang w:val="en-GB"/>
        </w:rPr>
        <w:t>63</w:t>
      </w:r>
      <w:r w:rsidRPr="002577DE">
        <w:rPr>
          <w:lang w:val="en-GB"/>
        </w:rPr>
        <w:t>).</w:t>
      </w:r>
    </w:p>
    <w:p w14:paraId="2E2BAEDE" w14:textId="5869F48A" w:rsidR="00D948E5" w:rsidRPr="002577DE" w:rsidRDefault="00D948E5" w:rsidP="0065749B">
      <w:pPr>
        <w:spacing w:line="480" w:lineRule="auto"/>
        <w:rPr>
          <w:lang w:val="en-GB"/>
        </w:rPr>
        <w:sectPr w:rsidR="00D948E5" w:rsidRPr="002577DE" w:rsidSect="00C77500">
          <w:footerReference w:type="even" r:id="rId7"/>
          <w:footerReference w:type="default" r:id="rId8"/>
          <w:pgSz w:w="11900" w:h="16840"/>
          <w:pgMar w:top="1418" w:right="1440" w:bottom="1418" w:left="1440" w:header="720" w:footer="720" w:gutter="0"/>
          <w:cols w:space="708"/>
          <w:titlePg/>
          <w:docGrid w:linePitch="360"/>
        </w:sectPr>
      </w:pPr>
    </w:p>
    <w:p w14:paraId="148A381F" w14:textId="47A4DCEC" w:rsidR="00376B8C" w:rsidRPr="002577DE" w:rsidRDefault="00376B8C" w:rsidP="00376B8C">
      <w:pPr>
        <w:rPr>
          <w:lang w:val="en-GB"/>
        </w:rPr>
      </w:pPr>
      <w:r w:rsidRPr="002577DE">
        <w:rPr>
          <w:lang w:val="en-GB"/>
        </w:rPr>
        <w:lastRenderedPageBreak/>
        <w:t>Table</w:t>
      </w:r>
      <w:r w:rsidR="008E089A" w:rsidRPr="002577DE">
        <w:rPr>
          <w:lang w:val="en-GB"/>
        </w:rPr>
        <w:t xml:space="preserve"> </w:t>
      </w:r>
      <w:r w:rsidR="00194CE9" w:rsidRPr="002577DE">
        <w:rPr>
          <w:lang w:val="en-GB"/>
        </w:rPr>
        <w:t>S1</w:t>
      </w:r>
      <w:r w:rsidRPr="002577DE">
        <w:rPr>
          <w:lang w:val="en-GB"/>
        </w:rPr>
        <w:t xml:space="preserve">. Range of scores </w:t>
      </w:r>
      <w:r w:rsidR="009634D3" w:rsidRPr="002577DE">
        <w:rPr>
          <w:lang w:val="en-GB"/>
        </w:rPr>
        <w:t xml:space="preserve">and percentage clinical scores </w:t>
      </w:r>
      <w:r w:rsidRPr="002577DE">
        <w:rPr>
          <w:lang w:val="en-GB"/>
        </w:rPr>
        <w:t>for the DSM-scales of the Y</w:t>
      </w:r>
      <w:r w:rsidR="009634D3" w:rsidRPr="002577DE">
        <w:rPr>
          <w:lang w:val="en-GB"/>
        </w:rPr>
        <w:t>out</w:t>
      </w:r>
      <w:r w:rsidR="0075281B" w:rsidRPr="002577DE">
        <w:rPr>
          <w:lang w:val="en-GB"/>
        </w:rPr>
        <w:t>h</w:t>
      </w:r>
      <w:r w:rsidR="009634D3" w:rsidRPr="002577DE">
        <w:rPr>
          <w:lang w:val="en-GB"/>
        </w:rPr>
        <w:t xml:space="preserve"> </w:t>
      </w:r>
      <w:r w:rsidRPr="002577DE">
        <w:rPr>
          <w:lang w:val="en-GB"/>
        </w:rPr>
        <w:t>S</w:t>
      </w:r>
      <w:r w:rsidR="009634D3" w:rsidRPr="002577DE">
        <w:rPr>
          <w:lang w:val="en-GB"/>
        </w:rPr>
        <w:t>elf-</w:t>
      </w:r>
      <w:r w:rsidRPr="002577DE">
        <w:rPr>
          <w:lang w:val="en-GB"/>
        </w:rPr>
        <w:t>R</w:t>
      </w:r>
      <w:r w:rsidR="009634D3" w:rsidRPr="002577DE">
        <w:rPr>
          <w:lang w:val="en-GB"/>
        </w:rPr>
        <w:t xml:space="preserve">eport </w:t>
      </w:r>
      <w:r w:rsidRPr="002577DE">
        <w:rPr>
          <w:lang w:val="en-GB"/>
        </w:rPr>
        <w:t>at each measurement</w:t>
      </w:r>
      <w:r w:rsidR="008130C7" w:rsidRPr="002577DE">
        <w:rPr>
          <w:lang w:val="en-GB"/>
        </w:rPr>
        <w:t xml:space="preserve"> time</w:t>
      </w:r>
      <w:r w:rsidR="00FC4646" w:rsidRPr="002577DE">
        <w:rPr>
          <w:lang w:val="en-GB"/>
        </w:rPr>
        <w:t>.</w:t>
      </w:r>
    </w:p>
    <w:tbl>
      <w:tblPr>
        <w:tblW w:w="15180" w:type="dxa"/>
        <w:tblInd w:w="93" w:type="dxa"/>
        <w:tblLook w:val="04A0" w:firstRow="1" w:lastRow="0" w:firstColumn="1" w:lastColumn="0" w:noHBand="0" w:noVBand="1"/>
      </w:tblPr>
      <w:tblGrid>
        <w:gridCol w:w="400"/>
        <w:gridCol w:w="1060"/>
        <w:gridCol w:w="460"/>
        <w:gridCol w:w="560"/>
        <w:gridCol w:w="560"/>
        <w:gridCol w:w="560"/>
        <w:gridCol w:w="160"/>
        <w:gridCol w:w="460"/>
        <w:gridCol w:w="600"/>
        <w:gridCol w:w="560"/>
        <w:gridCol w:w="560"/>
        <w:gridCol w:w="160"/>
        <w:gridCol w:w="460"/>
        <w:gridCol w:w="600"/>
        <w:gridCol w:w="560"/>
        <w:gridCol w:w="560"/>
        <w:gridCol w:w="160"/>
        <w:gridCol w:w="460"/>
        <w:gridCol w:w="600"/>
        <w:gridCol w:w="560"/>
        <w:gridCol w:w="560"/>
        <w:gridCol w:w="160"/>
        <w:gridCol w:w="460"/>
        <w:gridCol w:w="600"/>
        <w:gridCol w:w="540"/>
        <w:gridCol w:w="540"/>
        <w:gridCol w:w="160"/>
        <w:gridCol w:w="460"/>
        <w:gridCol w:w="600"/>
        <w:gridCol w:w="520"/>
        <w:gridCol w:w="520"/>
      </w:tblGrid>
      <w:tr w:rsidR="00716A19" w:rsidRPr="002577DE" w14:paraId="5D6EBA06" w14:textId="77777777" w:rsidTr="00716A19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692E150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DAB073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2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C8D097" w14:textId="4F93651C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Affective problems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8F6F48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50F469E" w14:textId="649AC1E1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Anxiety problems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14ECF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D4C50F" w14:textId="200CC55C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Somatic problems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98A2C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6AA377D" w14:textId="24FC0E20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ADHD problems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1F85E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2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610AC5" w14:textId="74B6A1D6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Oppositional defiant problems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E6FA3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419D0DF" w14:textId="1D6B8222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Conduct problems</w:t>
            </w:r>
          </w:p>
        </w:tc>
      </w:tr>
      <w:tr w:rsidR="00716A19" w:rsidRPr="002577DE" w14:paraId="0F8AC026" w14:textId="77777777" w:rsidTr="00716A19">
        <w:trPr>
          <w:trHeight w:val="1390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BE36F2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C892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32C97C72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range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76B7F435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% </w:t>
            </w:r>
            <w:proofErr w:type="gramStart"/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non clinical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0A208A72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border-line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D6BEE30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clinical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09D78CF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44308114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range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3D4BAFA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% </w:t>
            </w:r>
            <w:proofErr w:type="gramStart"/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non clinical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6315D313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border-line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74F59F7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clinical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A3B3F4F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6DF886B9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range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72555CEB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% </w:t>
            </w:r>
            <w:proofErr w:type="gramStart"/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non clinical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4FDA8AFF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border-line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0E133A92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clinical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2BAB607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FE5ECDB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range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2BC5DE2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% </w:t>
            </w:r>
            <w:proofErr w:type="gramStart"/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non clinical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F6A7627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border-line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24381D8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clinical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02D926D8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FB3EB1B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range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44F6552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% </w:t>
            </w:r>
            <w:proofErr w:type="gramStart"/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non clinical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44EEC498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border-line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16F8D1D7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clinical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6296D7AE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4FDD1F5A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range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7108A42C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% </w:t>
            </w:r>
            <w:proofErr w:type="gramStart"/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non clinical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738F1C13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border-line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bottom w:w="28" w:type="dxa"/>
              <w:right w:w="28" w:type="dxa"/>
            </w:tcMar>
            <w:textDirection w:val="tbRl"/>
            <w:vAlign w:val="center"/>
            <w:hideMark/>
          </w:tcPr>
          <w:p w14:paraId="5434FAEA" w14:textId="77777777" w:rsidR="00716A19" w:rsidRPr="002577DE" w:rsidRDefault="00716A19" w:rsidP="00376B8C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% clinical</w:t>
            </w:r>
          </w:p>
        </w:tc>
      </w:tr>
      <w:tr w:rsidR="00716A19" w:rsidRPr="002577DE" w14:paraId="2B949210" w14:textId="77777777" w:rsidTr="00716A19">
        <w:trPr>
          <w:trHeight w:val="416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58FA1CD0" w14:textId="0577842C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Waitlist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303B72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baseline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D8CF1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8DA5D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41.0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20B01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10C4B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28.2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557703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6785EE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2DE4A0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CA63D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6496D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4FB228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169456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98538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C8B34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292EA8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3C5CA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BAD58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9E364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594BEB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6587F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1DD08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D5446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ACEA5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89.7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6A7192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7C95D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8DBE3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1C7EF2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E2F299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97.4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25CB34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6374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39F079AD" w14:textId="77777777" w:rsidTr="00716A19">
        <w:trPr>
          <w:trHeight w:val="532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7DB44AC6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A57B67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post-treatment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5DB6C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39A97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27046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E1033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18.9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4625D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27359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63F324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1783E8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02D8F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14A707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C9854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10B054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ED57BB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F92A8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E0B6D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2D3020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40117D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83.8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8FD4CE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13.5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7C2F0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F251C1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B2DA6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171384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F88984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46437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0961E9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2161B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DADE2C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2E0A79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F8AC69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7C1D3AB8" w14:textId="77777777" w:rsidTr="00716A19">
        <w:trPr>
          <w:trHeight w:val="568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978A2F6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4108B4A" w14:textId="6AE3398C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DB032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13B99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47.1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9C4B7D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CCA97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23.5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88E113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D378D2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2DE12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623C83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C5F75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6AFD33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247182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75B5C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82.4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CC776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10E776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17.6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0765F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DE05DE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F02D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9DCEF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19F58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5EC47E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48F544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A17FF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B6DB7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0ED2B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8B709A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0F93A1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36145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B6355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2993F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0F5AC672" w14:textId="77777777" w:rsidTr="00716A19">
        <w:trPr>
          <w:trHeight w:val="473"/>
        </w:trPr>
        <w:tc>
          <w:tcPr>
            <w:tcW w:w="4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0862B190" w14:textId="2094169B" w:rsidR="00716A19" w:rsidRPr="002577DE" w:rsidRDefault="00490FE2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Internet 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429995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baseline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D44FA7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4A008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53.8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02E53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35.9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20C60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59B9D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F3BF30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E83A8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89.7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1A09B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F4503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B6C69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ED82E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C4591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89.7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99F05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A6FE0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6CD92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FD4130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5EB97B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79.5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71D2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96D97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B221BD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694323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568F7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84.6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CB9AC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2FCD0F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7E9F21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4FA46E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080171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97.4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02A64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B27C6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1FEB80D6" w14:textId="77777777" w:rsidTr="00716A19">
        <w:trPr>
          <w:trHeight w:val="644"/>
        </w:trPr>
        <w:tc>
          <w:tcPr>
            <w:tcW w:w="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87BCD25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79D417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post-treatment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EEFA4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04376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CF554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408126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4B6284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33C3C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EA3B3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EDFD2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C16858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0D98A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FA7491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ABD73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6B327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17CCE6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0671C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48840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FE4C5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83.8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C25EA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B54C9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1476BC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BFEC35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798480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89.2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8101E9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7B5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5958A3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4E3BF5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02F326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97.3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ADB18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80312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28D3750F" w14:textId="77777777" w:rsidTr="00716A19">
        <w:trPr>
          <w:trHeight w:val="568"/>
        </w:trPr>
        <w:tc>
          <w:tcPr>
            <w:tcW w:w="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28BA6464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1AA1138" w14:textId="18041286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0EAA0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9E52E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DFE2E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6118AF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0D230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04F88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BFA6C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6E795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32A06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4165E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EEFA68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AD5B30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4145B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A1B7BC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B68717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D5927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6177F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244EFC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AEF74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51977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D2D8CC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7F47A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90.9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EC877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515CA1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F73A8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A8D739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98F95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AA27E5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D65DA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71AE86F2" w14:textId="77777777" w:rsidTr="00716A19">
        <w:trPr>
          <w:trHeight w:val="534"/>
        </w:trPr>
        <w:tc>
          <w:tcPr>
            <w:tcW w:w="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33E8C6D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19E127B" w14:textId="63F1D632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C8198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8867D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04C9D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BF5CE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05BB4B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302C5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22D6D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997F0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ABFA5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B0265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BC853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4E869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8EF86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FDC1FD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BE838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C9893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A210C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B693C5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C9DF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385B85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FED69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7B8D5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EB043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0CE31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0706C3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F3DCF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D717E1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FE6BB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76B94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40E2BC02" w14:textId="77777777" w:rsidTr="00716A19">
        <w:trPr>
          <w:trHeight w:val="570"/>
        </w:trPr>
        <w:tc>
          <w:tcPr>
            <w:tcW w:w="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4F7BEDEB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06341E3" w14:textId="314A3C34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12-month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50F44B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5CC3EB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75.0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8F576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25.0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18476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B79385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72C18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177888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1BC674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D2BAE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659FAE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FA48F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0CE845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93.8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DB828E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05958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457E9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16ED1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592F4C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1C4890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CA71A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0768A1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BF18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F8D1D0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93.8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9FB21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6.2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7F212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8287D8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463CCF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BB6A1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7E2A57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CF2924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23B0DD92" w14:textId="77777777" w:rsidTr="00716A19">
        <w:trPr>
          <w:trHeight w:val="488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14:paraId="55536920" w14:textId="23688BE6" w:rsidR="00716A19" w:rsidRPr="002577DE" w:rsidRDefault="00490FE2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BF4C6A4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baseline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4346F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060D8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41DCC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23.7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CC02F0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15.8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D95D9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4E7295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32ABCA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93899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13220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7.9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0E3AA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DEC916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792DE8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6EDCC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19412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E5FE4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5842E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0B8DB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84820E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23616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25CE02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010C87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EE7247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84.2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46FD68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13.2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184FFE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5965F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A92E3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5EAF1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7037F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20999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3F9D7F8C" w14:textId="77777777" w:rsidTr="00716A19">
        <w:trPr>
          <w:trHeight w:val="486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5330E7DB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63B90C8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post-treatment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1FEB2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8D5C6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1E094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577F7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DC14CA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A5548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A917B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006CD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55BB93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DD2F4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26C58E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19BEED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6265BC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13.9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9D0CC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FF524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D046BE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DAC250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014780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4D3DF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2.8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A4E367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58D757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EE0FD9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6DB17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3E2F2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A4780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9CDA7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774E25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1AF8E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CC31C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237326D0" w14:textId="77777777" w:rsidTr="00716A19">
        <w:trPr>
          <w:trHeight w:val="551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832EDD0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4D9F0C4" w14:textId="63C72456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DF8F6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08D600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A8A3F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2A6E48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10.7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9A699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D2599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5C3E07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87945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53B12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BF877F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BDEFA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A07FD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55133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CF73C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99A61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85591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4B7523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DA153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6CEE5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1FF85A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B609B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9E987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96.4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4C5D9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AFE2B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59882F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6E5B99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60CB61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B3201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2E417D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365477F4" w14:textId="77777777" w:rsidTr="00716A19">
        <w:trPr>
          <w:trHeight w:val="559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3A4CAA3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FE9739" w14:textId="7E12391E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922CE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D0E89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78BB4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AB68B3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80845DA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6C99DB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157425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99175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222C1E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90352D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8ECB9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24470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C4B63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8F7FC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25AB5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A1AD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D5490D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045165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576F51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A4C23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BB18B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AB0C7F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F3A57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1EDD08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1254D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4DD39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BBEC2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95F5DE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AA2103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  <w:tr w:rsidR="00716A19" w:rsidRPr="002577DE" w14:paraId="479DE921" w14:textId="77777777" w:rsidTr="00716A19">
        <w:trPr>
          <w:trHeight w:val="68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618A9631" w14:textId="77777777" w:rsidR="00716A19" w:rsidRPr="002577DE" w:rsidRDefault="00716A19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B0CBBE" w14:textId="266906FB" w:rsidR="00716A19" w:rsidRPr="002577DE" w:rsidRDefault="00490FE2" w:rsidP="00376B8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12-month</w:t>
            </w:r>
            <w:r w:rsidR="00716A19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6BBA5A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CE45D7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F5A2AF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12F01C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62E94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9B5FE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BAA2A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DFE4E3C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0C39C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011430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449B0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FFBA28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93.3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6CD6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523F9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6.7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5E113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C66B60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12354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C92410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1D6774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AA9352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9E270ED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132086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D361C9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75B4333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2DB3A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51C304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B356E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100.0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18DB31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D9DBE65" w14:textId="77777777" w:rsidR="00716A19" w:rsidRPr="002577DE" w:rsidRDefault="00716A19" w:rsidP="00376B8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</w:t>
            </w:r>
          </w:p>
        </w:tc>
      </w:tr>
    </w:tbl>
    <w:p w14:paraId="1193F84D" w14:textId="77777777" w:rsidR="00376B8C" w:rsidRPr="002577DE" w:rsidRDefault="00376B8C" w:rsidP="00376B8C">
      <w:pPr>
        <w:rPr>
          <w:lang w:val="en-GB"/>
        </w:rPr>
      </w:pPr>
    </w:p>
    <w:p w14:paraId="4E2E7728" w14:textId="7F26BE28" w:rsidR="00F97ADA" w:rsidRPr="002577DE" w:rsidRDefault="00376B8C" w:rsidP="00F97ADA">
      <w:pPr>
        <w:rPr>
          <w:lang w:val="en-GB"/>
        </w:rPr>
      </w:pPr>
      <w:r w:rsidRPr="002577DE">
        <w:rPr>
          <w:lang w:val="en-GB"/>
        </w:rPr>
        <w:br w:type="column"/>
      </w:r>
      <w:r w:rsidR="00F97ADA" w:rsidRPr="002577DE">
        <w:rPr>
          <w:lang w:val="en-GB"/>
        </w:rPr>
        <w:lastRenderedPageBreak/>
        <w:t xml:space="preserve">Table </w:t>
      </w:r>
      <w:r w:rsidR="00964CA5" w:rsidRPr="002577DE">
        <w:rPr>
          <w:lang w:val="en-GB"/>
        </w:rPr>
        <w:t>S2</w:t>
      </w:r>
      <w:r w:rsidR="00F97ADA" w:rsidRPr="002577DE">
        <w:rPr>
          <w:lang w:val="en-GB"/>
        </w:rPr>
        <w:t>. Multilevel regressio</w:t>
      </w:r>
      <w:r w:rsidR="00490FE2" w:rsidRPr="002577DE">
        <w:rPr>
          <w:lang w:val="en-GB"/>
        </w:rPr>
        <w:t xml:space="preserve">n analyses for effects of group CBTI and Internet </w:t>
      </w:r>
      <w:r w:rsidR="00F97ADA" w:rsidRPr="002577DE">
        <w:rPr>
          <w:lang w:val="en-GB"/>
        </w:rPr>
        <w:t xml:space="preserve">CBTI compared to waitlist on psychopathology, </w:t>
      </w:r>
      <w:r w:rsidR="000A3F05" w:rsidRPr="002577DE">
        <w:rPr>
          <w:lang w:val="en-GB"/>
        </w:rPr>
        <w:t>with treatment effect</w:t>
      </w:r>
      <w:r w:rsidR="0052246E" w:rsidRPr="002577DE">
        <w:rPr>
          <w:lang w:val="en-GB"/>
        </w:rPr>
        <w:t>s at post-treatment and 2-month</w:t>
      </w:r>
      <w:r w:rsidR="000A3F05" w:rsidRPr="002577DE">
        <w:rPr>
          <w:lang w:val="en-GB"/>
        </w:rPr>
        <w:t xml:space="preserve"> follow-up compared to</w:t>
      </w:r>
      <w:r w:rsidR="00F97ADA" w:rsidRPr="002577DE">
        <w:rPr>
          <w:lang w:val="en-GB"/>
        </w:rPr>
        <w:t xml:space="preserve"> baseline.</w:t>
      </w:r>
    </w:p>
    <w:tbl>
      <w:tblPr>
        <w:tblW w:w="151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031"/>
        <w:gridCol w:w="1559"/>
        <w:gridCol w:w="1559"/>
        <w:gridCol w:w="1559"/>
        <w:gridCol w:w="1560"/>
        <w:gridCol w:w="1417"/>
        <w:gridCol w:w="1418"/>
      </w:tblGrid>
      <w:tr w:rsidR="00F97ADA" w:rsidRPr="002577DE" w14:paraId="61C935C2" w14:textId="77777777" w:rsidTr="001B067C">
        <w:trPr>
          <w:trHeight w:val="711"/>
        </w:trPr>
        <w:tc>
          <w:tcPr>
            <w:tcW w:w="6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E1996" w14:textId="77777777" w:rsidR="00F97ADA" w:rsidRPr="002577DE" w:rsidRDefault="00F97ADA" w:rsidP="001B067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Parameter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14:paraId="37488A73" w14:textId="77777777" w:rsidR="00F97ADA" w:rsidRPr="002577DE" w:rsidRDefault="00F97ADA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Affective</w:t>
            </w: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br/>
              <w:t>β(se)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14:paraId="74F43A63" w14:textId="77777777" w:rsidR="00F97ADA" w:rsidRPr="002577DE" w:rsidRDefault="00F97ADA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Anxiety</w:t>
            </w: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br/>
              <w:t>β(se)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14:paraId="5870D549" w14:textId="77777777" w:rsidR="00F97ADA" w:rsidRPr="002577DE" w:rsidRDefault="00F97ADA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Somatic</w:t>
            </w: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br/>
              <w:t>β(se)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14:paraId="7BB32BF4" w14:textId="77777777" w:rsidR="00F97ADA" w:rsidRPr="002577DE" w:rsidRDefault="00F97ADA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ADHD</w:t>
            </w: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br/>
              <w:t>β(se)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14:paraId="23AA3910" w14:textId="77777777" w:rsidR="00F97ADA" w:rsidRPr="002577DE" w:rsidRDefault="00F97ADA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Oppositional Defiant</w:t>
            </w: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br/>
              <w:t>β(se)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  <w:hideMark/>
          </w:tcPr>
          <w:p w14:paraId="545BD362" w14:textId="77777777" w:rsidR="00F97ADA" w:rsidRPr="002577DE" w:rsidRDefault="00F97ADA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Conduct</w:t>
            </w: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br/>
              <w:t>β(se)</w:t>
            </w:r>
          </w:p>
        </w:tc>
      </w:tr>
      <w:tr w:rsidR="00F97ADA" w:rsidRPr="002577DE" w14:paraId="146560D6" w14:textId="77777777" w:rsidTr="001B067C">
        <w:trPr>
          <w:trHeight w:val="453"/>
        </w:trPr>
        <w:tc>
          <w:tcPr>
            <w:tcW w:w="151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204789" w14:textId="77777777" w:rsidR="00F97ADA" w:rsidRPr="002577DE" w:rsidRDefault="00F97ADA" w:rsidP="001B067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effects at baseline </w:t>
            </w:r>
          </w:p>
        </w:tc>
      </w:tr>
      <w:tr w:rsidR="00F97ADA" w:rsidRPr="002577DE" w14:paraId="5A791BB2" w14:textId="77777777" w:rsidTr="001B067C">
        <w:trPr>
          <w:trHeight w:val="473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0B435" w14:textId="77777777" w:rsidR="00F97ADA" w:rsidRPr="002577DE" w:rsidRDefault="00F97ADA" w:rsidP="001B067C">
            <w:pPr>
              <w:ind w:firstLineChars="100" w:firstLine="200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Gender (difference of girls compared to boys, at baseline)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0D27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0.62(0.18)**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5B57F9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0.79(0.20)***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4ADE40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0.62(0.18)**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3CFB38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0.30(0.21)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7E4F22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-0.13(0.21)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AEC99B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-0.49(0.21)*</w:t>
            </w:r>
          </w:p>
        </w:tc>
      </w:tr>
      <w:tr w:rsidR="00F97ADA" w:rsidRPr="002577DE" w14:paraId="64FF44B9" w14:textId="77777777" w:rsidTr="001B067C">
        <w:trPr>
          <w:trHeight w:val="473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85414" w14:textId="76AD986F" w:rsidR="00F97ADA" w:rsidRPr="002577DE" w:rsidRDefault="00490FE2" w:rsidP="001B067C">
            <w:pPr>
              <w:ind w:firstLineChars="100" w:firstLine="200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Internet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 (difference with waitlist, at baseline)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E69FD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-0.61(0.19)**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51050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-0.25(0.21)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F9B36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-0.44(0.21)*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A251C3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0.04(0.22)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279C4E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0.23(0.22)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A4167B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-0.20(0.22)</w:t>
            </w:r>
          </w:p>
        </w:tc>
      </w:tr>
      <w:tr w:rsidR="00F97ADA" w:rsidRPr="002577DE" w14:paraId="4BF7AF03" w14:textId="77777777" w:rsidTr="001B067C">
        <w:trPr>
          <w:trHeight w:val="473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C5775" w14:textId="19E2A550" w:rsidR="00F97ADA" w:rsidRPr="002577DE" w:rsidRDefault="00490FE2" w:rsidP="001B067C">
            <w:pPr>
              <w:ind w:firstLineChars="100" w:firstLine="200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 (difference with waitlist, at baseline)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B3ECB5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-0.50(0.19)*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8CC75A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-0.32(0.21)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C89B3D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-0.29(0.21)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8614F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0.23(0.22)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B9C7A0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0.22(0.22)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2C1A3F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-0.03(0.22)</w:t>
            </w:r>
          </w:p>
        </w:tc>
      </w:tr>
      <w:tr w:rsidR="00F97ADA" w:rsidRPr="002577DE" w14:paraId="7E1D5AEB" w14:textId="77777777" w:rsidTr="001B067C">
        <w:trPr>
          <w:trHeight w:val="473"/>
        </w:trPr>
        <w:tc>
          <w:tcPr>
            <w:tcW w:w="151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7801F4E8" w14:textId="77777777" w:rsidR="00F97ADA" w:rsidRPr="002577DE" w:rsidRDefault="00F97ADA" w:rsidP="001B067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Treatment effects</w:t>
            </w:r>
          </w:p>
        </w:tc>
      </w:tr>
      <w:tr w:rsidR="00F97ADA" w:rsidRPr="002577DE" w14:paraId="4A9569BD" w14:textId="77777777" w:rsidTr="001B067C">
        <w:trPr>
          <w:trHeight w:val="624"/>
        </w:trPr>
        <w:tc>
          <w:tcPr>
            <w:tcW w:w="603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35E647" w14:textId="77777777" w:rsidR="00F97ADA" w:rsidRPr="002577DE" w:rsidRDefault="00F97ADA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Post-treatment (change of waitlist from baseline to post-treatment)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9D003D6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-0.01(0.14)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3024F9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0.15(0.15)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E074498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0.08(0.12)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7DF306C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0.13(0.15)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851515C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-0.03(0.17)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2AB241F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-0.07(0.19)</w:t>
            </w:r>
          </w:p>
        </w:tc>
      </w:tr>
      <w:tr w:rsidR="00F97ADA" w:rsidRPr="002577DE" w14:paraId="4F410794" w14:textId="77777777" w:rsidTr="001B067C">
        <w:trPr>
          <w:trHeight w:val="624"/>
        </w:trPr>
        <w:tc>
          <w:tcPr>
            <w:tcW w:w="603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066581" w14:textId="21B73724" w:rsidR="00F97ADA" w:rsidRPr="002577DE" w:rsidRDefault="00490FE2" w:rsidP="00252F01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(change of waitlist from </w:t>
            </w:r>
            <w:r w:rsidR="00543474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baseline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to 2</w:t>
            </w:r>
            <w:r w:rsidR="00252F01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months follow-up)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70EAA4" w14:textId="57B1F2B3" w:rsidR="00F97ADA" w:rsidRPr="002577DE" w:rsidRDefault="00A85F7E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0.25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(0.19)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E67B2D" w14:textId="40B5F697" w:rsidR="00F97ADA" w:rsidRPr="002577DE" w:rsidRDefault="004436B2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0.44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(0.20)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10793D" w14:textId="4E725E8F" w:rsidR="00F97ADA" w:rsidRPr="002577DE" w:rsidRDefault="004436B2" w:rsidP="004436B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0.24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22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07F7CC" w14:textId="6E51CD6F" w:rsidR="00F97ADA" w:rsidRPr="002577DE" w:rsidRDefault="007057BB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0.70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(0.21)**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BA1065" w14:textId="4519D927" w:rsidR="00F97ADA" w:rsidRPr="002577DE" w:rsidRDefault="00F745C7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0.05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(0.23)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13D0E0" w14:textId="46A18480" w:rsidR="00F97ADA" w:rsidRPr="002577DE" w:rsidRDefault="00B75FBC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-0.31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(0.25)</w:t>
            </w:r>
          </w:p>
        </w:tc>
      </w:tr>
      <w:tr w:rsidR="00F97ADA" w:rsidRPr="002577DE" w14:paraId="4CDE46A8" w14:textId="77777777" w:rsidTr="001B067C">
        <w:trPr>
          <w:trHeight w:val="624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C8951" w14:textId="77777777" w:rsidR="00F97ADA" w:rsidRPr="002577DE" w:rsidRDefault="00F97ADA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Gender * post-treatment (additional change of girls from baseline to post-treatment, compared to boys)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BCA605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-0.32(0.14)*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39CD21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-0.37(0.15)*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577B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0.10(0.16)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C0A7C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0.07(0.15)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3B1A1A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0.01(0.17)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65363B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0.08(0.18)</w:t>
            </w:r>
          </w:p>
        </w:tc>
      </w:tr>
      <w:tr w:rsidR="00F97ADA" w:rsidRPr="002577DE" w14:paraId="5EA1BE88" w14:textId="77777777" w:rsidTr="001B067C">
        <w:trPr>
          <w:trHeight w:val="624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4970FA" w14:textId="433F0671" w:rsidR="00F97ADA" w:rsidRPr="002577DE" w:rsidRDefault="00490FE2" w:rsidP="00543474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Gender * 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(additional change of</w:t>
            </w:r>
            <w:r w:rsidR="00543474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girls from baseline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to 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follow-up, compared to boys)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7FE768" w14:textId="60B8990A" w:rsidR="00F97ADA" w:rsidRPr="002577DE" w:rsidRDefault="001A69D9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-0.68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(0.16)*</w:t>
            </w:r>
            <w:r w:rsidR="00A85F7E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DD70A7" w14:textId="373B9B4B" w:rsidR="00F97ADA" w:rsidRPr="002577DE" w:rsidRDefault="001B067C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-0.53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17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77169" w14:textId="5476DDF8" w:rsidR="00F97ADA" w:rsidRPr="002577DE" w:rsidRDefault="001B067C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-0.16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06B291" w14:textId="11835564" w:rsidR="00F97ADA" w:rsidRPr="002577DE" w:rsidRDefault="00F97ADA" w:rsidP="007057B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</w:t>
            </w:r>
            <w:r w:rsidR="007057BB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FD5464" w14:textId="5725B11C" w:rsidR="00F97ADA" w:rsidRPr="002577DE" w:rsidRDefault="00F745C7" w:rsidP="00F745C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-0.02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19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9B79EF" w14:textId="675C59D3" w:rsidR="00F97ADA" w:rsidRPr="002577DE" w:rsidRDefault="00B75FBC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-0.04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(0.22)</w:t>
            </w:r>
          </w:p>
        </w:tc>
      </w:tr>
      <w:tr w:rsidR="00F97ADA" w:rsidRPr="002577DE" w14:paraId="6669B5F3" w14:textId="77777777" w:rsidTr="001B067C">
        <w:trPr>
          <w:trHeight w:val="624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175925" w14:textId="3524D34A" w:rsidR="00F97ADA" w:rsidRPr="002577DE" w:rsidRDefault="00490FE2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Internet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 * post-treatment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(additional change of Internet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 from baseline to post-treatment, compared to waitlist)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C3D64D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-0.44(0.14)**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013D89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-0.45(0.15)**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A28A62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-0.37(0.17)*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A3B4BB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-0.50(0.16)**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594FB0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-0.24(0.17)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2E009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-0.02(0.19)</w:t>
            </w:r>
          </w:p>
        </w:tc>
      </w:tr>
      <w:tr w:rsidR="00F97ADA" w:rsidRPr="002577DE" w14:paraId="2A2A087B" w14:textId="77777777" w:rsidTr="001B067C">
        <w:trPr>
          <w:trHeight w:val="624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760EB6" w14:textId="13FDA043" w:rsidR="00F97ADA" w:rsidRPr="002577DE" w:rsidRDefault="00490FE2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 * post-treatm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ent (additional change of group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 from baseline to post-treatment, compared to waitlist)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1F1104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-0.45(0.14)**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DCA96F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-0.22(0.15)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CEA9A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-0.53(0.17)**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109A2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-0.32(0.16)*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FB7713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-0.42(0.17)*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13EAF8" w14:textId="77777777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-0.32(0.19)</w:t>
            </w:r>
          </w:p>
        </w:tc>
      </w:tr>
      <w:tr w:rsidR="00F97ADA" w:rsidRPr="002577DE" w14:paraId="24E7ACDC" w14:textId="77777777" w:rsidTr="001B067C">
        <w:trPr>
          <w:trHeight w:val="624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942F1A" w14:textId="1B2697BF" w:rsidR="00F97ADA" w:rsidRPr="002577DE" w:rsidRDefault="00490FE2" w:rsidP="00543474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Internet CBTI * 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(additional change of Internet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CBTI from </w:t>
            </w:r>
            <w:r w:rsidR="00543474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baseline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to 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follow-up, compared to waitlist)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FB8CF" w14:textId="5327B627" w:rsidR="00F97ADA" w:rsidRPr="002577DE" w:rsidRDefault="001A69D9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-0.56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(0.17)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C1B82B" w14:textId="7463EE56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</w:t>
            </w:r>
            <w:r w:rsidR="001B067C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65(0.18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)</w:t>
            </w:r>
            <w:r w:rsidR="001B067C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C2EA5D" w14:textId="6366F4C7" w:rsidR="00F97ADA" w:rsidRPr="002577DE" w:rsidRDefault="002D60BF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-0.71(0.20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A5DA17" w14:textId="256DF305" w:rsidR="00F97ADA" w:rsidRPr="002577DE" w:rsidRDefault="007057BB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-0.9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3(0.19)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C51D6" w14:textId="0ADE9119" w:rsidR="00F97ADA" w:rsidRPr="002577DE" w:rsidRDefault="00F97ADA" w:rsidP="00F745C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</w:t>
            </w:r>
            <w:r w:rsidR="00F745C7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57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(0.21)</w:t>
            </w:r>
            <w:r w:rsidR="00F745C7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CC6265" w14:textId="60D6A3D1" w:rsidR="00F97ADA" w:rsidRPr="002577DE" w:rsidRDefault="00B75FBC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0.17(0.23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)</w:t>
            </w:r>
          </w:p>
        </w:tc>
      </w:tr>
      <w:tr w:rsidR="00F97ADA" w:rsidRPr="002577DE" w14:paraId="6D74C685" w14:textId="77777777" w:rsidTr="001B067C">
        <w:trPr>
          <w:trHeight w:val="624"/>
        </w:trPr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DF4A9D" w14:textId="2FE54BA0" w:rsidR="00F97ADA" w:rsidRPr="002577DE" w:rsidRDefault="00490FE2" w:rsidP="00490FE2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Group CBTI * 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(additional change of 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CBTI from </w:t>
            </w:r>
            <w:r w:rsidR="00543474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baseline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to 2-month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follow-up, compared to waitlist)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3E48F2" w14:textId="6F015BAC" w:rsidR="00F97ADA" w:rsidRPr="002577DE" w:rsidRDefault="001A69D9" w:rsidP="001A69D9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38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(0.18)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813293" w14:textId="035B1F15" w:rsidR="00F97ADA" w:rsidRPr="002577DE" w:rsidRDefault="00F97ADA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</w:t>
            </w:r>
            <w:r w:rsidR="001B067C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30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(0.19)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7DEFE4" w14:textId="11DC9FF5" w:rsidR="00F97ADA" w:rsidRPr="002577DE" w:rsidRDefault="002D60BF" w:rsidP="002D60B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43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(0.21)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68EA66" w14:textId="37FD1AA0" w:rsidR="00F97ADA" w:rsidRPr="002577DE" w:rsidRDefault="00F97ADA" w:rsidP="007057B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</w:t>
            </w:r>
            <w:r w:rsidR="007057BB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87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(0.20)*</w:t>
            </w:r>
            <w:r w:rsidR="007057BB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F52C8A" w14:textId="59D59365" w:rsidR="00F97ADA" w:rsidRPr="002577DE" w:rsidRDefault="00F745C7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-0.44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(0.22)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*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A69AC" w14:textId="45000DE5" w:rsidR="00F97ADA" w:rsidRPr="002577DE" w:rsidRDefault="00B75FBC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-0.04</w:t>
            </w:r>
            <w:r w:rsidR="00F97ADA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(0.24)</w:t>
            </w:r>
          </w:p>
        </w:tc>
      </w:tr>
    </w:tbl>
    <w:p w14:paraId="1CFF38F1" w14:textId="0CBE86FC" w:rsidR="00921480" w:rsidRPr="002577DE" w:rsidRDefault="00F97ADA" w:rsidP="00921480">
      <w:pPr>
        <w:rPr>
          <w:lang w:val="en-GB"/>
        </w:rPr>
      </w:pPr>
      <w:r w:rsidRPr="002577DE">
        <w:rPr>
          <w:sz w:val="22"/>
          <w:szCs w:val="22"/>
          <w:lang w:val="en-GB"/>
        </w:rPr>
        <w:t xml:space="preserve">* </w:t>
      </w:r>
      <w:r w:rsidRPr="002577DE">
        <w:rPr>
          <w:i/>
          <w:sz w:val="22"/>
          <w:szCs w:val="22"/>
          <w:lang w:val="en-GB"/>
        </w:rPr>
        <w:t>p</w:t>
      </w:r>
      <w:r w:rsidRPr="002577DE">
        <w:rPr>
          <w:sz w:val="22"/>
          <w:szCs w:val="22"/>
          <w:lang w:val="en-GB"/>
        </w:rPr>
        <w:t xml:space="preserve"> &lt; .05, ** </w:t>
      </w:r>
      <w:r w:rsidRPr="002577DE">
        <w:rPr>
          <w:i/>
          <w:sz w:val="22"/>
          <w:szCs w:val="22"/>
          <w:lang w:val="en-GB"/>
        </w:rPr>
        <w:t>p</w:t>
      </w:r>
      <w:r w:rsidRPr="002577DE">
        <w:rPr>
          <w:sz w:val="22"/>
          <w:szCs w:val="22"/>
          <w:lang w:val="en-GB"/>
        </w:rPr>
        <w:t xml:space="preserve"> &lt; .01, *** </w:t>
      </w:r>
      <w:r w:rsidRPr="002577DE">
        <w:rPr>
          <w:i/>
          <w:sz w:val="22"/>
          <w:szCs w:val="22"/>
          <w:lang w:val="en-GB"/>
        </w:rPr>
        <w:t>p</w:t>
      </w:r>
      <w:r w:rsidRPr="002577DE">
        <w:rPr>
          <w:sz w:val="22"/>
          <w:szCs w:val="22"/>
          <w:lang w:val="en-GB"/>
        </w:rPr>
        <w:t xml:space="preserve"> &lt; .001.</w:t>
      </w:r>
      <w:r w:rsidRPr="002577DE">
        <w:rPr>
          <w:rFonts w:eastAsia="Times New Roman"/>
          <w:color w:val="000000"/>
          <w:sz w:val="22"/>
          <w:szCs w:val="22"/>
          <w:lang w:val="en-GB" w:eastAsia="en-US"/>
        </w:rPr>
        <w:t xml:space="preserve"> CBTI = cognitive behavio</w:t>
      </w:r>
      <w:r w:rsidR="00C31C6C" w:rsidRPr="002577DE">
        <w:rPr>
          <w:rFonts w:eastAsia="Times New Roman"/>
          <w:color w:val="000000"/>
          <w:sz w:val="22"/>
          <w:szCs w:val="22"/>
          <w:lang w:val="en-GB" w:eastAsia="en-US"/>
        </w:rPr>
        <w:t>u</w:t>
      </w:r>
      <w:r w:rsidRPr="002577DE">
        <w:rPr>
          <w:rFonts w:eastAsia="Times New Roman"/>
          <w:color w:val="000000"/>
          <w:sz w:val="22"/>
          <w:szCs w:val="22"/>
          <w:lang w:val="en-GB" w:eastAsia="en-US"/>
        </w:rPr>
        <w:t xml:space="preserve">ral therapy for insomnia. </w:t>
      </w:r>
      <w:r w:rsidRPr="002577DE">
        <w:rPr>
          <w:sz w:val="22"/>
          <w:szCs w:val="22"/>
          <w:lang w:val="en-GB"/>
        </w:rPr>
        <w:t>All predictor and outcome variables were standardized, which allows for interpretation of the β coefficients as Cohen’s d effect sizes (ESs), with .20, .50, and .80 indicating small, medium, and large ESs, respectively (Cohen, 1988). Regression coefficients represent differences of each effect compared to waitlist at baseline. Separ</w:t>
      </w:r>
      <w:r w:rsidR="00C31C6C" w:rsidRPr="002577DE">
        <w:rPr>
          <w:sz w:val="22"/>
          <w:szCs w:val="22"/>
          <w:lang w:val="en-GB"/>
        </w:rPr>
        <w:t xml:space="preserve">ate ESs for group and Internet </w:t>
      </w:r>
      <w:r w:rsidRPr="002577DE">
        <w:rPr>
          <w:sz w:val="22"/>
          <w:szCs w:val="22"/>
          <w:lang w:val="en-GB"/>
        </w:rPr>
        <w:t>CBTI can be deduced from ES</w:t>
      </w:r>
      <w:r w:rsidR="000D09CB" w:rsidRPr="002577DE">
        <w:rPr>
          <w:sz w:val="22"/>
          <w:szCs w:val="22"/>
          <w:lang w:val="en-GB"/>
        </w:rPr>
        <w:t xml:space="preserve">s for the main effects of group and Internet </w:t>
      </w:r>
      <w:r w:rsidRPr="002577DE">
        <w:rPr>
          <w:sz w:val="22"/>
          <w:szCs w:val="22"/>
          <w:lang w:val="en-GB"/>
        </w:rPr>
        <w:t xml:space="preserve">CBTI and ESs for interaction effects. When there is a significant </w:t>
      </w:r>
      <w:r w:rsidR="00C31C6C" w:rsidRPr="002577DE">
        <w:rPr>
          <w:sz w:val="22"/>
          <w:szCs w:val="22"/>
          <w:lang w:val="en-GB"/>
        </w:rPr>
        <w:t xml:space="preserve">interaction of condition (group or Internet </w:t>
      </w:r>
      <w:r w:rsidRPr="002577DE">
        <w:rPr>
          <w:sz w:val="22"/>
          <w:szCs w:val="22"/>
          <w:lang w:val="en-GB"/>
        </w:rPr>
        <w:t xml:space="preserve">CBTI) * time (e.g. post-treatment), the </w:t>
      </w:r>
      <w:r w:rsidR="000D09CB" w:rsidRPr="002577DE">
        <w:rPr>
          <w:sz w:val="22"/>
          <w:szCs w:val="22"/>
          <w:lang w:val="en-GB"/>
        </w:rPr>
        <w:t xml:space="preserve">total ES for group or Internet </w:t>
      </w:r>
      <w:r w:rsidRPr="002577DE">
        <w:rPr>
          <w:sz w:val="22"/>
          <w:szCs w:val="22"/>
          <w:lang w:val="en-GB"/>
        </w:rPr>
        <w:t xml:space="preserve">CBTI over time is the addition </w:t>
      </w:r>
      <w:r w:rsidR="000D09CB" w:rsidRPr="002577DE">
        <w:rPr>
          <w:sz w:val="22"/>
          <w:szCs w:val="22"/>
          <w:lang w:val="en-GB"/>
        </w:rPr>
        <w:t xml:space="preserve">of the ES of group or Internet </w:t>
      </w:r>
      <w:r w:rsidRPr="002577DE">
        <w:rPr>
          <w:sz w:val="22"/>
          <w:szCs w:val="22"/>
          <w:lang w:val="en-GB"/>
        </w:rPr>
        <w:t>CBTI, and the ES of the interaction.</w:t>
      </w:r>
      <w:r w:rsidRPr="002577DE">
        <w:rPr>
          <w:lang w:val="en-GB"/>
        </w:rPr>
        <w:br w:type="column"/>
      </w:r>
      <w:r w:rsidRPr="002577DE">
        <w:rPr>
          <w:lang w:val="en-GB"/>
        </w:rPr>
        <w:lastRenderedPageBreak/>
        <w:t xml:space="preserve">Table </w:t>
      </w:r>
      <w:r w:rsidR="00964CA5" w:rsidRPr="002577DE">
        <w:rPr>
          <w:lang w:val="en-GB"/>
        </w:rPr>
        <w:t>S3</w:t>
      </w:r>
      <w:r w:rsidR="00921480" w:rsidRPr="002577DE">
        <w:rPr>
          <w:lang w:val="en-GB"/>
        </w:rPr>
        <w:t>. Mediation multilevel regression analyses of effects from group-treatment and insomnia symptoms on psychopathology, with participants</w:t>
      </w:r>
      <w:r w:rsidR="0052246E" w:rsidRPr="002577DE">
        <w:rPr>
          <w:lang w:val="en-GB"/>
        </w:rPr>
        <w:t xml:space="preserve"> from group </w:t>
      </w:r>
      <w:r w:rsidR="00921480" w:rsidRPr="002577DE">
        <w:rPr>
          <w:lang w:val="en-GB"/>
        </w:rPr>
        <w:t xml:space="preserve">CBTI compared to waiting list. </w:t>
      </w:r>
    </w:p>
    <w:tbl>
      <w:tblPr>
        <w:tblW w:w="143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975"/>
        <w:gridCol w:w="1614"/>
        <w:gridCol w:w="1390"/>
        <w:gridCol w:w="1570"/>
        <w:gridCol w:w="1383"/>
        <w:gridCol w:w="1463"/>
      </w:tblGrid>
      <w:tr w:rsidR="00D70A17" w:rsidRPr="002577DE" w14:paraId="172DDDD4" w14:textId="77777777" w:rsidTr="00422083">
        <w:trPr>
          <w:trHeight w:val="851"/>
        </w:trPr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844C1" w14:textId="77777777" w:rsidR="00921480" w:rsidRPr="002577DE" w:rsidRDefault="00921480" w:rsidP="006E626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Parameter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7B2535D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Affective</w:t>
            </w:r>
          </w:p>
          <w:p w14:paraId="4F34F9EA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E646BC3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Anxiety</w:t>
            </w:r>
          </w:p>
          <w:p w14:paraId="2D86E4F1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B09C7DF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Somatic</w:t>
            </w:r>
          </w:p>
          <w:p w14:paraId="31457314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5CA187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ADHD</w:t>
            </w:r>
          </w:p>
          <w:p w14:paraId="0CAD9B07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B210CFE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Oppositional Defiant</w:t>
            </w:r>
          </w:p>
          <w:p w14:paraId="3DFC67FB" w14:textId="77777777" w:rsidR="00921480" w:rsidRPr="002577DE" w:rsidRDefault="00921480" w:rsidP="006E6265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</w:tr>
      <w:tr w:rsidR="007554CD" w:rsidRPr="002577DE" w14:paraId="09CC47B6" w14:textId="77777777" w:rsidTr="00D70A17">
        <w:trPr>
          <w:trHeight w:val="557"/>
        </w:trPr>
        <w:tc>
          <w:tcPr>
            <w:tcW w:w="143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3D918" w14:textId="40E92C7D" w:rsidR="00921480" w:rsidRPr="002577DE" w:rsidRDefault="007554CD" w:rsidP="006E6265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Step 3</w:t>
            </w:r>
            <w:r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>a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– Model including insomnia symptoms as predictor for psychopathology</w:t>
            </w:r>
          </w:p>
        </w:tc>
      </w:tr>
      <w:tr w:rsidR="00D70A17" w:rsidRPr="002577DE" w14:paraId="7D0A3E38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CA5C" w14:textId="510E1BD1" w:rsidR="007554CD" w:rsidRPr="002577DE" w:rsidRDefault="007554CD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(from baseline to post-treatment as predictor for psy</w:t>
            </w:r>
            <w:r w:rsidR="00DA526B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chopathology from baseline to 2-month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22EE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0.45(0.09)***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F9DF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0.18(0.09)*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D20D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0.24(0.09)*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2818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0.15(0.10)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05CC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0.22(0.11)*</w:t>
            </w:r>
          </w:p>
        </w:tc>
      </w:tr>
      <w:tr w:rsidR="00D70A17" w:rsidRPr="002577DE" w14:paraId="6D86E8F0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E5C1" w14:textId="5B2FC652" w:rsidR="007554CD" w:rsidRPr="002577DE" w:rsidRDefault="00DA526B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(changes in psy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chopathology from baseline to 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for all participants)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D6E3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-0.17(0.12)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77AB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-0.03(0.11)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8D40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0.07(0.12)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9796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0.13(0.13)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05F9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-0.13(0.14)</w:t>
            </w:r>
          </w:p>
        </w:tc>
      </w:tr>
      <w:tr w:rsidR="00D70A17" w:rsidRPr="002577DE" w14:paraId="3A2894D9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23F7" w14:textId="5B5A472D" w:rsidR="007554CD" w:rsidRPr="002577DE" w:rsidRDefault="00DA526B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* 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(different change of psychopathology for different insomnia symptoms)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A068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-0.15(0.11)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A259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0.11(0.10)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382E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0.02(0.11)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FC54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0.23(0.12)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DE28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-0.11(0.30)</w:t>
            </w:r>
          </w:p>
        </w:tc>
      </w:tr>
      <w:tr w:rsidR="007554CD" w:rsidRPr="002577DE" w14:paraId="4350FFAA" w14:textId="77777777" w:rsidTr="00D70A17">
        <w:trPr>
          <w:trHeight w:val="509"/>
        </w:trPr>
        <w:tc>
          <w:tcPr>
            <w:tcW w:w="143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32D63" w14:textId="2B3934B4" w:rsidR="00921480" w:rsidRPr="002577DE" w:rsidRDefault="007554CD" w:rsidP="006E6265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Step 4</w:t>
            </w:r>
            <w:r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>a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– Model including treatment and insomnia symptoms as predictor for psychopathology</w:t>
            </w:r>
          </w:p>
        </w:tc>
      </w:tr>
      <w:tr w:rsidR="00D70A17" w:rsidRPr="002577DE" w14:paraId="00D50FC4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E84A" w14:textId="131CA71F" w:rsidR="007554CD" w:rsidRPr="002577DE" w:rsidRDefault="007554CD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Insomnia symptoms (at post-treatment as predictor for </w:t>
            </w:r>
            <w:r w:rsidR="00DA526B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psychopathology at 2-month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15F5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0.42(0.10)***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1EE3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0.19(0.09)*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BDDC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0.19(0.09)*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8120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0.17(0.10)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B185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0.19(0.11)</w:t>
            </w:r>
          </w:p>
        </w:tc>
      </w:tr>
      <w:tr w:rsidR="00D70A17" w:rsidRPr="002577DE" w14:paraId="44549A43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7A85" w14:textId="1DF9CFB5" w:rsidR="007554CD" w:rsidRPr="002577DE" w:rsidRDefault="000D09CB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</w:t>
            </w:r>
            <w:r w:rsidR="00D70A17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</w:t>
            </w:r>
            <w:r w:rsidR="00D70A17"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 xml:space="preserve"> 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(compared to waitlist at baseline)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E927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-0.54(0.19)**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6249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-0.36(0.22)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55E6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-0.32(0.20)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280D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0.21(0.20)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7036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0.21(0.22)</w:t>
            </w:r>
          </w:p>
        </w:tc>
      </w:tr>
      <w:tr w:rsidR="00D70A17" w:rsidRPr="002577DE" w14:paraId="6AF485C1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E396" w14:textId="01DE7F3C" w:rsidR="007554CD" w:rsidRPr="002577DE" w:rsidRDefault="00DA526B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 xml:space="preserve"> 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(compared to baseline)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FD3B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-0.25(0.22)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B77F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-0.02(0.20)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4EAA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0.29(0.21)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AAD33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0.52(0.23)*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1E0D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0.04(0.26)</w:t>
            </w:r>
          </w:p>
        </w:tc>
      </w:tr>
      <w:tr w:rsidR="00D70A17" w:rsidRPr="002577DE" w14:paraId="03ECF621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28D3" w14:textId="4EDBA2F8" w:rsidR="007554CD" w:rsidRPr="002577DE" w:rsidRDefault="00DA526B" w:rsidP="007554CD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* 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(differe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ntial effects of treatment at 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 up for different changes in insomnia symptoms at post-treatment)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F181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-0.12(0.15)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CD4F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0.09(0.14)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3BAB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-0.09(0.14)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0596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0.03(0.16)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05B6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-0.15(0.18)</w:t>
            </w:r>
          </w:p>
        </w:tc>
      </w:tr>
      <w:tr w:rsidR="00D70A17" w:rsidRPr="002577DE" w14:paraId="3D752859" w14:textId="77777777" w:rsidTr="00D70A17">
        <w:trPr>
          <w:trHeight w:val="562"/>
        </w:trPr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B0FC1" w14:textId="09A794E8" w:rsidR="007554CD" w:rsidRPr="002577DE" w:rsidRDefault="00DA526B" w:rsidP="00DA526B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Group </w:t>
            </w:r>
            <w:r w:rsidR="00D70A17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* 2-month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(direct effect of treatment on psy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chopathology from baseline to 2-</w:t>
            </w:r>
            <w:r w:rsidR="007554CD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month follow-up)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828B2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0.11(0.34)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DF65F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0.00(0.30)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1A62F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-0.47(0.32)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0FC5D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-0.69(0.35)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6AD5" w14:textId="77777777" w:rsidR="007554CD" w:rsidRPr="002577DE" w:rsidRDefault="007554CD" w:rsidP="006E62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-0.37(0.39)</w:t>
            </w:r>
          </w:p>
        </w:tc>
      </w:tr>
    </w:tbl>
    <w:p w14:paraId="71BCED48" w14:textId="027A6157" w:rsidR="001215FC" w:rsidRPr="002577DE" w:rsidRDefault="001215FC" w:rsidP="001215FC">
      <w:pPr>
        <w:rPr>
          <w:lang w:val="en-GB"/>
        </w:rPr>
      </w:pPr>
      <w:r w:rsidRPr="002577DE">
        <w:rPr>
          <w:lang w:val="en-GB"/>
        </w:rPr>
        <w:t xml:space="preserve">*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&lt; .05, **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&lt; .01, ***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&lt; .001.</w:t>
      </w:r>
      <w:r w:rsidR="00D70A17" w:rsidRPr="002577DE">
        <w:rPr>
          <w:lang w:val="en-GB"/>
        </w:rPr>
        <w:t xml:space="preserve"> CBTI = cognitive behavio</w:t>
      </w:r>
      <w:r w:rsidR="00DA526B" w:rsidRPr="002577DE">
        <w:rPr>
          <w:lang w:val="en-GB"/>
        </w:rPr>
        <w:t>u</w:t>
      </w:r>
      <w:r w:rsidR="00D70A17" w:rsidRPr="002577DE">
        <w:rPr>
          <w:lang w:val="en-GB"/>
        </w:rPr>
        <w:t>ral therapy for insomnia.</w:t>
      </w:r>
      <w:r w:rsidRPr="002577DE">
        <w:rPr>
          <w:lang w:val="en-GB"/>
        </w:rPr>
        <w:br/>
      </w:r>
      <w:proofErr w:type="spellStart"/>
      <w:r w:rsidRPr="002577DE">
        <w:rPr>
          <w:vertAlign w:val="superscript"/>
          <w:lang w:val="en-GB"/>
        </w:rPr>
        <w:t>a</w:t>
      </w:r>
      <w:r w:rsidRPr="002577DE">
        <w:rPr>
          <w:lang w:val="en-GB"/>
        </w:rPr>
        <w:t>Mediation</w:t>
      </w:r>
      <w:proofErr w:type="spellEnd"/>
      <w:r w:rsidRPr="002577DE">
        <w:rPr>
          <w:lang w:val="en-GB"/>
        </w:rPr>
        <w:t xml:space="preserve"> analysis showing results for</w:t>
      </w:r>
      <w:r w:rsidR="00D70A17" w:rsidRPr="002577DE">
        <w:rPr>
          <w:lang w:val="en-GB"/>
        </w:rPr>
        <w:t xml:space="preserve"> steps 3 (insomnia symptoms </w:t>
      </w:r>
      <w:proofErr w:type="gramStart"/>
      <w:r w:rsidR="00D70A17" w:rsidRPr="002577DE">
        <w:rPr>
          <w:lang w:val="en-GB"/>
        </w:rPr>
        <w:t>is</w:t>
      </w:r>
      <w:proofErr w:type="gramEnd"/>
      <w:r w:rsidRPr="002577DE">
        <w:rPr>
          <w:lang w:val="en-GB"/>
        </w:rPr>
        <w:t xml:space="preserve"> a significant predictor for psychopathology) and 4 (significant direct effect of predictor treatment</w:t>
      </w:r>
      <w:r w:rsidR="00DA526B" w:rsidRPr="002577DE">
        <w:rPr>
          <w:lang w:val="en-GB"/>
        </w:rPr>
        <w:t xml:space="preserve"> by group </w:t>
      </w:r>
      <w:r w:rsidR="00D70A17" w:rsidRPr="002577DE">
        <w:rPr>
          <w:lang w:val="en-GB"/>
        </w:rPr>
        <w:t>CBTI</w:t>
      </w:r>
      <w:r w:rsidRPr="002577DE">
        <w:rPr>
          <w:lang w:val="en-GB"/>
        </w:rPr>
        <w:t xml:space="preserve"> is no longer significant in a model with insomnia symptoms as predictor for psychopathology) of the four-step approach (Hayes, 2013; Preacher &amp; Hayes, 2004; Mackinnon et al., 2002).</w:t>
      </w:r>
    </w:p>
    <w:p w14:paraId="2D724C28" w14:textId="77777777" w:rsidR="00921480" w:rsidRPr="002577DE" w:rsidRDefault="00921480" w:rsidP="00921480">
      <w:pPr>
        <w:rPr>
          <w:lang w:val="en-GB"/>
        </w:rPr>
      </w:pPr>
    </w:p>
    <w:p w14:paraId="14E05F65" w14:textId="786CCCE1" w:rsidR="00921480" w:rsidRPr="002577DE" w:rsidRDefault="00921480" w:rsidP="00921480">
      <w:pPr>
        <w:rPr>
          <w:lang w:val="en-GB"/>
        </w:rPr>
      </w:pPr>
      <w:r w:rsidRPr="002577DE">
        <w:rPr>
          <w:lang w:val="en-GB"/>
        </w:rPr>
        <w:br w:type="column"/>
      </w:r>
      <w:r w:rsidR="00F97ADA" w:rsidRPr="002577DE">
        <w:rPr>
          <w:lang w:val="en-GB"/>
        </w:rPr>
        <w:lastRenderedPageBreak/>
        <w:t xml:space="preserve">Table </w:t>
      </w:r>
      <w:r w:rsidR="00964CA5" w:rsidRPr="002577DE">
        <w:rPr>
          <w:lang w:val="en-GB"/>
        </w:rPr>
        <w:t>S4</w:t>
      </w:r>
      <w:r w:rsidRPr="002577DE">
        <w:rPr>
          <w:lang w:val="en-GB"/>
        </w:rPr>
        <w:t xml:space="preserve">. Mediation multilevel regression analyses of effects from </w:t>
      </w:r>
      <w:r w:rsidR="00320A26" w:rsidRPr="002577DE">
        <w:rPr>
          <w:lang w:val="en-GB"/>
        </w:rPr>
        <w:t xml:space="preserve">Internet </w:t>
      </w:r>
      <w:r w:rsidRPr="002577DE">
        <w:rPr>
          <w:lang w:val="en-GB"/>
        </w:rPr>
        <w:t>treatment and insomnia symptoms on psychopathology, with participants</w:t>
      </w:r>
      <w:r w:rsidR="0052246E" w:rsidRPr="002577DE">
        <w:rPr>
          <w:lang w:val="en-GB"/>
        </w:rPr>
        <w:t xml:space="preserve"> from Internet </w:t>
      </w:r>
      <w:r w:rsidRPr="002577DE">
        <w:rPr>
          <w:lang w:val="en-GB"/>
        </w:rPr>
        <w:t xml:space="preserve">CBTI compared to waiting list. </w:t>
      </w:r>
    </w:p>
    <w:tbl>
      <w:tblPr>
        <w:tblW w:w="144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907"/>
        <w:gridCol w:w="1598"/>
        <w:gridCol w:w="1377"/>
        <w:gridCol w:w="1556"/>
        <w:gridCol w:w="1564"/>
        <w:gridCol w:w="1448"/>
      </w:tblGrid>
      <w:tr w:rsidR="00D70A17" w:rsidRPr="002577DE" w14:paraId="310FE802" w14:textId="77777777" w:rsidTr="00422083">
        <w:trPr>
          <w:trHeight w:val="851"/>
        </w:trPr>
        <w:tc>
          <w:tcPr>
            <w:tcW w:w="690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F0B1F" w14:textId="77777777" w:rsidR="00697E48" w:rsidRPr="002577DE" w:rsidRDefault="00697E48" w:rsidP="001B067C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Parameter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8FA6226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Affective</w:t>
            </w:r>
          </w:p>
          <w:p w14:paraId="38944D5B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C687826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Anxiety</w:t>
            </w:r>
          </w:p>
          <w:p w14:paraId="3ED60659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BE552E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Somatic</w:t>
            </w:r>
          </w:p>
          <w:p w14:paraId="27D69F2D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A5568A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ADHD</w:t>
            </w:r>
          </w:p>
          <w:p w14:paraId="34F5DA21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6BDF057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Oppositional Defiant</w:t>
            </w:r>
          </w:p>
          <w:p w14:paraId="4FBA16F7" w14:textId="77777777" w:rsidR="00697E48" w:rsidRPr="002577DE" w:rsidRDefault="00697E48" w:rsidP="001B067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β(se)</w:t>
            </w:r>
          </w:p>
        </w:tc>
      </w:tr>
      <w:tr w:rsidR="00697E48" w:rsidRPr="002577DE" w14:paraId="3DF9665B" w14:textId="77777777" w:rsidTr="00D70A17">
        <w:trPr>
          <w:trHeight w:val="582"/>
        </w:trPr>
        <w:tc>
          <w:tcPr>
            <w:tcW w:w="14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6C3E" w14:textId="77777777" w:rsidR="00697E48" w:rsidRPr="002577DE" w:rsidRDefault="00697E48" w:rsidP="001B067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Step 3</w:t>
            </w:r>
            <w:r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>a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– Model including insomnia symptoms as predictor for psychopathology</w:t>
            </w:r>
          </w:p>
        </w:tc>
      </w:tr>
      <w:tr w:rsidR="00D70A17" w:rsidRPr="002577DE" w14:paraId="6C87D1E1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971D" w14:textId="2B3F0AB3" w:rsidR="00697E48" w:rsidRPr="002577DE" w:rsidRDefault="00697E48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(from baseline to post-treatment as predictor for psy</w:t>
            </w:r>
            <w:r w:rsidR="00C45EA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chopathology from baseline to 2-month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F625" w14:textId="6609EA2B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0.47(0.09)***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D5A4" w14:textId="56F2555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0.18(0.10)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B325" w14:textId="5179A7AE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0.11(0.10)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5F9F" w14:textId="20C8810D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0.15(0.11)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0DAE" w14:textId="24A0148E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0.21(0.10)*</w:t>
            </w:r>
          </w:p>
        </w:tc>
      </w:tr>
      <w:tr w:rsidR="00D70A17" w:rsidRPr="002577DE" w14:paraId="764DA448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A6BD" w14:textId="07BA020F" w:rsidR="00697E48" w:rsidRPr="002577DE" w:rsidRDefault="00C45EA8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(changes in psy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chopathology from baseline to 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for all participants)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8031" w14:textId="6380DC68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-0.35(0.10)***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C857" w14:textId="15FE583E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-0.19(0.11)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AB10" w14:textId="6CB089E8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-0.19(0.12)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6F97" w14:textId="732484E1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0.02(0.13)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A11C" w14:textId="43816D93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-0.16(0.11)</w:t>
            </w:r>
          </w:p>
        </w:tc>
      </w:tr>
      <w:tr w:rsidR="00D70A17" w:rsidRPr="002577DE" w14:paraId="3171275E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5AB1" w14:textId="57BD8974" w:rsidR="00697E48" w:rsidRPr="002577DE" w:rsidRDefault="00C45EA8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* 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(different change of psychopathology for different insomnia symptoms)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E796" w14:textId="07D77053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0.01(0.10)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0A34" w14:textId="754F6DA6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0.21(0.11)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6D3F" w14:textId="25B0E7BD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0.34(0.11)*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C335" w14:textId="1E6430D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0.15(0.12)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A05E" w14:textId="39676D7B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0.00(0.11)</w:t>
            </w:r>
          </w:p>
        </w:tc>
      </w:tr>
      <w:tr w:rsidR="00697E48" w:rsidRPr="002577DE" w14:paraId="64FBF167" w14:textId="77777777" w:rsidTr="00D70A17">
        <w:trPr>
          <w:trHeight w:val="517"/>
        </w:trPr>
        <w:tc>
          <w:tcPr>
            <w:tcW w:w="14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0063B" w14:textId="77777777" w:rsidR="00697E48" w:rsidRPr="002577DE" w:rsidRDefault="00697E48" w:rsidP="001B067C">
            <w:pPr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Step 4</w:t>
            </w:r>
            <w:r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>a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– Model including treatment and insomnia symptoms as predictor for psychopathology</w:t>
            </w:r>
          </w:p>
        </w:tc>
      </w:tr>
      <w:tr w:rsidR="00D70A17" w:rsidRPr="002577DE" w14:paraId="2DC407D6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F2CE" w14:textId="06014894" w:rsidR="00697E48" w:rsidRPr="002577DE" w:rsidRDefault="00697E48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(at post-treatment as pre</w:t>
            </w:r>
            <w:r w:rsidR="00A832DF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dictor for psychopathology at 2-month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7A260" w14:textId="5951A146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0.42(0.09)***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190A" w14:textId="6DCF0878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0.15(0.10)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5825" w14:textId="13F09FCB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0.07(0.11)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502C" w14:textId="4E78989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0.12(0.11)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7276" w14:textId="35BDDB4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0.20(0.10)</w:t>
            </w:r>
          </w:p>
        </w:tc>
      </w:tr>
      <w:tr w:rsidR="00D70A17" w:rsidRPr="002577DE" w14:paraId="07F3D777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76F4" w14:textId="6D47CEBA" w:rsidR="00697E48" w:rsidRPr="002577DE" w:rsidRDefault="00320A26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Internet </w:t>
            </w:r>
            <w:r w:rsidR="00D70A17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CBTI 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(compared to waitlist at baseline)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6328" w14:textId="20D8CE5E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-0.45(0.18)*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BA50" w14:textId="7C0DD763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-0.12(0.21)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8586" w14:textId="1AEF0E9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-0.35(0.21)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4643" w14:textId="3B605DFA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0.10(0.23)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5759" w14:textId="1ADB975A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0.25(0.23)</w:t>
            </w:r>
          </w:p>
        </w:tc>
      </w:tr>
      <w:tr w:rsidR="00D70A17" w:rsidRPr="002577DE" w14:paraId="74AD3367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9373" w14:textId="4EC8C23A" w:rsidR="00697E48" w:rsidRPr="002577DE" w:rsidRDefault="00320A26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GB" w:eastAsia="en-US"/>
              </w:rPr>
              <w:t xml:space="preserve"> 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(compared to baseline)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647E" w14:textId="38D43808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-0.39(0.18)*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F4B7" w14:textId="16B95F72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-0.10(0.21)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DA23" w14:textId="73CF81F7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0.00(0.22)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3965" w14:textId="44482CFD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0.69(0.22)**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B8DF" w14:textId="4108DF86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0.00(0.20)</w:t>
            </w:r>
          </w:p>
        </w:tc>
      </w:tr>
      <w:tr w:rsidR="00D70A17" w:rsidRPr="002577DE" w14:paraId="38DF660D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E1F1" w14:textId="23753BB1" w:rsidR="00697E48" w:rsidRPr="002577DE" w:rsidRDefault="00320A26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Insomnia symptoms * 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(differe</w:t>
            </w: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ntial effects of treatment at 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 up for different changes in insomnia symptoms at post-treatment)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DA734" w14:textId="54FA2486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0.03(0.12)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48C3" w14:textId="1D7ED64C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0.18(0.13)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36A2" w14:textId="7EC2A828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0.26(0.13)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BDDE" w14:textId="59561863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-0.12(0.14)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BF66" w14:textId="2B9C45FC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-0.05(0.13)</w:t>
            </w:r>
          </w:p>
        </w:tc>
      </w:tr>
      <w:tr w:rsidR="00D70A17" w:rsidRPr="002577DE" w14:paraId="0111BFE0" w14:textId="77777777" w:rsidTr="00D70A17">
        <w:trPr>
          <w:trHeight w:val="587"/>
        </w:trPr>
        <w:tc>
          <w:tcPr>
            <w:tcW w:w="6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ACAD3" w14:textId="71724F79" w:rsidR="00697E48" w:rsidRPr="002577DE" w:rsidRDefault="00A832DF" w:rsidP="001B067C">
            <w:pPr>
              <w:ind w:left="191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Internet </w:t>
            </w:r>
            <w:r w:rsidR="00D70A17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CBTI</w:t>
            </w:r>
            <w:r w:rsidR="00320A26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* 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 (direct effect of treatment on psy</w:t>
            </w:r>
            <w:r w:rsidR="00320A26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chopathology from baseline to 2-month</w:t>
            </w:r>
            <w:r w:rsidR="00697E48"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 xml:space="preserve"> follow-up)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3F324" w14:textId="15A6D23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0.02(0.26)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39AE6" w14:textId="53AA2B4B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-0.19(0.29)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A35D5" w14:textId="6EE58C88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-0.34(0.30)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002C6" w14:textId="65EBA1E7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-1.12(0.30)***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729F8" w14:textId="236BF714" w:rsidR="00697E48" w:rsidRPr="002577DE" w:rsidRDefault="00697E48" w:rsidP="001B067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</w:pPr>
            <w:r w:rsidRPr="002577DE">
              <w:rPr>
                <w:rFonts w:eastAsia="Times New Roman"/>
                <w:color w:val="000000"/>
                <w:sz w:val="20"/>
                <w:szCs w:val="20"/>
                <w:lang w:val="en-GB" w:eastAsia="en-US"/>
              </w:rPr>
              <w:t>-0.28(0.28)</w:t>
            </w:r>
          </w:p>
        </w:tc>
      </w:tr>
    </w:tbl>
    <w:p w14:paraId="2F871998" w14:textId="41818C49" w:rsidR="00921480" w:rsidRPr="00320A26" w:rsidRDefault="00921480" w:rsidP="00921480">
      <w:pPr>
        <w:rPr>
          <w:lang w:val="en-GB"/>
        </w:rPr>
      </w:pPr>
      <w:r w:rsidRPr="002577DE">
        <w:rPr>
          <w:lang w:val="en-GB"/>
        </w:rPr>
        <w:t xml:space="preserve">*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&lt; .05, **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&lt; .01, *** </w:t>
      </w:r>
      <w:r w:rsidRPr="002577DE">
        <w:rPr>
          <w:i/>
          <w:lang w:val="en-GB"/>
        </w:rPr>
        <w:t>p</w:t>
      </w:r>
      <w:r w:rsidRPr="002577DE">
        <w:rPr>
          <w:lang w:val="en-GB"/>
        </w:rPr>
        <w:t xml:space="preserve"> &lt; .001.</w:t>
      </w:r>
      <w:r w:rsidR="00D70A17" w:rsidRPr="002577DE">
        <w:rPr>
          <w:lang w:val="en-GB"/>
        </w:rPr>
        <w:t xml:space="preserve"> CBTI = cognitive behavio</w:t>
      </w:r>
      <w:r w:rsidR="00DA526B" w:rsidRPr="002577DE">
        <w:rPr>
          <w:lang w:val="en-GB"/>
        </w:rPr>
        <w:t>u</w:t>
      </w:r>
      <w:r w:rsidR="00D70A17" w:rsidRPr="002577DE">
        <w:rPr>
          <w:lang w:val="en-GB"/>
        </w:rPr>
        <w:t>ral therapy for insomnia.</w:t>
      </w:r>
      <w:r w:rsidRPr="002577DE">
        <w:rPr>
          <w:lang w:val="en-GB"/>
        </w:rPr>
        <w:br/>
      </w:r>
      <w:proofErr w:type="spellStart"/>
      <w:r w:rsidRPr="002577DE">
        <w:rPr>
          <w:vertAlign w:val="superscript"/>
          <w:lang w:val="en-GB"/>
        </w:rPr>
        <w:t>a</w:t>
      </w:r>
      <w:r w:rsidRPr="002577DE">
        <w:rPr>
          <w:lang w:val="en-GB"/>
        </w:rPr>
        <w:t>Mediation</w:t>
      </w:r>
      <w:proofErr w:type="spellEnd"/>
      <w:r w:rsidRPr="002577DE">
        <w:rPr>
          <w:lang w:val="en-GB"/>
        </w:rPr>
        <w:t xml:space="preserve"> analysis showing results for steps 3 (insomnia</w:t>
      </w:r>
      <w:r w:rsidR="00AE1A73" w:rsidRPr="002577DE">
        <w:rPr>
          <w:lang w:val="en-GB"/>
        </w:rPr>
        <w:t xml:space="preserve"> symptoms</w:t>
      </w:r>
      <w:r w:rsidRPr="002577DE">
        <w:rPr>
          <w:lang w:val="en-GB"/>
        </w:rPr>
        <w:t xml:space="preserve"> </w:t>
      </w:r>
      <w:r w:rsidR="00AE1A73" w:rsidRPr="002577DE">
        <w:rPr>
          <w:lang w:val="en-GB"/>
        </w:rPr>
        <w:t>are</w:t>
      </w:r>
      <w:r w:rsidRPr="002577DE">
        <w:rPr>
          <w:lang w:val="en-GB"/>
        </w:rPr>
        <w:t xml:space="preserve"> a significant predictor for </w:t>
      </w:r>
      <w:r w:rsidR="00AE1A73" w:rsidRPr="002577DE">
        <w:rPr>
          <w:lang w:val="en-GB"/>
        </w:rPr>
        <w:t>psychopathology</w:t>
      </w:r>
      <w:r w:rsidRPr="002577DE">
        <w:rPr>
          <w:lang w:val="en-GB"/>
        </w:rPr>
        <w:t>) and 4 (significant direct effect of predictor treatment</w:t>
      </w:r>
      <w:r w:rsidR="00DA526B" w:rsidRPr="002577DE">
        <w:rPr>
          <w:lang w:val="en-GB"/>
        </w:rPr>
        <w:t xml:space="preserve"> by Internet </w:t>
      </w:r>
      <w:r w:rsidR="00D70A17" w:rsidRPr="002577DE">
        <w:rPr>
          <w:lang w:val="en-GB"/>
        </w:rPr>
        <w:t>CBTI</w:t>
      </w:r>
      <w:r w:rsidRPr="002577DE">
        <w:rPr>
          <w:lang w:val="en-GB"/>
        </w:rPr>
        <w:t xml:space="preserve"> is no longer significant in a model with insomnia symptoms as predictor for </w:t>
      </w:r>
      <w:r w:rsidR="00AE1A73" w:rsidRPr="002577DE">
        <w:rPr>
          <w:lang w:val="en-GB"/>
        </w:rPr>
        <w:t>psychopathology</w:t>
      </w:r>
      <w:r w:rsidRPr="002577DE">
        <w:rPr>
          <w:lang w:val="en-GB"/>
        </w:rPr>
        <w:t>) of the four-step approach</w:t>
      </w:r>
      <w:r w:rsidR="00C23120" w:rsidRPr="002577DE">
        <w:rPr>
          <w:lang w:val="en-GB"/>
        </w:rPr>
        <w:t xml:space="preserve"> (</w:t>
      </w:r>
      <w:r w:rsidR="00D70A17" w:rsidRPr="002577DE">
        <w:rPr>
          <w:lang w:val="en-GB"/>
        </w:rPr>
        <w:t xml:space="preserve">Hayes, 2013; </w:t>
      </w:r>
      <w:r w:rsidR="00C23120" w:rsidRPr="002577DE">
        <w:rPr>
          <w:lang w:val="en-GB"/>
        </w:rPr>
        <w:t>Preacher &amp; Hayes, 2004; Mackinnon</w:t>
      </w:r>
      <w:r w:rsidR="00263DE4" w:rsidRPr="002577DE">
        <w:rPr>
          <w:lang w:val="en-GB"/>
        </w:rPr>
        <w:t xml:space="preserve"> et al.</w:t>
      </w:r>
      <w:r w:rsidR="00C23120" w:rsidRPr="002577DE">
        <w:rPr>
          <w:lang w:val="en-GB"/>
        </w:rPr>
        <w:t>, 2002)</w:t>
      </w:r>
      <w:r w:rsidRPr="002577DE">
        <w:rPr>
          <w:lang w:val="en-GB"/>
        </w:rPr>
        <w:t>.</w:t>
      </w:r>
    </w:p>
    <w:p w14:paraId="6CEDB05C" w14:textId="77777777" w:rsidR="00921480" w:rsidRPr="00320A26" w:rsidRDefault="00921480" w:rsidP="00921480">
      <w:pPr>
        <w:rPr>
          <w:lang w:val="en-GB"/>
        </w:rPr>
      </w:pPr>
    </w:p>
    <w:p w14:paraId="1F64EE5E" w14:textId="1CAD0AAD" w:rsidR="00491AAD" w:rsidRPr="00320A26" w:rsidRDefault="00491AAD" w:rsidP="0065749B">
      <w:pPr>
        <w:spacing w:line="480" w:lineRule="auto"/>
        <w:rPr>
          <w:lang w:val="en-GB"/>
        </w:rPr>
      </w:pPr>
    </w:p>
    <w:sectPr w:rsidR="00491AAD" w:rsidRPr="00320A26" w:rsidSect="00376B8C">
      <w:pgSz w:w="16840" w:h="11901" w:orient="landscape"/>
      <w:pgMar w:top="851" w:right="851" w:bottom="851" w:left="85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C1C0" w14:textId="77777777" w:rsidR="00802AE9" w:rsidRDefault="00802AE9" w:rsidP="00CB607A">
      <w:r>
        <w:separator/>
      </w:r>
    </w:p>
  </w:endnote>
  <w:endnote w:type="continuationSeparator" w:id="0">
    <w:p w14:paraId="08576BA6" w14:textId="77777777" w:rsidR="00802AE9" w:rsidRDefault="00802AE9" w:rsidP="00CB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BD00F" w14:textId="77777777" w:rsidR="00A75873" w:rsidRDefault="00A75873" w:rsidP="00DA52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72DFAE" w14:textId="77777777" w:rsidR="00A75873" w:rsidRDefault="00A75873" w:rsidP="00C775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04D46" w14:textId="5E15A2A4" w:rsidR="00A75873" w:rsidRDefault="00A75873" w:rsidP="00DA52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6F0D">
      <w:rPr>
        <w:rStyle w:val="PageNumber"/>
        <w:noProof/>
      </w:rPr>
      <w:t>7</w:t>
    </w:r>
    <w:r>
      <w:rPr>
        <w:rStyle w:val="PageNumber"/>
      </w:rPr>
      <w:fldChar w:fldCharType="end"/>
    </w:r>
  </w:p>
  <w:p w14:paraId="181E00C5" w14:textId="77777777" w:rsidR="00A75873" w:rsidRDefault="00A75873" w:rsidP="00C775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7BFF1" w14:textId="77777777" w:rsidR="00802AE9" w:rsidRDefault="00802AE9" w:rsidP="00CB607A">
      <w:r>
        <w:separator/>
      </w:r>
    </w:p>
  </w:footnote>
  <w:footnote w:type="continuationSeparator" w:id="0">
    <w:p w14:paraId="34C3D1E5" w14:textId="77777777" w:rsidR="00802AE9" w:rsidRDefault="00802AE9" w:rsidP="00CB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0F"/>
    <w:rsid w:val="00000D2C"/>
    <w:rsid w:val="00005B1F"/>
    <w:rsid w:val="000070E6"/>
    <w:rsid w:val="000110E2"/>
    <w:rsid w:val="000113C6"/>
    <w:rsid w:val="0001152A"/>
    <w:rsid w:val="00011FDD"/>
    <w:rsid w:val="0001447C"/>
    <w:rsid w:val="00014F77"/>
    <w:rsid w:val="00015A50"/>
    <w:rsid w:val="00015CDA"/>
    <w:rsid w:val="00021002"/>
    <w:rsid w:val="000249AE"/>
    <w:rsid w:val="00026C4E"/>
    <w:rsid w:val="00026CAC"/>
    <w:rsid w:val="00030F42"/>
    <w:rsid w:val="00031732"/>
    <w:rsid w:val="000317D1"/>
    <w:rsid w:val="00037068"/>
    <w:rsid w:val="000418B9"/>
    <w:rsid w:val="000420A1"/>
    <w:rsid w:val="000422F3"/>
    <w:rsid w:val="00047168"/>
    <w:rsid w:val="00054D55"/>
    <w:rsid w:val="000558DF"/>
    <w:rsid w:val="0006266D"/>
    <w:rsid w:val="000645F5"/>
    <w:rsid w:val="00064752"/>
    <w:rsid w:val="00072E06"/>
    <w:rsid w:val="0007464D"/>
    <w:rsid w:val="00077594"/>
    <w:rsid w:val="00080F4F"/>
    <w:rsid w:val="0008561B"/>
    <w:rsid w:val="000920E3"/>
    <w:rsid w:val="00094FA1"/>
    <w:rsid w:val="0009794C"/>
    <w:rsid w:val="000A3D65"/>
    <w:rsid w:val="000A3F05"/>
    <w:rsid w:val="000A42C5"/>
    <w:rsid w:val="000A67F5"/>
    <w:rsid w:val="000B0688"/>
    <w:rsid w:val="000B58FF"/>
    <w:rsid w:val="000B79AC"/>
    <w:rsid w:val="000B79DA"/>
    <w:rsid w:val="000C091F"/>
    <w:rsid w:val="000C0942"/>
    <w:rsid w:val="000C1235"/>
    <w:rsid w:val="000C138F"/>
    <w:rsid w:val="000C29F9"/>
    <w:rsid w:val="000C2E91"/>
    <w:rsid w:val="000C3E85"/>
    <w:rsid w:val="000C4446"/>
    <w:rsid w:val="000C4B56"/>
    <w:rsid w:val="000C64EC"/>
    <w:rsid w:val="000D0272"/>
    <w:rsid w:val="000D09CB"/>
    <w:rsid w:val="000D1436"/>
    <w:rsid w:val="000D18F7"/>
    <w:rsid w:val="000D2A1C"/>
    <w:rsid w:val="000D3C76"/>
    <w:rsid w:val="000D5984"/>
    <w:rsid w:val="000D5E3A"/>
    <w:rsid w:val="000D7659"/>
    <w:rsid w:val="000E682B"/>
    <w:rsid w:val="000E7FB4"/>
    <w:rsid w:val="000F2E57"/>
    <w:rsid w:val="000F64A5"/>
    <w:rsid w:val="000F6FF6"/>
    <w:rsid w:val="000F7A28"/>
    <w:rsid w:val="00100300"/>
    <w:rsid w:val="00102188"/>
    <w:rsid w:val="0010576E"/>
    <w:rsid w:val="00105D63"/>
    <w:rsid w:val="00112E50"/>
    <w:rsid w:val="0011402B"/>
    <w:rsid w:val="00120535"/>
    <w:rsid w:val="001215FC"/>
    <w:rsid w:val="001220D3"/>
    <w:rsid w:val="00123E18"/>
    <w:rsid w:val="00124ADA"/>
    <w:rsid w:val="00136613"/>
    <w:rsid w:val="00140A26"/>
    <w:rsid w:val="00140AEB"/>
    <w:rsid w:val="00144DB2"/>
    <w:rsid w:val="00150B3A"/>
    <w:rsid w:val="0015151B"/>
    <w:rsid w:val="00162341"/>
    <w:rsid w:val="001648CD"/>
    <w:rsid w:val="00171874"/>
    <w:rsid w:val="00171CB6"/>
    <w:rsid w:val="00172253"/>
    <w:rsid w:val="0017228F"/>
    <w:rsid w:val="00173453"/>
    <w:rsid w:val="00181A42"/>
    <w:rsid w:val="00182E61"/>
    <w:rsid w:val="0018351E"/>
    <w:rsid w:val="001859F6"/>
    <w:rsid w:val="00191E1B"/>
    <w:rsid w:val="00193904"/>
    <w:rsid w:val="00194CE9"/>
    <w:rsid w:val="001975AC"/>
    <w:rsid w:val="00197BA5"/>
    <w:rsid w:val="001A1268"/>
    <w:rsid w:val="001A2A9A"/>
    <w:rsid w:val="001A6430"/>
    <w:rsid w:val="001A69D9"/>
    <w:rsid w:val="001B067C"/>
    <w:rsid w:val="001B361E"/>
    <w:rsid w:val="001B3891"/>
    <w:rsid w:val="001B7B1C"/>
    <w:rsid w:val="001C1814"/>
    <w:rsid w:val="001C37E9"/>
    <w:rsid w:val="001C3BDA"/>
    <w:rsid w:val="001C4F9F"/>
    <w:rsid w:val="001C50CE"/>
    <w:rsid w:val="001C56C8"/>
    <w:rsid w:val="001C5B25"/>
    <w:rsid w:val="001C684A"/>
    <w:rsid w:val="001C6C71"/>
    <w:rsid w:val="001D29DB"/>
    <w:rsid w:val="001D4603"/>
    <w:rsid w:val="001E6A85"/>
    <w:rsid w:val="001E6D9D"/>
    <w:rsid w:val="001E74D3"/>
    <w:rsid w:val="001F2744"/>
    <w:rsid w:val="001F3ACF"/>
    <w:rsid w:val="002027AD"/>
    <w:rsid w:val="00206419"/>
    <w:rsid w:val="00220F37"/>
    <w:rsid w:val="0022204F"/>
    <w:rsid w:val="00223AE3"/>
    <w:rsid w:val="00224EE2"/>
    <w:rsid w:val="0022605E"/>
    <w:rsid w:val="00232AC4"/>
    <w:rsid w:val="002343C9"/>
    <w:rsid w:val="00234CB8"/>
    <w:rsid w:val="00247C5D"/>
    <w:rsid w:val="002510C5"/>
    <w:rsid w:val="00252454"/>
    <w:rsid w:val="00252751"/>
    <w:rsid w:val="00252BE5"/>
    <w:rsid w:val="00252F01"/>
    <w:rsid w:val="002539CA"/>
    <w:rsid w:val="0025557B"/>
    <w:rsid w:val="002571BF"/>
    <w:rsid w:val="002577DE"/>
    <w:rsid w:val="002611AD"/>
    <w:rsid w:val="00262296"/>
    <w:rsid w:val="00263DE4"/>
    <w:rsid w:val="00264BE3"/>
    <w:rsid w:val="00265616"/>
    <w:rsid w:val="00266859"/>
    <w:rsid w:val="00276712"/>
    <w:rsid w:val="00277CBC"/>
    <w:rsid w:val="00277D19"/>
    <w:rsid w:val="002802B5"/>
    <w:rsid w:val="0028115D"/>
    <w:rsid w:val="002831BA"/>
    <w:rsid w:val="00284932"/>
    <w:rsid w:val="002915DA"/>
    <w:rsid w:val="00292423"/>
    <w:rsid w:val="0029412F"/>
    <w:rsid w:val="002972EC"/>
    <w:rsid w:val="00297C33"/>
    <w:rsid w:val="002A16E7"/>
    <w:rsid w:val="002A5E4F"/>
    <w:rsid w:val="002A6B6A"/>
    <w:rsid w:val="002B0023"/>
    <w:rsid w:val="002B1EB1"/>
    <w:rsid w:val="002B27EA"/>
    <w:rsid w:val="002B296A"/>
    <w:rsid w:val="002B3E71"/>
    <w:rsid w:val="002B68DB"/>
    <w:rsid w:val="002C15E3"/>
    <w:rsid w:val="002C2B72"/>
    <w:rsid w:val="002C3C57"/>
    <w:rsid w:val="002C4875"/>
    <w:rsid w:val="002C4C53"/>
    <w:rsid w:val="002C5A15"/>
    <w:rsid w:val="002C653E"/>
    <w:rsid w:val="002C7DD9"/>
    <w:rsid w:val="002D1492"/>
    <w:rsid w:val="002D3B05"/>
    <w:rsid w:val="002D60BF"/>
    <w:rsid w:val="002D6DFB"/>
    <w:rsid w:val="002D724C"/>
    <w:rsid w:val="002E2142"/>
    <w:rsid w:val="002E21CF"/>
    <w:rsid w:val="002E2283"/>
    <w:rsid w:val="002E25F1"/>
    <w:rsid w:val="002E3B56"/>
    <w:rsid w:val="002E65F8"/>
    <w:rsid w:val="002F729E"/>
    <w:rsid w:val="00305D82"/>
    <w:rsid w:val="00306413"/>
    <w:rsid w:val="00306D78"/>
    <w:rsid w:val="00310198"/>
    <w:rsid w:val="00311824"/>
    <w:rsid w:val="0031304B"/>
    <w:rsid w:val="003148E2"/>
    <w:rsid w:val="00316CBF"/>
    <w:rsid w:val="00320A26"/>
    <w:rsid w:val="00321F8E"/>
    <w:rsid w:val="0032209B"/>
    <w:rsid w:val="00324092"/>
    <w:rsid w:val="0032610A"/>
    <w:rsid w:val="0033123D"/>
    <w:rsid w:val="003315EB"/>
    <w:rsid w:val="003319DD"/>
    <w:rsid w:val="00331ED9"/>
    <w:rsid w:val="003342BF"/>
    <w:rsid w:val="00335C33"/>
    <w:rsid w:val="00336255"/>
    <w:rsid w:val="00336BDC"/>
    <w:rsid w:val="003376C9"/>
    <w:rsid w:val="00342D62"/>
    <w:rsid w:val="003436F4"/>
    <w:rsid w:val="003437C2"/>
    <w:rsid w:val="003438EA"/>
    <w:rsid w:val="00343E53"/>
    <w:rsid w:val="00346693"/>
    <w:rsid w:val="0034717C"/>
    <w:rsid w:val="00350996"/>
    <w:rsid w:val="00350E01"/>
    <w:rsid w:val="00352FB9"/>
    <w:rsid w:val="00353BA9"/>
    <w:rsid w:val="00362A7D"/>
    <w:rsid w:val="00366F6D"/>
    <w:rsid w:val="00371772"/>
    <w:rsid w:val="00371F1B"/>
    <w:rsid w:val="00372EA2"/>
    <w:rsid w:val="00374AB2"/>
    <w:rsid w:val="00375C60"/>
    <w:rsid w:val="003769C9"/>
    <w:rsid w:val="00376B8C"/>
    <w:rsid w:val="003776C9"/>
    <w:rsid w:val="00381462"/>
    <w:rsid w:val="003819D0"/>
    <w:rsid w:val="00382B00"/>
    <w:rsid w:val="00385373"/>
    <w:rsid w:val="00392A71"/>
    <w:rsid w:val="003940D4"/>
    <w:rsid w:val="003A131A"/>
    <w:rsid w:val="003A3B91"/>
    <w:rsid w:val="003B56A8"/>
    <w:rsid w:val="003B5D95"/>
    <w:rsid w:val="003B6037"/>
    <w:rsid w:val="003B76E7"/>
    <w:rsid w:val="003C254F"/>
    <w:rsid w:val="003C2DC4"/>
    <w:rsid w:val="003C42B9"/>
    <w:rsid w:val="003C76E3"/>
    <w:rsid w:val="003D4140"/>
    <w:rsid w:val="003D469B"/>
    <w:rsid w:val="003D5AB8"/>
    <w:rsid w:val="003D6879"/>
    <w:rsid w:val="003E5AFC"/>
    <w:rsid w:val="003E64B0"/>
    <w:rsid w:val="003E71BA"/>
    <w:rsid w:val="003F0ECB"/>
    <w:rsid w:val="003F3ED1"/>
    <w:rsid w:val="003F4C38"/>
    <w:rsid w:val="003F61C7"/>
    <w:rsid w:val="00421359"/>
    <w:rsid w:val="00422083"/>
    <w:rsid w:val="004224D7"/>
    <w:rsid w:val="00422AA0"/>
    <w:rsid w:val="00424F5B"/>
    <w:rsid w:val="004260B3"/>
    <w:rsid w:val="00427536"/>
    <w:rsid w:val="004328C9"/>
    <w:rsid w:val="0043412B"/>
    <w:rsid w:val="00435B56"/>
    <w:rsid w:val="0043607A"/>
    <w:rsid w:val="004360C4"/>
    <w:rsid w:val="00436986"/>
    <w:rsid w:val="004436B2"/>
    <w:rsid w:val="004458D6"/>
    <w:rsid w:val="0044609B"/>
    <w:rsid w:val="00446340"/>
    <w:rsid w:val="00453DA4"/>
    <w:rsid w:val="00456F8A"/>
    <w:rsid w:val="00464CC4"/>
    <w:rsid w:val="00467A0E"/>
    <w:rsid w:val="00474702"/>
    <w:rsid w:val="004758FD"/>
    <w:rsid w:val="00475B39"/>
    <w:rsid w:val="0048058C"/>
    <w:rsid w:val="00482B06"/>
    <w:rsid w:val="00482BB9"/>
    <w:rsid w:val="00490FE2"/>
    <w:rsid w:val="004911BC"/>
    <w:rsid w:val="00491AAD"/>
    <w:rsid w:val="004978A2"/>
    <w:rsid w:val="004A485C"/>
    <w:rsid w:val="004A5272"/>
    <w:rsid w:val="004A7216"/>
    <w:rsid w:val="004B39B7"/>
    <w:rsid w:val="004B4BAA"/>
    <w:rsid w:val="004B7F48"/>
    <w:rsid w:val="004C3D06"/>
    <w:rsid w:val="004C5FE0"/>
    <w:rsid w:val="004E1749"/>
    <w:rsid w:val="004E2A2C"/>
    <w:rsid w:val="004E3881"/>
    <w:rsid w:val="004E39C7"/>
    <w:rsid w:val="004E4D09"/>
    <w:rsid w:val="004E6BAC"/>
    <w:rsid w:val="004E7DB1"/>
    <w:rsid w:val="004F2602"/>
    <w:rsid w:val="00501092"/>
    <w:rsid w:val="00503F1B"/>
    <w:rsid w:val="00504A17"/>
    <w:rsid w:val="00504A77"/>
    <w:rsid w:val="00510ED1"/>
    <w:rsid w:val="005138E9"/>
    <w:rsid w:val="005151C0"/>
    <w:rsid w:val="0051573B"/>
    <w:rsid w:val="00517EE4"/>
    <w:rsid w:val="00521B29"/>
    <w:rsid w:val="005221C9"/>
    <w:rsid w:val="0052246E"/>
    <w:rsid w:val="00522750"/>
    <w:rsid w:val="00522CA2"/>
    <w:rsid w:val="0052475E"/>
    <w:rsid w:val="005256C5"/>
    <w:rsid w:val="00527BBB"/>
    <w:rsid w:val="00535C08"/>
    <w:rsid w:val="0054019F"/>
    <w:rsid w:val="0054240C"/>
    <w:rsid w:val="00543474"/>
    <w:rsid w:val="00543F35"/>
    <w:rsid w:val="00544324"/>
    <w:rsid w:val="00546C49"/>
    <w:rsid w:val="00555F0D"/>
    <w:rsid w:val="0056510E"/>
    <w:rsid w:val="005718F5"/>
    <w:rsid w:val="00573B5B"/>
    <w:rsid w:val="005766C3"/>
    <w:rsid w:val="005823CC"/>
    <w:rsid w:val="00586B98"/>
    <w:rsid w:val="00591593"/>
    <w:rsid w:val="005915F6"/>
    <w:rsid w:val="00594450"/>
    <w:rsid w:val="00595AF5"/>
    <w:rsid w:val="005A0B3B"/>
    <w:rsid w:val="005A267E"/>
    <w:rsid w:val="005A2ABD"/>
    <w:rsid w:val="005A312F"/>
    <w:rsid w:val="005A3A1A"/>
    <w:rsid w:val="005B7316"/>
    <w:rsid w:val="005C1C77"/>
    <w:rsid w:val="005C2766"/>
    <w:rsid w:val="005D0CD6"/>
    <w:rsid w:val="005D2293"/>
    <w:rsid w:val="005D2FD8"/>
    <w:rsid w:val="005D5443"/>
    <w:rsid w:val="005D7D47"/>
    <w:rsid w:val="005D7E33"/>
    <w:rsid w:val="005E0AC4"/>
    <w:rsid w:val="005E146C"/>
    <w:rsid w:val="005E5E20"/>
    <w:rsid w:val="005E6EDD"/>
    <w:rsid w:val="005E7B70"/>
    <w:rsid w:val="005F2579"/>
    <w:rsid w:val="005F2A2D"/>
    <w:rsid w:val="005F5FD0"/>
    <w:rsid w:val="00603135"/>
    <w:rsid w:val="00603902"/>
    <w:rsid w:val="006058E7"/>
    <w:rsid w:val="006103B8"/>
    <w:rsid w:val="00610744"/>
    <w:rsid w:val="00610904"/>
    <w:rsid w:val="006170BB"/>
    <w:rsid w:val="006200A7"/>
    <w:rsid w:val="00623FBA"/>
    <w:rsid w:val="006255A1"/>
    <w:rsid w:val="006264E6"/>
    <w:rsid w:val="00633DA8"/>
    <w:rsid w:val="00635FA8"/>
    <w:rsid w:val="0063705C"/>
    <w:rsid w:val="00641926"/>
    <w:rsid w:val="00644AC3"/>
    <w:rsid w:val="00644D16"/>
    <w:rsid w:val="006519D2"/>
    <w:rsid w:val="00652BDE"/>
    <w:rsid w:val="0065354E"/>
    <w:rsid w:val="00655133"/>
    <w:rsid w:val="00655785"/>
    <w:rsid w:val="006560DC"/>
    <w:rsid w:val="00656448"/>
    <w:rsid w:val="006569D0"/>
    <w:rsid w:val="00656E97"/>
    <w:rsid w:val="0065749B"/>
    <w:rsid w:val="00657A35"/>
    <w:rsid w:val="00670DA8"/>
    <w:rsid w:val="0067140B"/>
    <w:rsid w:val="00672159"/>
    <w:rsid w:val="00677B29"/>
    <w:rsid w:val="00683052"/>
    <w:rsid w:val="006911A1"/>
    <w:rsid w:val="00691506"/>
    <w:rsid w:val="0069265B"/>
    <w:rsid w:val="00695471"/>
    <w:rsid w:val="00696284"/>
    <w:rsid w:val="00697E48"/>
    <w:rsid w:val="006A2331"/>
    <w:rsid w:val="006A29CE"/>
    <w:rsid w:val="006A345D"/>
    <w:rsid w:val="006A40E1"/>
    <w:rsid w:val="006A4EE6"/>
    <w:rsid w:val="006A67B3"/>
    <w:rsid w:val="006A70A0"/>
    <w:rsid w:val="006A786B"/>
    <w:rsid w:val="006B5998"/>
    <w:rsid w:val="006B5AB7"/>
    <w:rsid w:val="006B7035"/>
    <w:rsid w:val="006C05E0"/>
    <w:rsid w:val="006C0BC7"/>
    <w:rsid w:val="006C1F10"/>
    <w:rsid w:val="006C1FA8"/>
    <w:rsid w:val="006C2421"/>
    <w:rsid w:val="006C2C46"/>
    <w:rsid w:val="006C3346"/>
    <w:rsid w:val="006C5183"/>
    <w:rsid w:val="006C5DE3"/>
    <w:rsid w:val="006C7326"/>
    <w:rsid w:val="006C7695"/>
    <w:rsid w:val="006C7A68"/>
    <w:rsid w:val="006D17DC"/>
    <w:rsid w:val="006D263A"/>
    <w:rsid w:val="006D3C15"/>
    <w:rsid w:val="006D4A2A"/>
    <w:rsid w:val="006D58CC"/>
    <w:rsid w:val="006E0349"/>
    <w:rsid w:val="006E6265"/>
    <w:rsid w:val="006F19F1"/>
    <w:rsid w:val="006F1A69"/>
    <w:rsid w:val="006F3AA0"/>
    <w:rsid w:val="006F4227"/>
    <w:rsid w:val="006F70D5"/>
    <w:rsid w:val="00702CF3"/>
    <w:rsid w:val="00703E19"/>
    <w:rsid w:val="00703E86"/>
    <w:rsid w:val="007051DF"/>
    <w:rsid w:val="007057BB"/>
    <w:rsid w:val="007109EB"/>
    <w:rsid w:val="00712A9B"/>
    <w:rsid w:val="00716012"/>
    <w:rsid w:val="00716497"/>
    <w:rsid w:val="00716A19"/>
    <w:rsid w:val="00720220"/>
    <w:rsid w:val="00722A57"/>
    <w:rsid w:val="00723AA2"/>
    <w:rsid w:val="007240A4"/>
    <w:rsid w:val="0072630D"/>
    <w:rsid w:val="007266E7"/>
    <w:rsid w:val="007310EC"/>
    <w:rsid w:val="00731D50"/>
    <w:rsid w:val="0073441B"/>
    <w:rsid w:val="0073742A"/>
    <w:rsid w:val="00740BDA"/>
    <w:rsid w:val="00743B7E"/>
    <w:rsid w:val="00743CF0"/>
    <w:rsid w:val="00744A1A"/>
    <w:rsid w:val="007460E8"/>
    <w:rsid w:val="007468E3"/>
    <w:rsid w:val="0075281B"/>
    <w:rsid w:val="00753EA8"/>
    <w:rsid w:val="00754FC7"/>
    <w:rsid w:val="007554CD"/>
    <w:rsid w:val="007608C6"/>
    <w:rsid w:val="007648D0"/>
    <w:rsid w:val="00765C2A"/>
    <w:rsid w:val="00770D6F"/>
    <w:rsid w:val="00772888"/>
    <w:rsid w:val="00775673"/>
    <w:rsid w:val="00777505"/>
    <w:rsid w:val="00787719"/>
    <w:rsid w:val="007902BE"/>
    <w:rsid w:val="00791D0A"/>
    <w:rsid w:val="0079352F"/>
    <w:rsid w:val="00794C6F"/>
    <w:rsid w:val="007A3762"/>
    <w:rsid w:val="007A48CE"/>
    <w:rsid w:val="007A5D25"/>
    <w:rsid w:val="007A6F37"/>
    <w:rsid w:val="007B2518"/>
    <w:rsid w:val="007B3C80"/>
    <w:rsid w:val="007B7E21"/>
    <w:rsid w:val="007C11AA"/>
    <w:rsid w:val="007C24E5"/>
    <w:rsid w:val="007C3BB1"/>
    <w:rsid w:val="007C58D8"/>
    <w:rsid w:val="007C7741"/>
    <w:rsid w:val="007D18E9"/>
    <w:rsid w:val="007D73A8"/>
    <w:rsid w:val="007E04E3"/>
    <w:rsid w:val="007E08A2"/>
    <w:rsid w:val="007E18E5"/>
    <w:rsid w:val="007E3F3C"/>
    <w:rsid w:val="007E4DB0"/>
    <w:rsid w:val="007E5361"/>
    <w:rsid w:val="007E72AF"/>
    <w:rsid w:val="007F0078"/>
    <w:rsid w:val="007F388F"/>
    <w:rsid w:val="007F4CFB"/>
    <w:rsid w:val="007F5F2B"/>
    <w:rsid w:val="0080139A"/>
    <w:rsid w:val="00802AE9"/>
    <w:rsid w:val="0080655D"/>
    <w:rsid w:val="008130C7"/>
    <w:rsid w:val="008132B6"/>
    <w:rsid w:val="00813955"/>
    <w:rsid w:val="0081610E"/>
    <w:rsid w:val="00816F0D"/>
    <w:rsid w:val="008230A3"/>
    <w:rsid w:val="00823768"/>
    <w:rsid w:val="00824985"/>
    <w:rsid w:val="00826F6A"/>
    <w:rsid w:val="0082748F"/>
    <w:rsid w:val="0083060F"/>
    <w:rsid w:val="00832D17"/>
    <w:rsid w:val="00834821"/>
    <w:rsid w:val="00836528"/>
    <w:rsid w:val="00837536"/>
    <w:rsid w:val="00837A49"/>
    <w:rsid w:val="00842C28"/>
    <w:rsid w:val="008431C1"/>
    <w:rsid w:val="008525C8"/>
    <w:rsid w:val="0085260E"/>
    <w:rsid w:val="00852C99"/>
    <w:rsid w:val="0085458B"/>
    <w:rsid w:val="008564CB"/>
    <w:rsid w:val="0086131A"/>
    <w:rsid w:val="00863647"/>
    <w:rsid w:val="008705E5"/>
    <w:rsid w:val="00870A84"/>
    <w:rsid w:val="0087396D"/>
    <w:rsid w:val="00876004"/>
    <w:rsid w:val="00880902"/>
    <w:rsid w:val="00880B0E"/>
    <w:rsid w:val="00885208"/>
    <w:rsid w:val="00886686"/>
    <w:rsid w:val="008873E8"/>
    <w:rsid w:val="008924E3"/>
    <w:rsid w:val="008934B5"/>
    <w:rsid w:val="008A3D38"/>
    <w:rsid w:val="008A4788"/>
    <w:rsid w:val="008A6444"/>
    <w:rsid w:val="008A6CFC"/>
    <w:rsid w:val="008B04CA"/>
    <w:rsid w:val="008B0980"/>
    <w:rsid w:val="008B2688"/>
    <w:rsid w:val="008B3A41"/>
    <w:rsid w:val="008B70EF"/>
    <w:rsid w:val="008C4CA3"/>
    <w:rsid w:val="008D1058"/>
    <w:rsid w:val="008D1414"/>
    <w:rsid w:val="008D15F8"/>
    <w:rsid w:val="008D1E74"/>
    <w:rsid w:val="008D1FCB"/>
    <w:rsid w:val="008D2C6B"/>
    <w:rsid w:val="008D2C8D"/>
    <w:rsid w:val="008D3264"/>
    <w:rsid w:val="008D35DB"/>
    <w:rsid w:val="008D4687"/>
    <w:rsid w:val="008D6208"/>
    <w:rsid w:val="008D6C73"/>
    <w:rsid w:val="008D6E2E"/>
    <w:rsid w:val="008E0729"/>
    <w:rsid w:val="008E089A"/>
    <w:rsid w:val="008E1040"/>
    <w:rsid w:val="008E3A88"/>
    <w:rsid w:val="008E7296"/>
    <w:rsid w:val="008F0D41"/>
    <w:rsid w:val="008F0D42"/>
    <w:rsid w:val="008F29B1"/>
    <w:rsid w:val="008F7A83"/>
    <w:rsid w:val="009010AA"/>
    <w:rsid w:val="0090243C"/>
    <w:rsid w:val="00904C50"/>
    <w:rsid w:val="00905187"/>
    <w:rsid w:val="009054A5"/>
    <w:rsid w:val="00906DCB"/>
    <w:rsid w:val="00911F85"/>
    <w:rsid w:val="00912C1D"/>
    <w:rsid w:val="00914B21"/>
    <w:rsid w:val="00914F65"/>
    <w:rsid w:val="00921480"/>
    <w:rsid w:val="0092228D"/>
    <w:rsid w:val="00924E76"/>
    <w:rsid w:val="00927F30"/>
    <w:rsid w:val="00930224"/>
    <w:rsid w:val="00931C33"/>
    <w:rsid w:val="009332F3"/>
    <w:rsid w:val="00934402"/>
    <w:rsid w:val="00935722"/>
    <w:rsid w:val="00936AC9"/>
    <w:rsid w:val="00936FB3"/>
    <w:rsid w:val="00937760"/>
    <w:rsid w:val="00940891"/>
    <w:rsid w:val="00940AE1"/>
    <w:rsid w:val="00940C99"/>
    <w:rsid w:val="00943B75"/>
    <w:rsid w:val="00946277"/>
    <w:rsid w:val="00946521"/>
    <w:rsid w:val="009475B3"/>
    <w:rsid w:val="00951BBF"/>
    <w:rsid w:val="00951FCF"/>
    <w:rsid w:val="00955204"/>
    <w:rsid w:val="00955210"/>
    <w:rsid w:val="00956715"/>
    <w:rsid w:val="009577FF"/>
    <w:rsid w:val="00961E20"/>
    <w:rsid w:val="009634D3"/>
    <w:rsid w:val="00964CA5"/>
    <w:rsid w:val="009669F3"/>
    <w:rsid w:val="00973234"/>
    <w:rsid w:val="00973418"/>
    <w:rsid w:val="00974AAE"/>
    <w:rsid w:val="009839D8"/>
    <w:rsid w:val="00991010"/>
    <w:rsid w:val="0099385B"/>
    <w:rsid w:val="00995C77"/>
    <w:rsid w:val="009A25E1"/>
    <w:rsid w:val="009A4D78"/>
    <w:rsid w:val="009A4E42"/>
    <w:rsid w:val="009A7316"/>
    <w:rsid w:val="009C255A"/>
    <w:rsid w:val="009C299E"/>
    <w:rsid w:val="009C6444"/>
    <w:rsid w:val="009D22BC"/>
    <w:rsid w:val="009D2514"/>
    <w:rsid w:val="009D5521"/>
    <w:rsid w:val="009D5D8E"/>
    <w:rsid w:val="009D681C"/>
    <w:rsid w:val="009E0D1B"/>
    <w:rsid w:val="009E5E5C"/>
    <w:rsid w:val="009F440E"/>
    <w:rsid w:val="009F4934"/>
    <w:rsid w:val="009F7B79"/>
    <w:rsid w:val="00A0068E"/>
    <w:rsid w:val="00A00955"/>
    <w:rsid w:val="00A00F12"/>
    <w:rsid w:val="00A02FC4"/>
    <w:rsid w:val="00A0501A"/>
    <w:rsid w:val="00A05FD1"/>
    <w:rsid w:val="00A07467"/>
    <w:rsid w:val="00A07905"/>
    <w:rsid w:val="00A10327"/>
    <w:rsid w:val="00A11896"/>
    <w:rsid w:val="00A136CE"/>
    <w:rsid w:val="00A1393C"/>
    <w:rsid w:val="00A13D89"/>
    <w:rsid w:val="00A20A53"/>
    <w:rsid w:val="00A20A8C"/>
    <w:rsid w:val="00A2287B"/>
    <w:rsid w:val="00A25B81"/>
    <w:rsid w:val="00A2734C"/>
    <w:rsid w:val="00A27A90"/>
    <w:rsid w:val="00A321AD"/>
    <w:rsid w:val="00A35F41"/>
    <w:rsid w:val="00A3615A"/>
    <w:rsid w:val="00A365A8"/>
    <w:rsid w:val="00A40260"/>
    <w:rsid w:val="00A45860"/>
    <w:rsid w:val="00A45E60"/>
    <w:rsid w:val="00A52F58"/>
    <w:rsid w:val="00A53CAA"/>
    <w:rsid w:val="00A54197"/>
    <w:rsid w:val="00A60E08"/>
    <w:rsid w:val="00A629DF"/>
    <w:rsid w:val="00A63AEC"/>
    <w:rsid w:val="00A7248E"/>
    <w:rsid w:val="00A72FCA"/>
    <w:rsid w:val="00A743FB"/>
    <w:rsid w:val="00A75873"/>
    <w:rsid w:val="00A77DAB"/>
    <w:rsid w:val="00A831FE"/>
    <w:rsid w:val="00A832DF"/>
    <w:rsid w:val="00A83B85"/>
    <w:rsid w:val="00A8530B"/>
    <w:rsid w:val="00A85F7E"/>
    <w:rsid w:val="00A864F1"/>
    <w:rsid w:val="00A90C45"/>
    <w:rsid w:val="00A9121F"/>
    <w:rsid w:val="00A924BE"/>
    <w:rsid w:val="00A965D9"/>
    <w:rsid w:val="00AA0BB8"/>
    <w:rsid w:val="00AA11EE"/>
    <w:rsid w:val="00AA1FD7"/>
    <w:rsid w:val="00AA2114"/>
    <w:rsid w:val="00AA6498"/>
    <w:rsid w:val="00AB63BE"/>
    <w:rsid w:val="00AC04B7"/>
    <w:rsid w:val="00AC04E6"/>
    <w:rsid w:val="00AD1926"/>
    <w:rsid w:val="00AD1B98"/>
    <w:rsid w:val="00AD1E05"/>
    <w:rsid w:val="00AD4E4D"/>
    <w:rsid w:val="00AD64D3"/>
    <w:rsid w:val="00AD6CCA"/>
    <w:rsid w:val="00AE1A73"/>
    <w:rsid w:val="00AE2271"/>
    <w:rsid w:val="00AE2FE3"/>
    <w:rsid w:val="00AE7806"/>
    <w:rsid w:val="00AF2AA0"/>
    <w:rsid w:val="00AF3B78"/>
    <w:rsid w:val="00B04F14"/>
    <w:rsid w:val="00B0618E"/>
    <w:rsid w:val="00B071D4"/>
    <w:rsid w:val="00B102CE"/>
    <w:rsid w:val="00B12619"/>
    <w:rsid w:val="00B14ED1"/>
    <w:rsid w:val="00B17E00"/>
    <w:rsid w:val="00B21781"/>
    <w:rsid w:val="00B21BD2"/>
    <w:rsid w:val="00B21F06"/>
    <w:rsid w:val="00B24037"/>
    <w:rsid w:val="00B24831"/>
    <w:rsid w:val="00B24AB2"/>
    <w:rsid w:val="00B26E1E"/>
    <w:rsid w:val="00B2774E"/>
    <w:rsid w:val="00B30632"/>
    <w:rsid w:val="00B31B0F"/>
    <w:rsid w:val="00B40836"/>
    <w:rsid w:val="00B41F27"/>
    <w:rsid w:val="00B420F8"/>
    <w:rsid w:val="00B44D0F"/>
    <w:rsid w:val="00B44DE8"/>
    <w:rsid w:val="00B471EF"/>
    <w:rsid w:val="00B51887"/>
    <w:rsid w:val="00B5262E"/>
    <w:rsid w:val="00B576BF"/>
    <w:rsid w:val="00B6009A"/>
    <w:rsid w:val="00B61A08"/>
    <w:rsid w:val="00B64F1E"/>
    <w:rsid w:val="00B70030"/>
    <w:rsid w:val="00B73E86"/>
    <w:rsid w:val="00B75FBC"/>
    <w:rsid w:val="00B81371"/>
    <w:rsid w:val="00B819C1"/>
    <w:rsid w:val="00B83D26"/>
    <w:rsid w:val="00B939F1"/>
    <w:rsid w:val="00B97DE0"/>
    <w:rsid w:val="00BA08F7"/>
    <w:rsid w:val="00BA0E3B"/>
    <w:rsid w:val="00BA15CB"/>
    <w:rsid w:val="00BA328C"/>
    <w:rsid w:val="00BA3880"/>
    <w:rsid w:val="00BA6808"/>
    <w:rsid w:val="00BB605D"/>
    <w:rsid w:val="00BB6739"/>
    <w:rsid w:val="00BC0360"/>
    <w:rsid w:val="00BC145F"/>
    <w:rsid w:val="00BC14F8"/>
    <w:rsid w:val="00BC1595"/>
    <w:rsid w:val="00BC1641"/>
    <w:rsid w:val="00BC349D"/>
    <w:rsid w:val="00BC37A4"/>
    <w:rsid w:val="00BC63B7"/>
    <w:rsid w:val="00BC7C46"/>
    <w:rsid w:val="00BD19D0"/>
    <w:rsid w:val="00BD3644"/>
    <w:rsid w:val="00BD416B"/>
    <w:rsid w:val="00BD463F"/>
    <w:rsid w:val="00BD577B"/>
    <w:rsid w:val="00BD6E7F"/>
    <w:rsid w:val="00BE5388"/>
    <w:rsid w:val="00BE7471"/>
    <w:rsid w:val="00BF0687"/>
    <w:rsid w:val="00BF26CB"/>
    <w:rsid w:val="00BF4F48"/>
    <w:rsid w:val="00BF7C3E"/>
    <w:rsid w:val="00C01E83"/>
    <w:rsid w:val="00C03D1F"/>
    <w:rsid w:val="00C04483"/>
    <w:rsid w:val="00C044F3"/>
    <w:rsid w:val="00C04FAA"/>
    <w:rsid w:val="00C050DC"/>
    <w:rsid w:val="00C10D41"/>
    <w:rsid w:val="00C11846"/>
    <w:rsid w:val="00C15D37"/>
    <w:rsid w:val="00C15E09"/>
    <w:rsid w:val="00C22F6B"/>
    <w:rsid w:val="00C23120"/>
    <w:rsid w:val="00C24729"/>
    <w:rsid w:val="00C3054A"/>
    <w:rsid w:val="00C308D6"/>
    <w:rsid w:val="00C31C6C"/>
    <w:rsid w:val="00C331A1"/>
    <w:rsid w:val="00C352EE"/>
    <w:rsid w:val="00C36D00"/>
    <w:rsid w:val="00C37200"/>
    <w:rsid w:val="00C37C9E"/>
    <w:rsid w:val="00C43A7B"/>
    <w:rsid w:val="00C4427D"/>
    <w:rsid w:val="00C45EA8"/>
    <w:rsid w:val="00C4794B"/>
    <w:rsid w:val="00C51DD1"/>
    <w:rsid w:val="00C567EE"/>
    <w:rsid w:val="00C61048"/>
    <w:rsid w:val="00C61B18"/>
    <w:rsid w:val="00C62FC2"/>
    <w:rsid w:val="00C63351"/>
    <w:rsid w:val="00C64A6A"/>
    <w:rsid w:val="00C65084"/>
    <w:rsid w:val="00C65162"/>
    <w:rsid w:val="00C66584"/>
    <w:rsid w:val="00C66DB3"/>
    <w:rsid w:val="00C67BD5"/>
    <w:rsid w:val="00C77500"/>
    <w:rsid w:val="00C835B5"/>
    <w:rsid w:val="00C84225"/>
    <w:rsid w:val="00C855A3"/>
    <w:rsid w:val="00C87DB2"/>
    <w:rsid w:val="00C958A8"/>
    <w:rsid w:val="00CA18E2"/>
    <w:rsid w:val="00CA1CC3"/>
    <w:rsid w:val="00CA420C"/>
    <w:rsid w:val="00CB0C41"/>
    <w:rsid w:val="00CB183A"/>
    <w:rsid w:val="00CB607A"/>
    <w:rsid w:val="00CB6B51"/>
    <w:rsid w:val="00CB7595"/>
    <w:rsid w:val="00CC132A"/>
    <w:rsid w:val="00CC489A"/>
    <w:rsid w:val="00CC6A05"/>
    <w:rsid w:val="00CC6AD8"/>
    <w:rsid w:val="00CC6FDF"/>
    <w:rsid w:val="00CD3329"/>
    <w:rsid w:val="00CD5A7F"/>
    <w:rsid w:val="00CD7290"/>
    <w:rsid w:val="00CE6EE7"/>
    <w:rsid w:val="00CE760C"/>
    <w:rsid w:val="00CF5075"/>
    <w:rsid w:val="00CF7208"/>
    <w:rsid w:val="00D03BAC"/>
    <w:rsid w:val="00D040D6"/>
    <w:rsid w:val="00D05DF9"/>
    <w:rsid w:val="00D10443"/>
    <w:rsid w:val="00D1088D"/>
    <w:rsid w:val="00D1142A"/>
    <w:rsid w:val="00D151F7"/>
    <w:rsid w:val="00D17F0B"/>
    <w:rsid w:val="00D207CB"/>
    <w:rsid w:val="00D22652"/>
    <w:rsid w:val="00D22C50"/>
    <w:rsid w:val="00D26603"/>
    <w:rsid w:val="00D33112"/>
    <w:rsid w:val="00D336E1"/>
    <w:rsid w:val="00D33E02"/>
    <w:rsid w:val="00D35CFE"/>
    <w:rsid w:val="00D35D30"/>
    <w:rsid w:val="00D360F0"/>
    <w:rsid w:val="00D3748F"/>
    <w:rsid w:val="00D420C4"/>
    <w:rsid w:val="00D47857"/>
    <w:rsid w:val="00D47AAE"/>
    <w:rsid w:val="00D5525D"/>
    <w:rsid w:val="00D63787"/>
    <w:rsid w:val="00D70A17"/>
    <w:rsid w:val="00D710AD"/>
    <w:rsid w:val="00D71F2D"/>
    <w:rsid w:val="00D733A7"/>
    <w:rsid w:val="00D874AF"/>
    <w:rsid w:val="00D87AAE"/>
    <w:rsid w:val="00D9173A"/>
    <w:rsid w:val="00D93A92"/>
    <w:rsid w:val="00D93C26"/>
    <w:rsid w:val="00D93D49"/>
    <w:rsid w:val="00D940FB"/>
    <w:rsid w:val="00D948E5"/>
    <w:rsid w:val="00D94FAE"/>
    <w:rsid w:val="00D95C0B"/>
    <w:rsid w:val="00D96A01"/>
    <w:rsid w:val="00D97DCD"/>
    <w:rsid w:val="00DA082F"/>
    <w:rsid w:val="00DA31D1"/>
    <w:rsid w:val="00DA33A0"/>
    <w:rsid w:val="00DA526B"/>
    <w:rsid w:val="00DA5F63"/>
    <w:rsid w:val="00DB0771"/>
    <w:rsid w:val="00DC38BF"/>
    <w:rsid w:val="00DC473E"/>
    <w:rsid w:val="00DC5825"/>
    <w:rsid w:val="00DC6A34"/>
    <w:rsid w:val="00DD3F92"/>
    <w:rsid w:val="00DD5716"/>
    <w:rsid w:val="00DD6A6D"/>
    <w:rsid w:val="00DF2D8C"/>
    <w:rsid w:val="00DF4E3D"/>
    <w:rsid w:val="00E0047F"/>
    <w:rsid w:val="00E01441"/>
    <w:rsid w:val="00E0249C"/>
    <w:rsid w:val="00E02B92"/>
    <w:rsid w:val="00E03FB0"/>
    <w:rsid w:val="00E0657E"/>
    <w:rsid w:val="00E1039E"/>
    <w:rsid w:val="00E1264D"/>
    <w:rsid w:val="00E1302D"/>
    <w:rsid w:val="00E13BED"/>
    <w:rsid w:val="00E14D78"/>
    <w:rsid w:val="00E21BCF"/>
    <w:rsid w:val="00E23BA2"/>
    <w:rsid w:val="00E258E8"/>
    <w:rsid w:val="00E26B24"/>
    <w:rsid w:val="00E26D31"/>
    <w:rsid w:val="00E27AC9"/>
    <w:rsid w:val="00E30028"/>
    <w:rsid w:val="00E32B1F"/>
    <w:rsid w:val="00E32CDE"/>
    <w:rsid w:val="00E35B95"/>
    <w:rsid w:val="00E3724B"/>
    <w:rsid w:val="00E42541"/>
    <w:rsid w:val="00E44951"/>
    <w:rsid w:val="00E44E44"/>
    <w:rsid w:val="00E47765"/>
    <w:rsid w:val="00E50052"/>
    <w:rsid w:val="00E50802"/>
    <w:rsid w:val="00E515E3"/>
    <w:rsid w:val="00E54C8D"/>
    <w:rsid w:val="00E56480"/>
    <w:rsid w:val="00E5662D"/>
    <w:rsid w:val="00E574D2"/>
    <w:rsid w:val="00E57BF1"/>
    <w:rsid w:val="00E62DBC"/>
    <w:rsid w:val="00E63CBA"/>
    <w:rsid w:val="00E671FE"/>
    <w:rsid w:val="00E70170"/>
    <w:rsid w:val="00E7057E"/>
    <w:rsid w:val="00E73713"/>
    <w:rsid w:val="00E7396F"/>
    <w:rsid w:val="00E74544"/>
    <w:rsid w:val="00E74737"/>
    <w:rsid w:val="00E86E5F"/>
    <w:rsid w:val="00E874D7"/>
    <w:rsid w:val="00E92703"/>
    <w:rsid w:val="00E93CC3"/>
    <w:rsid w:val="00E94941"/>
    <w:rsid w:val="00E95161"/>
    <w:rsid w:val="00E954AB"/>
    <w:rsid w:val="00E96EDD"/>
    <w:rsid w:val="00EA2522"/>
    <w:rsid w:val="00EA720D"/>
    <w:rsid w:val="00EB03F2"/>
    <w:rsid w:val="00EB0F07"/>
    <w:rsid w:val="00EB48D5"/>
    <w:rsid w:val="00EB5C8B"/>
    <w:rsid w:val="00EB6377"/>
    <w:rsid w:val="00EB6A9D"/>
    <w:rsid w:val="00EB73AE"/>
    <w:rsid w:val="00EC37A6"/>
    <w:rsid w:val="00EC38F2"/>
    <w:rsid w:val="00EC658E"/>
    <w:rsid w:val="00EC70CF"/>
    <w:rsid w:val="00ED0DAC"/>
    <w:rsid w:val="00ED1346"/>
    <w:rsid w:val="00ED1E6F"/>
    <w:rsid w:val="00ED2E7A"/>
    <w:rsid w:val="00ED3361"/>
    <w:rsid w:val="00ED46E1"/>
    <w:rsid w:val="00ED4ED8"/>
    <w:rsid w:val="00ED6B44"/>
    <w:rsid w:val="00ED717C"/>
    <w:rsid w:val="00EE0AE5"/>
    <w:rsid w:val="00EE3723"/>
    <w:rsid w:val="00EE419F"/>
    <w:rsid w:val="00EE650A"/>
    <w:rsid w:val="00EF0A05"/>
    <w:rsid w:val="00EF7935"/>
    <w:rsid w:val="00F04E28"/>
    <w:rsid w:val="00F11595"/>
    <w:rsid w:val="00F1178E"/>
    <w:rsid w:val="00F11DD0"/>
    <w:rsid w:val="00F138B3"/>
    <w:rsid w:val="00F1550B"/>
    <w:rsid w:val="00F237B9"/>
    <w:rsid w:val="00F245EE"/>
    <w:rsid w:val="00F24792"/>
    <w:rsid w:val="00F2582E"/>
    <w:rsid w:val="00F27BE4"/>
    <w:rsid w:val="00F354E1"/>
    <w:rsid w:val="00F37352"/>
    <w:rsid w:val="00F42746"/>
    <w:rsid w:val="00F431CC"/>
    <w:rsid w:val="00F44B0B"/>
    <w:rsid w:val="00F51F91"/>
    <w:rsid w:val="00F54E06"/>
    <w:rsid w:val="00F573F6"/>
    <w:rsid w:val="00F622B4"/>
    <w:rsid w:val="00F63E95"/>
    <w:rsid w:val="00F6662B"/>
    <w:rsid w:val="00F67E94"/>
    <w:rsid w:val="00F7077D"/>
    <w:rsid w:val="00F70C70"/>
    <w:rsid w:val="00F70F64"/>
    <w:rsid w:val="00F71486"/>
    <w:rsid w:val="00F745C7"/>
    <w:rsid w:val="00F74C78"/>
    <w:rsid w:val="00F74F15"/>
    <w:rsid w:val="00F76E51"/>
    <w:rsid w:val="00F82981"/>
    <w:rsid w:val="00F850A7"/>
    <w:rsid w:val="00F90E59"/>
    <w:rsid w:val="00F9132D"/>
    <w:rsid w:val="00F93188"/>
    <w:rsid w:val="00F97ADA"/>
    <w:rsid w:val="00FA1BD8"/>
    <w:rsid w:val="00FA32D9"/>
    <w:rsid w:val="00FA5720"/>
    <w:rsid w:val="00FA58FB"/>
    <w:rsid w:val="00FA6284"/>
    <w:rsid w:val="00FA6A5E"/>
    <w:rsid w:val="00FB6FC6"/>
    <w:rsid w:val="00FC22B2"/>
    <w:rsid w:val="00FC2815"/>
    <w:rsid w:val="00FC4646"/>
    <w:rsid w:val="00FC4758"/>
    <w:rsid w:val="00FC50B5"/>
    <w:rsid w:val="00FC5CF1"/>
    <w:rsid w:val="00FC6136"/>
    <w:rsid w:val="00FD0749"/>
    <w:rsid w:val="00FD1848"/>
    <w:rsid w:val="00FD5569"/>
    <w:rsid w:val="00FD577D"/>
    <w:rsid w:val="00FE0C9A"/>
    <w:rsid w:val="00FE24BC"/>
    <w:rsid w:val="00FE27D5"/>
    <w:rsid w:val="00FE4B48"/>
    <w:rsid w:val="00FE777D"/>
    <w:rsid w:val="00FF0A72"/>
    <w:rsid w:val="00FF14CC"/>
    <w:rsid w:val="00FF3BCD"/>
    <w:rsid w:val="00FF3E63"/>
    <w:rsid w:val="00FF4215"/>
    <w:rsid w:val="00FF4A60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1FEED"/>
  <w14:defaultImageDpi w14:val="300"/>
  <w15:docId w15:val="{157AF376-C169-49A2-98E6-7DCDC78D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71CB6"/>
    <w:pPr>
      <w:keepNext/>
      <w:keepLines/>
      <w:spacing w:before="200" w:line="276" w:lineRule="auto"/>
      <w:outlineLvl w:val="1"/>
    </w:pPr>
    <w:rPr>
      <w:rFonts w:ascii="Cambria" w:eastAsia="MS Mincho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F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B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D717C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D717C"/>
    <w:rPr>
      <w:rFonts w:ascii="Cambria" w:eastAsia="MS Mincho" w:hAnsi="Cambr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17C"/>
    <w:rPr>
      <w:rFonts w:ascii="Cambria" w:eastAsia="MS Mincho" w:hAnsi="Cambria" w:cs="Times New Roman"/>
      <w:lang w:eastAsia="ja-JP"/>
    </w:rPr>
  </w:style>
  <w:style w:type="table" w:styleId="TableGrid">
    <w:name w:val="Table Grid"/>
    <w:basedOn w:val="TableNormal"/>
    <w:uiPriority w:val="59"/>
    <w:rsid w:val="001C5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5D9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B607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07A"/>
  </w:style>
  <w:style w:type="character" w:styleId="PageNumber">
    <w:name w:val="page number"/>
    <w:basedOn w:val="DefaultParagraphFont"/>
    <w:uiPriority w:val="99"/>
    <w:semiHidden/>
    <w:unhideWhenUsed/>
    <w:rsid w:val="00CB607A"/>
  </w:style>
  <w:style w:type="paragraph" w:styleId="Header">
    <w:name w:val="header"/>
    <w:basedOn w:val="Normal"/>
    <w:link w:val="HeaderChar"/>
    <w:uiPriority w:val="99"/>
    <w:unhideWhenUsed/>
    <w:rsid w:val="00CB607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07A"/>
  </w:style>
  <w:style w:type="character" w:customStyle="1" w:styleId="Heading2Char">
    <w:name w:val="Heading 2 Char"/>
    <w:basedOn w:val="DefaultParagraphFont"/>
    <w:link w:val="Heading2"/>
    <w:uiPriority w:val="9"/>
    <w:rsid w:val="00171CB6"/>
    <w:rPr>
      <w:rFonts w:ascii="Cambria" w:eastAsia="MS Mincho" w:hAnsi="Cambria" w:cs="Times New Roman"/>
      <w:b/>
      <w:bCs/>
      <w:color w:val="4F81BD"/>
      <w:sz w:val="26"/>
      <w:szCs w:val="2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DD"/>
    <w:rPr>
      <w:rFonts w:asciiTheme="minorHAnsi" w:eastAsiaTheme="minorEastAsia" w:hAnsiTheme="minorHAnsi" w:cstheme="minorBidi"/>
      <w:b/>
      <w:bCs/>
      <w:sz w:val="20"/>
      <w:szCs w:val="20"/>
      <w:lang w:eastAsia="nl-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EDD"/>
    <w:rPr>
      <w:rFonts w:ascii="Cambria" w:eastAsia="MS Mincho" w:hAnsi="Cambria" w:cs="Times New Roman"/>
      <w:b/>
      <w:bCs/>
      <w:sz w:val="20"/>
      <w:szCs w:val="20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A365A8"/>
  </w:style>
  <w:style w:type="character" w:styleId="Strong">
    <w:name w:val="Strong"/>
    <w:basedOn w:val="DefaultParagraphFont"/>
    <w:uiPriority w:val="22"/>
    <w:qFormat/>
    <w:rsid w:val="00E44E44"/>
    <w:rPr>
      <w:b/>
      <w:bCs/>
    </w:rPr>
  </w:style>
  <w:style w:type="paragraph" w:customStyle="1" w:styleId="TableNote">
    <w:name w:val="TableNote"/>
    <w:basedOn w:val="Normal"/>
    <w:rsid w:val="0029412F"/>
    <w:pPr>
      <w:spacing w:line="300" w:lineRule="exact"/>
    </w:pPr>
    <w:rPr>
      <w:rFonts w:eastAsia="Times New Roman"/>
      <w:szCs w:val="20"/>
      <w:lang w:val="en-GB" w:eastAsia="en-US"/>
    </w:rPr>
  </w:style>
  <w:style w:type="character" w:styleId="Hyperlink">
    <w:name w:val="Hyperlink"/>
    <w:rsid w:val="0029412F"/>
    <w:rPr>
      <w:color w:val="0000FF"/>
      <w:u w:val="single"/>
    </w:rPr>
  </w:style>
  <w:style w:type="paragraph" w:customStyle="1" w:styleId="TableHeader">
    <w:name w:val="TableHeader"/>
    <w:basedOn w:val="Normal"/>
    <w:rsid w:val="0029412F"/>
    <w:pPr>
      <w:spacing w:before="120"/>
    </w:pPr>
    <w:rPr>
      <w:rFonts w:eastAsia="Times New Roman"/>
      <w:b/>
      <w:szCs w:val="20"/>
      <w:lang w:val="en-GB" w:eastAsia="en-US"/>
    </w:rPr>
  </w:style>
  <w:style w:type="paragraph" w:customStyle="1" w:styleId="TableSubHead">
    <w:name w:val="TableSubHead"/>
    <w:basedOn w:val="TableHeader"/>
    <w:rsid w:val="0029412F"/>
  </w:style>
  <w:style w:type="character" w:customStyle="1" w:styleId="addr-line">
    <w:name w:val="addr-line"/>
    <w:basedOn w:val="DefaultParagraphFont"/>
    <w:rsid w:val="00510ED1"/>
  </w:style>
  <w:style w:type="paragraph" w:styleId="Revision">
    <w:name w:val="Revision"/>
    <w:hidden/>
    <w:uiPriority w:val="99"/>
    <w:semiHidden/>
    <w:rsid w:val="0073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0DD71F-1B47-4354-AC61-3CC987E2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1912</Words>
  <Characters>10904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Universiteit van Amsterdam</Company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Marie Meijer</dc:creator>
  <cp:lastModifiedBy>Tim Colebrook</cp:lastModifiedBy>
  <cp:revision>2</cp:revision>
  <cp:lastPrinted>2016-02-26T13:09:00Z</cp:lastPrinted>
  <dcterms:created xsi:type="dcterms:W3CDTF">2017-09-20T12:56:00Z</dcterms:created>
  <dcterms:modified xsi:type="dcterms:W3CDTF">2017-09-20T12:56:00Z</dcterms:modified>
</cp:coreProperties>
</file>