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ECD" w:rsidRPr="00C85ECD" w:rsidRDefault="00C85ECD" w:rsidP="00C85ECD">
      <w:pPr>
        <w:pStyle w:val="Ttulo1"/>
      </w:pPr>
      <w:bookmarkStart w:id="0" w:name="_GoBack"/>
      <w:r>
        <w:rPr>
          <w:rFonts w:eastAsia="Times New Roman" w:cs="Times New Roman"/>
          <w:bCs/>
          <w:sz w:val="36"/>
          <w:szCs w:val="36"/>
        </w:rPr>
        <w:t xml:space="preserve">Week 4 QUIZ - </w:t>
      </w:r>
      <w:r w:rsidRPr="00C85ECD">
        <w:t>Diving deeper into relationships</w:t>
      </w:r>
    </w:p>
    <w:bookmarkEnd w:id="0"/>
    <w:p w:rsidR="00C85ECD" w:rsidRDefault="00C85ECD" w:rsidP="00C85ECD">
      <w:pPr>
        <w:shd w:val="clear" w:color="auto" w:fill="FFFFFF"/>
        <w:outlineLvl w:val="1"/>
        <w:rPr>
          <w:rFonts w:ascii="Helvetica Neue" w:eastAsia="Times New Roman" w:hAnsi="Helvetica Neue" w:cs="Times New Roman"/>
          <w:b/>
          <w:bCs/>
          <w:color w:val="3A343A"/>
          <w:sz w:val="36"/>
          <w:szCs w:val="36"/>
          <w:lang w:val="en-US" w:eastAsia="pt-BR"/>
        </w:rPr>
      </w:pPr>
    </w:p>
    <w:p w:rsidR="00C85ECD" w:rsidRPr="00C85ECD" w:rsidRDefault="00C85ECD" w:rsidP="00C85ECD">
      <w:pPr>
        <w:pStyle w:val="Ttulo2"/>
      </w:pPr>
      <w:r w:rsidRPr="00C85ECD">
        <w:t>Question 1</w:t>
      </w:r>
    </w:p>
    <w:p w:rsidR="00C85ECD" w:rsidRPr="00C85ECD" w:rsidRDefault="00C85ECD" w:rsidP="00C85ECD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 w:eastAsia="pt-BR"/>
        </w:rPr>
      </w:pPr>
      <w:proofErr w:type="spellStart"/>
      <w:r w:rsidRPr="00C85ECD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Parte</w:t>
      </w:r>
      <w:proofErr w:type="spellEnd"/>
      <w:r w:rsidRPr="00C85ECD">
        <w:rPr>
          <w:rFonts w:ascii="Arial" w:eastAsia="Times New Roman" w:hAnsi="Arial" w:cs="Arial"/>
          <w:vanish/>
          <w:sz w:val="16"/>
          <w:szCs w:val="16"/>
          <w:lang w:val="en-US" w:eastAsia="pt-BR"/>
        </w:rPr>
        <w:t xml:space="preserve"> superior do </w:t>
      </w:r>
      <w:proofErr w:type="spellStart"/>
      <w:r w:rsidRPr="00C85ECD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formulário</w:t>
      </w:r>
      <w:proofErr w:type="spellEnd"/>
    </w:p>
    <w:p w:rsidR="00C85ECD" w:rsidRPr="00C85ECD" w:rsidRDefault="00C85ECD" w:rsidP="00C85ECD">
      <w:pPr>
        <w:rPr>
          <w:b/>
          <w:bCs/>
          <w:lang w:val="en-US" w:eastAsia="pt-BR"/>
        </w:rPr>
      </w:pPr>
      <w:r w:rsidRPr="00C85ECD">
        <w:rPr>
          <w:b/>
          <w:bCs/>
          <w:lang w:val="en-US" w:eastAsia="pt-BR"/>
        </w:rPr>
        <w:t xml:space="preserve">The following statements refer to this plot of the rate of Infant mortality and the average number of children per woman for countries around the world subset by </w:t>
      </w:r>
      <w:proofErr w:type="spellStart"/>
      <w:r w:rsidRPr="00C85ECD">
        <w:rPr>
          <w:b/>
          <w:bCs/>
          <w:lang w:val="en-US" w:eastAsia="pt-BR"/>
        </w:rPr>
        <w:t>Leap.Year</w:t>
      </w:r>
      <w:proofErr w:type="spellEnd"/>
      <w:r w:rsidRPr="00C85ECD">
        <w:rPr>
          <w:b/>
          <w:bCs/>
          <w:lang w:val="en-US" w:eastAsia="pt-BR"/>
        </w:rPr>
        <w:t xml:space="preserve">. </w:t>
      </w:r>
      <w:proofErr w:type="spellStart"/>
      <w:r w:rsidRPr="00C85ECD">
        <w:rPr>
          <w:b/>
          <w:bCs/>
          <w:lang w:val="en-US" w:eastAsia="pt-BR"/>
        </w:rPr>
        <w:t>Colour</w:t>
      </w:r>
      <w:proofErr w:type="spellEnd"/>
      <w:r w:rsidRPr="00C85ECD">
        <w:rPr>
          <w:b/>
          <w:bCs/>
          <w:lang w:val="en-US" w:eastAsia="pt-BR"/>
        </w:rPr>
        <w:t xml:space="preserve"> has been used to identify the different regions each country belongs to.</w:t>
      </w:r>
    </w:p>
    <w:p w:rsidR="00C85ECD" w:rsidRPr="00C85ECD" w:rsidRDefault="00C85ECD" w:rsidP="00C85ECD">
      <w:pPr>
        <w:spacing w:before="360" w:after="360"/>
        <w:rPr>
          <w:rFonts w:ascii="Helvetica Neue" w:eastAsia="Times New Roman" w:hAnsi="Helvetica Neue" w:cs="Times New Roman"/>
          <w:color w:val="3A343A"/>
          <w:sz w:val="30"/>
          <w:szCs w:val="30"/>
          <w:lang w:val="en-US" w:eastAsia="pt-BR"/>
        </w:rPr>
      </w:pPr>
      <w:r w:rsidRPr="00C85ECD">
        <w:rPr>
          <w:rFonts w:ascii="Helvetica Neue" w:eastAsia="Times New Roman" w:hAnsi="Helvetica Neue" w:cs="Times New Roman"/>
          <w:noProof/>
          <w:color w:val="DE00A5"/>
          <w:sz w:val="30"/>
          <w:szCs w:val="30"/>
          <w:lang w:eastAsia="pt-BR"/>
        </w:rPr>
        <w:drawing>
          <wp:inline distT="0" distB="0" distL="0" distR="0">
            <wp:extent cx="5396230" cy="4271010"/>
            <wp:effectExtent l="0" t="0" r="1270" b="0"/>
            <wp:docPr id="1" name="Imagem 1" descr="Scatterplot showing the rate of infant mortality versus the average number of children per woman subset by leap year">
              <a:hlinkClick xmlns:a="http://schemas.openxmlformats.org/drawingml/2006/main" r:id="rId4" tooltip="&quot;Enlarge 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showing the rate of infant mortality versus the average number of children per woman subset by leap year">
                      <a:hlinkClick r:id="rId4" tooltip="&quot;Enlarge 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ooltip="Enlarge image" w:history="1">
        <w:r w:rsidRPr="00C85ECD">
          <w:rPr>
            <w:rFonts w:ascii="Helvetica Neue" w:eastAsia="Times New Roman" w:hAnsi="Helvetica Neue" w:cs="Times New Roman"/>
            <w:color w:val="DE00A5"/>
            <w:sz w:val="30"/>
            <w:szCs w:val="30"/>
            <w:u w:val="single"/>
            <w:lang w:val="en-US" w:eastAsia="pt-BR"/>
          </w:rPr>
          <w:t>Enlarge image</w:t>
        </w:r>
      </w:hyperlink>
    </w:p>
    <w:p w:rsidR="00C85ECD" w:rsidRPr="00C85ECD" w:rsidRDefault="00C85ECD" w:rsidP="00C85ECD">
      <w:pPr>
        <w:rPr>
          <w:lang w:val="en-US" w:eastAsia="pt-BR"/>
        </w:rPr>
      </w:pPr>
      <w:r w:rsidRPr="00C85ECD">
        <w:rPr>
          <w:lang w:val="en-US" w:eastAsia="pt-BR"/>
        </w:rPr>
        <w:t>Which one of the following statements is </w:t>
      </w:r>
      <w:r w:rsidRPr="00C85ECD">
        <w:rPr>
          <w:b/>
          <w:bCs/>
          <w:lang w:val="en-US" w:eastAsia="pt-BR"/>
        </w:rPr>
        <w:t>FALSE</w:t>
      </w:r>
      <w:r w:rsidRPr="00C85ECD">
        <w:rPr>
          <w:lang w:val="en-US" w:eastAsia="pt-BR"/>
        </w:rPr>
        <w:t>?</w:t>
      </w:r>
    </w:p>
    <w:p w:rsidR="00C85ECD" w:rsidRPr="00C85ECD" w:rsidRDefault="00C85ECD" w:rsidP="00C85ECD">
      <w:pPr>
        <w:rPr>
          <w:b/>
          <w:bCs/>
          <w:bdr w:val="single" w:sz="6" w:space="12" w:color="FAFAFA" w:frame="1"/>
          <w:shd w:val="clear" w:color="auto" w:fill="FAFAFA"/>
          <w:lang w:val="en-US" w:eastAsia="pt-BR"/>
        </w:rPr>
      </w:pPr>
      <w:r w:rsidRPr="00C85ECD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This tiled plot explores three different variables.</w:t>
      </w:r>
    </w:p>
    <w:p w:rsidR="00C85ECD" w:rsidRPr="00C85ECD" w:rsidRDefault="00C85ECD" w:rsidP="00C85ECD">
      <w:pPr>
        <w:rPr>
          <w:lang w:val="en-US" w:eastAsia="pt-BR"/>
        </w:rPr>
      </w:pPr>
      <w:r w:rsidRPr="00C85ECD">
        <w:rPr>
          <w:lang w:val="en-US" w:eastAsia="pt-BR"/>
        </w:rPr>
        <w:t>Over time there is a trend towards lower infant mortality.</w:t>
      </w:r>
    </w:p>
    <w:p w:rsidR="00C85ECD" w:rsidRPr="00C85ECD" w:rsidRDefault="00C85ECD" w:rsidP="00C85ECD">
      <w:pPr>
        <w:rPr>
          <w:lang w:val="en-US" w:eastAsia="pt-BR"/>
        </w:rPr>
      </w:pPr>
      <w:r w:rsidRPr="00C85ECD">
        <w:rPr>
          <w:lang w:val="en-US" w:eastAsia="pt-BR"/>
        </w:rPr>
        <w:t>In recent years, the relationship between </w:t>
      </w:r>
      <w:proofErr w:type="spellStart"/>
      <w:r w:rsidRPr="00C85ECD">
        <w:rPr>
          <w:b/>
          <w:bCs/>
          <w:lang w:val="en-US" w:eastAsia="pt-BR"/>
        </w:rPr>
        <w:t>InfantMortality</w:t>
      </w:r>
      <w:proofErr w:type="spellEnd"/>
      <w:r w:rsidRPr="00C85ECD">
        <w:rPr>
          <w:lang w:val="en-US" w:eastAsia="pt-BR"/>
        </w:rPr>
        <w:t> and </w:t>
      </w:r>
      <w:proofErr w:type="spellStart"/>
      <w:r w:rsidRPr="00C85ECD">
        <w:rPr>
          <w:b/>
          <w:bCs/>
          <w:lang w:val="en-US" w:eastAsia="pt-BR"/>
        </w:rPr>
        <w:t>ChildrenPerWoman</w:t>
      </w:r>
      <w:proofErr w:type="spellEnd"/>
      <w:r w:rsidRPr="00C85ECD">
        <w:rPr>
          <w:lang w:val="en-US" w:eastAsia="pt-BR"/>
        </w:rPr>
        <w:t> has become stronger.</w:t>
      </w:r>
    </w:p>
    <w:p w:rsidR="00C85ECD" w:rsidRPr="00C85ECD" w:rsidRDefault="00C85ECD" w:rsidP="00C85ECD">
      <w:pPr>
        <w:rPr>
          <w:lang w:val="en-US" w:eastAsia="pt-BR"/>
        </w:rPr>
      </w:pPr>
      <w:r w:rsidRPr="00C85ECD">
        <w:rPr>
          <w:lang w:val="en-US" w:eastAsia="pt-BR"/>
        </w:rPr>
        <w:t>Over time there has been an increasing separation between the countries in the South Asia and Sub-Saharan Africa regions (pink and purple) and countries of other regions (blue, green and brown).</w:t>
      </w:r>
    </w:p>
    <w:p w:rsidR="00C85ECD" w:rsidRPr="00C85ECD" w:rsidRDefault="00C85ECD" w:rsidP="00C85ECD">
      <w:pPr>
        <w:rPr>
          <w:lang w:val="en-US" w:eastAsia="pt-BR"/>
        </w:rPr>
      </w:pPr>
      <w:r w:rsidRPr="00C85ECD">
        <w:rPr>
          <w:lang w:val="en-US" w:eastAsia="pt-BR"/>
        </w:rPr>
        <w:lastRenderedPageBreak/>
        <w:t>There is a positive relationship between </w:t>
      </w:r>
      <w:proofErr w:type="spellStart"/>
      <w:r w:rsidRPr="00C85ECD">
        <w:rPr>
          <w:b/>
          <w:bCs/>
          <w:lang w:val="en-US" w:eastAsia="pt-BR"/>
        </w:rPr>
        <w:t>ChildrenPerWoman</w:t>
      </w:r>
      <w:proofErr w:type="spellEnd"/>
      <w:r w:rsidRPr="00C85ECD">
        <w:rPr>
          <w:lang w:val="en-US" w:eastAsia="pt-BR"/>
        </w:rPr>
        <w:t> and </w:t>
      </w:r>
      <w:proofErr w:type="spellStart"/>
      <w:r w:rsidRPr="00C85ECD">
        <w:rPr>
          <w:b/>
          <w:bCs/>
          <w:lang w:val="en-US" w:eastAsia="pt-BR"/>
        </w:rPr>
        <w:t>InfantMortality</w:t>
      </w:r>
      <w:proofErr w:type="spellEnd"/>
      <w:r w:rsidRPr="00C85ECD">
        <w:rPr>
          <w:lang w:val="en-US" w:eastAsia="pt-BR"/>
        </w:rPr>
        <w:t>.</w:t>
      </w:r>
    </w:p>
    <w:p w:rsidR="00C85ECD" w:rsidRPr="00C85ECD" w:rsidRDefault="00C85ECD" w:rsidP="00C85ECD">
      <w:pPr>
        <w:rPr>
          <w:b/>
          <w:bCs/>
          <w:lang w:val="en-US" w:eastAsia="pt-BR"/>
        </w:rPr>
      </w:pPr>
      <w:r w:rsidRPr="00C85ECD">
        <w:rPr>
          <w:b/>
          <w:bCs/>
          <w:lang w:val="en-US" w:eastAsia="pt-BR"/>
        </w:rPr>
        <w:t>Correct</w:t>
      </w:r>
    </w:p>
    <w:p w:rsidR="00C85ECD" w:rsidRPr="00C85ECD" w:rsidRDefault="00C85ECD" w:rsidP="00C85ECD">
      <w:pPr>
        <w:rPr>
          <w:lang w:val="en-US" w:eastAsia="pt-BR"/>
        </w:rPr>
      </w:pPr>
      <w:r w:rsidRPr="00C85ECD">
        <w:rPr>
          <w:shd w:val="clear" w:color="auto" w:fill="FFFFFF"/>
          <w:lang w:val="en-US" w:eastAsia="pt-BR"/>
        </w:rPr>
        <w:t>This statement is </w:t>
      </w:r>
      <w:r w:rsidRPr="00C85ECD">
        <w:rPr>
          <w:b/>
          <w:bCs/>
          <w:shd w:val="clear" w:color="auto" w:fill="FFFFFF"/>
          <w:lang w:val="en-US" w:eastAsia="pt-BR"/>
        </w:rPr>
        <w:t>FALSE</w:t>
      </w:r>
      <w:r w:rsidRPr="00C85ECD">
        <w:rPr>
          <w:shd w:val="clear" w:color="auto" w:fill="FFFFFF"/>
          <w:lang w:val="en-US" w:eastAsia="pt-BR"/>
        </w:rPr>
        <w:t> – we are representing four different variables: </w:t>
      </w:r>
      <w:proofErr w:type="spellStart"/>
      <w:r w:rsidRPr="00C85ECD">
        <w:rPr>
          <w:b/>
          <w:bCs/>
          <w:shd w:val="clear" w:color="auto" w:fill="FFFFFF"/>
          <w:lang w:val="en-US" w:eastAsia="pt-BR"/>
        </w:rPr>
        <w:t>InfantMortality</w:t>
      </w:r>
      <w:proofErr w:type="spellEnd"/>
      <w:r w:rsidRPr="00C85ECD">
        <w:rPr>
          <w:shd w:val="clear" w:color="auto" w:fill="FFFFFF"/>
          <w:lang w:val="en-US" w:eastAsia="pt-BR"/>
        </w:rPr>
        <w:t> and </w:t>
      </w:r>
      <w:proofErr w:type="spellStart"/>
      <w:r w:rsidRPr="00C85ECD">
        <w:rPr>
          <w:b/>
          <w:bCs/>
          <w:shd w:val="clear" w:color="auto" w:fill="FFFFFF"/>
          <w:lang w:val="en-US" w:eastAsia="pt-BR"/>
        </w:rPr>
        <w:t>ChildrenPerWoman</w:t>
      </w:r>
      <w:proofErr w:type="spellEnd"/>
      <w:r w:rsidRPr="00C85ECD">
        <w:rPr>
          <w:shd w:val="clear" w:color="auto" w:fill="FFFFFF"/>
          <w:lang w:val="en-US" w:eastAsia="pt-BR"/>
        </w:rPr>
        <w:t> on the axes, </w:t>
      </w:r>
      <w:r w:rsidRPr="00C85ECD">
        <w:rPr>
          <w:b/>
          <w:bCs/>
          <w:shd w:val="clear" w:color="auto" w:fill="FFFFFF"/>
          <w:lang w:val="en-US" w:eastAsia="pt-BR"/>
        </w:rPr>
        <w:t>Region</w:t>
      </w:r>
      <w:r w:rsidRPr="00C85ECD">
        <w:rPr>
          <w:shd w:val="clear" w:color="auto" w:fill="FFFFFF"/>
          <w:lang w:val="en-US" w:eastAsia="pt-BR"/>
        </w:rPr>
        <w:t xml:space="preserve"> using </w:t>
      </w:r>
      <w:proofErr w:type="spellStart"/>
      <w:r w:rsidRPr="00C85ECD">
        <w:rPr>
          <w:shd w:val="clear" w:color="auto" w:fill="FFFFFF"/>
          <w:lang w:val="en-US" w:eastAsia="pt-BR"/>
        </w:rPr>
        <w:t>colour</w:t>
      </w:r>
      <w:proofErr w:type="spellEnd"/>
      <w:r w:rsidRPr="00C85ECD">
        <w:rPr>
          <w:shd w:val="clear" w:color="auto" w:fill="FFFFFF"/>
          <w:lang w:val="en-US" w:eastAsia="pt-BR"/>
        </w:rPr>
        <w:t>, and </w:t>
      </w:r>
      <w:proofErr w:type="spellStart"/>
      <w:r w:rsidRPr="00C85ECD">
        <w:rPr>
          <w:b/>
          <w:bCs/>
          <w:shd w:val="clear" w:color="auto" w:fill="FFFFFF"/>
          <w:lang w:val="en-US" w:eastAsia="pt-BR"/>
        </w:rPr>
        <w:t>Leap.Year</w:t>
      </w:r>
      <w:proofErr w:type="spellEnd"/>
      <w:r w:rsidRPr="00C85ECD">
        <w:rPr>
          <w:shd w:val="clear" w:color="auto" w:fill="FFFFFF"/>
          <w:lang w:val="en-US" w:eastAsia="pt-BR"/>
        </w:rPr>
        <w:t xml:space="preserve"> using </w:t>
      </w:r>
      <w:proofErr w:type="spellStart"/>
      <w:r w:rsidRPr="00C85ECD">
        <w:rPr>
          <w:shd w:val="clear" w:color="auto" w:fill="FFFFFF"/>
          <w:lang w:val="en-US" w:eastAsia="pt-BR"/>
        </w:rPr>
        <w:t>subsetting</w:t>
      </w:r>
      <w:proofErr w:type="spellEnd"/>
      <w:r w:rsidRPr="00C85ECD">
        <w:rPr>
          <w:shd w:val="clear" w:color="auto" w:fill="FFFFFF"/>
          <w:lang w:val="en-US" w:eastAsia="pt-BR"/>
        </w:rPr>
        <w:t>.</w:t>
      </w:r>
    </w:p>
    <w:p w:rsidR="00C85ECD" w:rsidRDefault="00C85ECD" w:rsidP="00C85ECD">
      <w:pPr>
        <w:pStyle w:val="Ttulo2"/>
        <w:spacing w:before="0" w:after="0"/>
      </w:pPr>
      <w:r>
        <w:t>Question 2</w:t>
      </w:r>
    </w:p>
    <w:p w:rsidR="00C85ECD" w:rsidRPr="00C85ECD" w:rsidRDefault="00C85ECD" w:rsidP="00C85ECD">
      <w:pPr>
        <w:pStyle w:val="Partesuperior-zdoformulrio"/>
        <w:rPr>
          <w:lang w:val="en-US"/>
        </w:rPr>
      </w:pPr>
      <w:proofErr w:type="spellStart"/>
      <w:r w:rsidRPr="00C85ECD">
        <w:rPr>
          <w:lang w:val="en-US"/>
        </w:rPr>
        <w:t>Parte</w:t>
      </w:r>
      <w:proofErr w:type="spellEnd"/>
      <w:r w:rsidRPr="00C85ECD">
        <w:rPr>
          <w:lang w:val="en-US"/>
        </w:rPr>
        <w:t xml:space="preserve"> superior do </w:t>
      </w:r>
      <w:proofErr w:type="spellStart"/>
      <w:r w:rsidRPr="00C85ECD">
        <w:rPr>
          <w:lang w:val="en-US"/>
        </w:rPr>
        <w:t>formulário</w:t>
      </w:r>
      <w:proofErr w:type="spellEnd"/>
    </w:p>
    <w:p w:rsidR="00C85ECD" w:rsidRPr="00C85ECD" w:rsidRDefault="00C85ECD" w:rsidP="00C85ECD">
      <w:pPr>
        <w:pStyle w:val="NormalWeb"/>
        <w:spacing w:before="360" w:beforeAutospacing="0" w:after="360" w:afterAutospacing="0"/>
        <w:rPr>
          <w:b/>
          <w:bCs/>
          <w:lang w:val="en-US"/>
        </w:rPr>
      </w:pPr>
      <w:r w:rsidRPr="00C85ECD">
        <w:rPr>
          <w:b/>
          <w:bCs/>
          <w:lang w:val="en-US"/>
        </w:rPr>
        <w:t>The following statements refer to this plot of the rate of infant mortality and the average number of children per woman for countries around the world.</w:t>
      </w:r>
    </w:p>
    <w:p w:rsidR="00C85ECD" w:rsidRPr="00C85ECD" w:rsidRDefault="00C85ECD" w:rsidP="00C85ECD">
      <w:pPr>
        <w:pStyle w:val="NormalWeb"/>
        <w:spacing w:before="360" w:beforeAutospacing="0" w:after="360" w:afterAutospacing="0"/>
        <w:rPr>
          <w:lang w:val="en-US"/>
        </w:rPr>
      </w:pPr>
      <w:r w:rsidRPr="00C85ECD">
        <w:rPr>
          <w:lang w:val="en-US"/>
        </w:rPr>
        <w:t>The large green circle is China and the large pink circle is India. The third largest symbol (brown) is the United States of America.</w:t>
      </w:r>
    </w:p>
    <w:p w:rsidR="00C85ECD" w:rsidRPr="00C85ECD" w:rsidRDefault="00C85ECD" w:rsidP="00C85ECD">
      <w:pPr>
        <w:pStyle w:val="NormalWeb"/>
        <w:spacing w:before="360" w:beforeAutospacing="0" w:after="360" w:afterAutospacing="0"/>
        <w:rPr>
          <w:lang w:val="en-US"/>
        </w:rPr>
      </w:pPr>
      <w:r>
        <w:rPr>
          <w:noProof/>
          <w:color w:val="DE00A5"/>
        </w:rPr>
        <w:drawing>
          <wp:inline distT="0" distB="0" distL="0" distR="0">
            <wp:extent cx="5396230" cy="4523105"/>
            <wp:effectExtent l="0" t="0" r="1270" b="0"/>
            <wp:docPr id="3" name="Imagem 3" descr="Scatterplot showing the rate of infant mortality versus the average number of children per woman subset by leap year and sized by population total">
              <a:hlinkClick xmlns:a="http://schemas.openxmlformats.org/drawingml/2006/main" r:id="rId7" tooltip="&quot;Enlarge 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plot showing the rate of infant mortality versus the average number of children per woman subset by leap year and sized by population total">
                      <a:hlinkClick r:id="rId7" tooltip="&quot;Enlarge 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ECD">
        <w:rPr>
          <w:lang w:val="en-US"/>
        </w:rPr>
        <w:t xml:space="preserve"> </w:t>
      </w:r>
    </w:p>
    <w:p w:rsidR="00C85ECD" w:rsidRPr="00C85ECD" w:rsidRDefault="00C85ECD" w:rsidP="00C85ECD">
      <w:pPr>
        <w:pStyle w:val="NormalWeb"/>
        <w:spacing w:before="360" w:beforeAutospacing="0" w:after="360" w:afterAutospacing="0"/>
        <w:rPr>
          <w:lang w:val="en-US"/>
        </w:rPr>
      </w:pPr>
      <w:r w:rsidRPr="00C85ECD">
        <w:rPr>
          <w:lang w:val="en-US"/>
        </w:rPr>
        <w:t>Which one of the following statements is </w:t>
      </w:r>
      <w:r w:rsidRPr="00C85ECD">
        <w:rPr>
          <w:rStyle w:val="Forte"/>
          <w:lang w:val="en-US"/>
        </w:rPr>
        <w:t>FALSE</w:t>
      </w:r>
      <w:r w:rsidRPr="00C85ECD">
        <w:rPr>
          <w:lang w:val="en-US"/>
        </w:rPr>
        <w:t>?</w:t>
      </w:r>
    </w:p>
    <w:p w:rsidR="00C85ECD" w:rsidRPr="00C85ECD" w:rsidRDefault="00C85ECD" w:rsidP="00C85ECD">
      <w:pPr>
        <w:pStyle w:val="NormalWeb"/>
        <w:spacing w:before="0" w:beforeAutospacing="0" w:after="0" w:afterAutospacing="0"/>
        <w:textAlignment w:val="center"/>
        <w:rPr>
          <w:color w:val="3A343A"/>
          <w:lang w:val="en-US"/>
        </w:rPr>
      </w:pPr>
      <w:r w:rsidRPr="00C85ECD">
        <w:rPr>
          <w:color w:val="3A343A"/>
          <w:lang w:val="en-US"/>
        </w:rPr>
        <w:t xml:space="preserve">Sizing the symbols according to population total </w:t>
      </w:r>
      <w:proofErr w:type="spellStart"/>
      <w:r w:rsidRPr="00C85ECD">
        <w:rPr>
          <w:color w:val="3A343A"/>
          <w:lang w:val="en-US"/>
        </w:rPr>
        <w:t>emphasises</w:t>
      </w:r>
      <w:proofErr w:type="spellEnd"/>
      <w:r w:rsidRPr="00C85ECD">
        <w:rPr>
          <w:color w:val="3A343A"/>
          <w:lang w:val="en-US"/>
        </w:rPr>
        <w:t xml:space="preserve"> the countries with larger populations.</w:t>
      </w:r>
    </w:p>
    <w:p w:rsidR="00C85ECD" w:rsidRPr="00C85ECD" w:rsidRDefault="00C85ECD" w:rsidP="00C85ECD">
      <w:pPr>
        <w:pStyle w:val="NormalWeb"/>
        <w:spacing w:before="0" w:beforeAutospacing="0" w:after="0" w:afterAutospacing="0"/>
        <w:textAlignment w:val="center"/>
        <w:rPr>
          <w:color w:val="3A343A"/>
          <w:lang w:val="en-US"/>
        </w:rPr>
      </w:pPr>
      <w:r w:rsidRPr="00C85ECD">
        <w:rPr>
          <w:color w:val="3A343A"/>
          <w:lang w:val="en-US"/>
        </w:rPr>
        <w:t>China had a high infant mortality rate in 1960, but from 2000 it has had a very low rate of infant mortality and very low number of children per woman.</w:t>
      </w:r>
    </w:p>
    <w:p w:rsidR="00C85ECD" w:rsidRPr="00C85ECD" w:rsidRDefault="00C85ECD" w:rsidP="00C85ECD">
      <w:pPr>
        <w:pStyle w:val="NormalWeb"/>
        <w:spacing w:before="0" w:beforeAutospacing="0" w:after="0" w:afterAutospacing="0"/>
        <w:textAlignment w:val="center"/>
        <w:rPr>
          <w:b/>
          <w:bCs/>
          <w:color w:val="3A343A"/>
          <w:bdr w:val="single" w:sz="6" w:space="12" w:color="FAFAFA" w:frame="1"/>
          <w:shd w:val="clear" w:color="auto" w:fill="FAFAFA"/>
          <w:lang w:val="en-US"/>
        </w:rPr>
      </w:pPr>
      <w:r w:rsidRPr="00C85ECD">
        <w:rPr>
          <w:b/>
          <w:bCs/>
          <w:color w:val="3A343A"/>
          <w:bdr w:val="single" w:sz="6" w:space="12" w:color="FAFAFA" w:frame="1"/>
          <w:shd w:val="clear" w:color="auto" w:fill="FAFAFA"/>
          <w:lang w:val="en-US"/>
        </w:rPr>
        <w:lastRenderedPageBreak/>
        <w:t>India has always had a slightly higher number of children per woman and Infant mortality rate than China. (Ignore 1952, 1956 and 1964 where one or both had missing data.)</w:t>
      </w:r>
    </w:p>
    <w:p w:rsidR="00C85ECD" w:rsidRPr="00C85ECD" w:rsidRDefault="00C85ECD" w:rsidP="00C85ECD">
      <w:pPr>
        <w:pStyle w:val="NormalWeb"/>
        <w:spacing w:before="0" w:beforeAutospacing="0" w:after="0" w:afterAutospacing="0"/>
        <w:textAlignment w:val="center"/>
        <w:rPr>
          <w:color w:val="3A343A"/>
          <w:lang w:val="en-US"/>
        </w:rPr>
      </w:pPr>
      <w:r w:rsidRPr="00C85ECD">
        <w:rPr>
          <w:color w:val="3A343A"/>
          <w:lang w:val="en-US"/>
        </w:rPr>
        <w:t>Over time, the trend has become flatter and straighter.</w:t>
      </w:r>
    </w:p>
    <w:p w:rsidR="00C85ECD" w:rsidRDefault="00C85ECD" w:rsidP="00C85ECD">
      <w:pPr>
        <w:rPr>
          <w:b/>
          <w:bCs/>
        </w:rPr>
      </w:pPr>
      <w:proofErr w:type="spellStart"/>
      <w:r w:rsidRPr="00C85ECD">
        <w:rPr>
          <w:b/>
          <w:bCs/>
        </w:rPr>
        <w:t>Correct</w:t>
      </w:r>
      <w:proofErr w:type="spellEnd"/>
    </w:p>
    <w:p w:rsidR="00312A0B" w:rsidRPr="00312A0B" w:rsidRDefault="00312A0B" w:rsidP="00312A0B">
      <w:pPr>
        <w:rPr>
          <w:lang w:val="en-US" w:eastAsia="pt-BR"/>
        </w:rPr>
      </w:pPr>
      <w:r w:rsidRPr="00312A0B">
        <w:rPr>
          <w:shd w:val="clear" w:color="auto" w:fill="FFFFFF"/>
          <w:lang w:val="en-US" w:eastAsia="pt-BR"/>
        </w:rPr>
        <w:t>This statement is </w:t>
      </w:r>
      <w:r w:rsidRPr="00312A0B">
        <w:rPr>
          <w:b/>
          <w:bCs/>
          <w:shd w:val="clear" w:color="auto" w:fill="FFFFFF"/>
          <w:lang w:val="en-US" w:eastAsia="pt-BR"/>
        </w:rPr>
        <w:t>FALSE</w:t>
      </w:r>
      <w:r w:rsidRPr="00312A0B">
        <w:rPr>
          <w:shd w:val="clear" w:color="auto" w:fill="FFFFFF"/>
          <w:lang w:val="en-US" w:eastAsia="pt-BR"/>
        </w:rPr>
        <w:t> – In 1960 China had a higher rate of infant mortality than India.</w:t>
      </w:r>
    </w:p>
    <w:p w:rsidR="00312A0B" w:rsidRPr="00312A0B" w:rsidRDefault="00312A0B" w:rsidP="00C85ECD">
      <w:pPr>
        <w:rPr>
          <w:b/>
          <w:bCs/>
          <w:lang w:val="en-US"/>
        </w:rPr>
      </w:pPr>
    </w:p>
    <w:p w:rsidR="00C85ECD" w:rsidRDefault="00C85ECD" w:rsidP="00C85ECD">
      <w:pPr>
        <w:pStyle w:val="Parteinferiordoformulrio"/>
      </w:pPr>
      <w:r>
        <w:t>Parte inferior do formulário</w:t>
      </w:r>
    </w:p>
    <w:p w:rsidR="00A60088" w:rsidRPr="00C85ECD" w:rsidRDefault="00A60088" w:rsidP="00C85ECD">
      <w:pPr>
        <w:rPr>
          <w:lang w:val="en-US"/>
        </w:rPr>
      </w:pPr>
    </w:p>
    <w:sectPr w:rsidR="00A60088" w:rsidRPr="00C85ECD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CD"/>
    <w:rsid w:val="00081F41"/>
    <w:rsid w:val="00312A0B"/>
    <w:rsid w:val="00A60088"/>
    <w:rsid w:val="00C8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D0C03"/>
  <w15:chartTrackingRefBased/>
  <w15:docId w15:val="{5C11481B-9239-2B4D-AF1D-8078ACE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85ECD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85EC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5ECD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5EC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85ECD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85ECD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85EC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ECD"/>
    <w:pPr>
      <w:spacing w:after="0"/>
    </w:pPr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E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5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176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938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8315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5713">
          <w:marLeft w:val="0"/>
          <w:marRight w:val="0"/>
          <w:marTop w:val="0"/>
          <w:marBottom w:val="0"/>
          <w:divBdr>
            <w:top w:val="single" w:sz="6" w:space="24" w:color="EDED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219">
              <w:marLeft w:val="0"/>
              <w:marRight w:val="24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60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559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339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lexiblelearning.auckland.ac.nz/data-to-insight/4/2/images/graph10-big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exiblelearning.auckland.ac.nz/data-to-insight/4/2/images/graph9-big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flexiblelearning.auckland.ac.nz/data-to-insight/4/2/images/graph9-big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2019-05-04T14:50:00Z</dcterms:created>
  <dcterms:modified xsi:type="dcterms:W3CDTF">2019-05-04T15:02:00Z</dcterms:modified>
</cp:coreProperties>
</file>