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LAB 1 - Aula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Para a captura de pacotes em H2: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anexe a captura (arquivo .pcap) na entrega da tarefa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685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descreva brevemente o tráfego capturado (#pacotes, tipo de pacotes, etc.)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host H1 enviar um ping para H2, usando o protocolo ICMP com tamanho de pacote 98. Logo abaixo, é possível ver o switch perguntando aos hosts quais são os endereços macs associados aos endereços de IP.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Copie a saída do ping entre h1 e h2.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581525" cy="32194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Preencha as informações de cada nó e informe os comandos usados: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H1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ndereço IP: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10.0.0.1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Endereço MAC: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00:00:00:00:00:01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Tabela de roteamento IP: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695825" cy="476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Tabela ARP: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905375" cy="714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ndereço IP: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10.0.0.2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Endereço MAC: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00:00:00:00:00:02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Tabela de roteamento IP: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41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Tabela ARP: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68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S1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ndereço IP(interfaces):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154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Endereço MAC: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257675" cy="1028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após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ether.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Tabela de roteamento IP: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Tabela ARP: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