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Protocolos de aplicação Web QUIC e HTTP2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 Rodrigues Marques - 178610.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Os protocolos foram padronizados pela organização IETF(Internet Engineering Task Force). O nome da especificação técnica de HTTP/2 é RFC 7540 e seus autores são M. Belshe, BitGo, R. Peon, Google, M. Thomson, Ed. e Mozilla. Não existe ainda uma norma específica de padronização para Web QUIC na IETF, apenas rascunhos de internet sobre o desenvolvimento da tecnologia: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https://tools.ietf.org/html/draft-tsvwg-quic-protocol-02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https://tools.ietf.org/html/draft-tsvwg-quic-loss-recovery-01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https://www.chromium.org/quic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As melhorias do HTTP/2 e QUIC em relação ao HTTP/1.1 estão listadas: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drástica no tempo de estabelecimento da conexão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congestionamento aprimorado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Multiplexação sem HOL blocking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Correção de erro antecipada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Migração de conexão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Especificação HPACK para compressão de cabeçalho.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protocolos binários para completar ciclos de requisição-resposta.</w:t>
      </w:r>
    </w:p>
    <w:p w:rsidR="00000000" w:rsidDel="00000000" w:rsidP="00000000" w:rsidRDefault="00000000" w:rsidRPr="00000000" w14:paraId="00000011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protocolo de transporte </w:t>
      </w:r>
      <w:r w:rsidDel="00000000" w:rsidR="00000000" w:rsidRPr="00000000">
        <w:rPr>
          <w:sz w:val="24"/>
          <w:szCs w:val="24"/>
          <w:rtl w:val="0"/>
        </w:rPr>
        <w:t xml:space="preserve">QUIC</w:t>
      </w:r>
      <w:r w:rsidDel="00000000" w:rsidR="00000000" w:rsidRPr="00000000">
        <w:rPr>
          <w:sz w:val="24"/>
          <w:szCs w:val="24"/>
          <w:rtl w:val="0"/>
        </w:rPr>
        <w:t xml:space="preserve"> trabalha sobre a conexão de transporte UDP. Apesar de a UDP ser mais rápida, ela possui algumas desvantagens em relação ao TCP. Para contornar esses problemas, QUIC tenta administrar essas desvantagens implementando algumas funcionalidades da camada de transporte a nível de aplicação, que são: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fluxo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congestionamento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transporte confiável</w:t>
      </w:r>
    </w:p>
    <w:p w:rsidR="00000000" w:rsidDel="00000000" w:rsidP="00000000" w:rsidRDefault="00000000" w:rsidRPr="00000000" w14:paraId="00000015">
      <w:pPr>
        <w:spacing w:after="200"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4250" cy="1685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7109" l="19435" r="19102" t="3067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A Internet é construída inteiramente usando os protocolos TCP/UDP. Alterar diretamente sobre eles seria uma processo extremamente complicado.Em primeiro lugar, criar um novo padrão seria uma tarefa difícil. Além disso, acarretaria custos e tempo para clientes e servidores globais adaptarem ao novo padrão. Devido a esses motivos, é mais prudente trabalhar no sentido de melhorar o gerenciamento sobre a camada de transporte.</w:t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https://w3techs.com/technologies/details/ce-http2/all/all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HTTP/2 é usado em 34.2% de todos os sites.</w:t>
      </w:r>
    </w:p>
    <w:p w:rsidR="00000000" w:rsidDel="00000000" w:rsidP="00000000" w:rsidRDefault="00000000" w:rsidRPr="00000000" w14:paraId="00000019">
      <w:pPr>
        <w:spacing w:after="200"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27692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https://w3techs.com/technologies/details/ce-quic/all/all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 é usado por 2.0% de todos os sites.</w:t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1189" cy="2890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189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Referências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https://en.wikipedia.org/wiki/HTTP/2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https://tools.ietf.org/html/rfc7540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https://www.chromium.org/quic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https://medium.com/@factoryhr/http-2-the-difference-between-http-1-1-benefits-and-how-to-use-it-38094fa0e95b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https://docs.google.com/document/d/1gY9-YNDNAB1eip-RTPbqphgySwSNSDHLq9D5Bty4FSU/edit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https://developers.google.com/web/fundamentals/performance/http2/?hl=pt-br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3techs.com/technologies/details/ce-http2/all/al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3techs.com/technologies/details/ce-quic/all/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tools.ietf.org/html/rfc7540" TargetMode="External"/><Relationship Id="rId14" Type="http://schemas.openxmlformats.org/officeDocument/2006/relationships/hyperlink" Target="https://en.wikipedia.org/wiki/HTTP/2" TargetMode="External"/><Relationship Id="rId17" Type="http://schemas.openxmlformats.org/officeDocument/2006/relationships/hyperlink" Target="https://medium.com/@factoryhr/http-2-the-difference-between-http-1-1-benefits-and-how-to-use-it-38094fa0e95b" TargetMode="External"/><Relationship Id="rId16" Type="http://schemas.openxmlformats.org/officeDocument/2006/relationships/hyperlink" Target="https://www.chromium.org/qu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s.google.com/web/fundamentals/performance/http2/?hl=pt-br" TargetMode="External"/><Relationship Id="rId6" Type="http://schemas.openxmlformats.org/officeDocument/2006/relationships/hyperlink" Target="https://tools.ietf.org/html/draft-tsvwg-quic-protocol-02" TargetMode="External"/><Relationship Id="rId18" Type="http://schemas.openxmlformats.org/officeDocument/2006/relationships/hyperlink" Target="https://docs.google.com/document/d/1gY9-YNDNAB1eip-RTPbqphgySwSNSDHLq9D5Bty4FSU/edit" TargetMode="External"/><Relationship Id="rId7" Type="http://schemas.openxmlformats.org/officeDocument/2006/relationships/hyperlink" Target="https://tools.ietf.org/html/draft-tsvwg-quic-loss-recovery-01" TargetMode="External"/><Relationship Id="rId8" Type="http://schemas.openxmlformats.org/officeDocument/2006/relationships/hyperlink" Target="https://www.chromium.org/qu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