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Relatório 7 - EA871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Mônica Aoki Faria</w:t>
        <w:tab/>
        <w:tab/>
        <w:tab/>
        <w:t xml:space="preserve">RA:156787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Leonardo Rodrigues Marques</w:t>
        <w:tab/>
        <w:t xml:space="preserve">RA:178610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Setamos o bit 10 de SIM_SCGC4 para nível alto para habilitar o clock de UART0: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SET_BIT(SIM_SCGC4, 10);</w:t>
        <w:tab/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Setamos o bit 9 de SIM_SCGC5 para nível alto para habilitar o clock de PORTA. Fazemos isso pois o Rx e Tx da UART0 está associada ao PTA1 e PTA2 do PORTA.</w:t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  <w:color w:val="217a9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SET_BIT(SIM_SCGC5, 9);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Configuramos o MUX do PORTA_PCR1 e PORTA_PCR2  para 010 pois, ao observar a tabela das configurações dos pinos na Seção 10.3.1 do manual do KL25, verificamos que a configuração como Tx e Rx é dada na Alternativ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 2. é necessário escrever nestes registradores para inicializar a UART0 para associar o UART0 com PTA1 e PTA2 funcionando como Tx Rx.</w:t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Verdana" w:cs="Verdana" w:eastAsia="Verdana" w:hAnsi="Verdana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SET_BIT(PORTA_PCR1, 9);</w:t>
        <w:tab/>
        <w:tab/>
        <w:tab/>
        <w:tab/>
        <w:tab/>
      </w:r>
    </w:p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  <w:color w:val="217a9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ab/>
        <w:t xml:space="preserve">SET_BIT(PORTA_PCR2, 9);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Verdana" w:cs="Verdana" w:eastAsia="Verdana" w:hAnsi="Verdana"/>
          <w:color w:val="217a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É necessário escrever nesse registrador para selecionar como fonte do clock para a UART0 o sinal MCGFLLCLK que opera na frequência de 20.97 MHz.</w:t>
      </w:r>
    </w:p>
    <w:p w:rsidR="00000000" w:rsidDel="00000000" w:rsidP="00000000" w:rsidRDefault="00000000" w:rsidRPr="00000000" w14:paraId="00000010">
      <w:pPr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Verdana" w:cs="Verdana" w:eastAsia="Verdana" w:hAnsi="Verdana"/>
          <w:color w:val="217a94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SET_BIT(SIM_SOPT2, 26);</w:t>
      </w:r>
      <w:r w:rsidDel="00000000" w:rsidR="00000000" w:rsidRPr="00000000">
        <w:rPr>
          <w:rFonts w:ascii="Verdana" w:cs="Verdana" w:eastAsia="Verdana" w:hAnsi="Verdana"/>
          <w:color w:val="217a94"/>
          <w:highlight w:val="whit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217a94"/>
          <w:sz w:val="21"/>
          <w:szCs w:val="21"/>
          <w:highlight w:val="white"/>
          <w:rtl w:val="0"/>
        </w:rPr>
        <w:tab/>
        <w:t xml:space="preserve">        </w:t>
        <w:tab/>
      </w:r>
    </w:p>
    <w:p w:rsidR="00000000" w:rsidDel="00000000" w:rsidP="00000000" w:rsidRDefault="00000000" w:rsidRPr="00000000" w14:paraId="00000012">
      <w:pPr>
        <w:jc w:val="both"/>
        <w:rPr>
          <w:rFonts w:ascii="Verdana" w:cs="Verdana" w:eastAsia="Verdana" w:hAnsi="Verdana"/>
          <w:color w:val="217a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Para iniciar a UART0 para operar com uma taxa de 19200 bps:</w:t>
      </w:r>
    </w:p>
    <w:p w:rsidR="00000000" w:rsidDel="00000000" w:rsidP="00000000" w:rsidRDefault="00000000" w:rsidRPr="00000000" w14:paraId="00000015">
      <w:pPr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Atribuímos um valor de OSR+1=16</w:t>
      </w:r>
    </w:p>
    <w:p w:rsidR="00000000" w:rsidDel="00000000" w:rsidP="00000000" w:rsidRDefault="00000000" w:rsidRPr="00000000" w14:paraId="00000017">
      <w:pPr>
        <w:jc w:val="cente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baud rate = baud clock / ((OSR+1) × BR)</w:t>
      </w:r>
    </w:p>
    <w:p w:rsidR="00000000" w:rsidDel="00000000" w:rsidP="00000000" w:rsidRDefault="00000000" w:rsidRPr="00000000" w14:paraId="00000018">
      <w:pPr>
        <w:jc w:val="cente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19200 = (20,97 × 10^6) / (16 × BR)</w:t>
      </w:r>
    </w:p>
    <w:p w:rsidR="00000000" w:rsidDel="00000000" w:rsidP="00000000" w:rsidRDefault="00000000" w:rsidRPr="00000000" w14:paraId="00000019">
      <w:pPr>
        <w:jc w:val="center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BR = 68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ab/>
        <w:t xml:space="preserve">Atribuímos ao registrador UART0_BDL o valor 1000100 (68 em binário) e   ao SBR de UART0_BDH zero.</w:t>
      </w:r>
    </w:p>
    <w:p w:rsidR="00000000" w:rsidDel="00000000" w:rsidP="00000000" w:rsidRDefault="00000000" w:rsidRPr="00000000" w14:paraId="0000001B">
      <w:pPr>
        <w:jc w:val="both"/>
        <w:rPr>
          <w:rFonts w:ascii="Verdana" w:cs="Verdana" w:eastAsia="Verdana" w:hAnsi="Verdana"/>
          <w:color w:val="217a9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Pooling é o conceito de esperar para transmitir e testar a UART para receber,  isto é, você fica verificando quando o evento ocorre em um laço de espera.</w:t>
      </w:r>
    </w:p>
    <w:p w:rsidR="00000000" w:rsidDel="00000000" w:rsidP="00000000" w:rsidRDefault="00000000" w:rsidRPr="00000000" w14:paraId="0000001D">
      <w:pPr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Para verificar se o data buffer de transmissão está cheio ou vazio. Se ele estiver cheio, deve-se esperar até que ele fique vazio para escrever.</w:t>
      </w:r>
    </w:p>
    <w:p w:rsidR="00000000" w:rsidDel="00000000" w:rsidP="00000000" w:rsidRDefault="00000000" w:rsidRPr="00000000" w14:paraId="0000001F">
      <w:pPr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O TDRE indica se o data buffer de transmissão está cheio ou vazio enquanto o TC indica se a transmissão está sendo efetuada ou se ela já foi concluída.</w:t>
      </w:r>
    </w:p>
    <w:p w:rsidR="00000000" w:rsidDel="00000000" w:rsidP="00000000" w:rsidRDefault="00000000" w:rsidRPr="00000000" w14:paraId="00000021">
      <w:pPr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Quando você implementa </w:t>
      </w:r>
      <w:r w:rsidDel="00000000" w:rsidR="00000000" w:rsidRPr="00000000">
        <w:rPr>
          <w:rFonts w:ascii="Verdana" w:cs="Verdana" w:eastAsia="Verdana" w:hAnsi="Verdana"/>
          <w:color w:val="217a94"/>
          <w:sz w:val="21"/>
          <w:szCs w:val="21"/>
          <w:highlight w:val="white"/>
          <w:rtl w:val="0"/>
        </w:rPr>
        <w:t xml:space="preserve"> “while( !(UART0_S1 &amp; UART0_S1_TDRE_MASK)) ;”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, o código não faz nada além de verificar constantemente essa condição até que ela seja verdadeira. Se implementarmos “</w:t>
      </w:r>
      <w:r w:rsidDel="00000000" w:rsidR="00000000" w:rsidRPr="00000000">
        <w:rPr>
          <w:rFonts w:ascii="Verdana" w:cs="Verdana" w:eastAsia="Verdana" w:hAnsi="Verdana"/>
          <w:color w:val="217a94"/>
          <w:sz w:val="21"/>
          <w:szCs w:val="21"/>
          <w:highlight w:val="white"/>
          <w:rtl w:val="0"/>
        </w:rPr>
        <w:t xml:space="preserve"> while( !(UART0_S1 &amp; UART0_S1_TDRE_MASK)) 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” há a possibilidade do programa ficar executando a instrução seguinte até que a condição seja satisfeita.</w:t>
      </w:r>
    </w:p>
    <w:p w:rsidR="00000000" w:rsidDel="00000000" w:rsidP="00000000" w:rsidRDefault="00000000" w:rsidRPr="00000000" w14:paraId="00000023">
      <w:pPr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 </w:t>
      </w:r>
      <w:r w:rsidDel="00000000" w:rsidR="00000000" w:rsidRPr="00000000">
        <w:rPr>
          <w:rFonts w:ascii="Verdana" w:cs="Verdana" w:eastAsia="Verdana" w:hAnsi="Verdana"/>
          <w:i w:val="1"/>
          <w:highlight w:val="white"/>
          <w:rtl w:val="0"/>
        </w:rPr>
        <w:t xml:space="preserve">flag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RDRF do registrador UART0_S1 mostra se o registrador que recebe data está cheio ou vazio. Se ele estiver cheio, quer dizer que existem dados a serem lidos no registrador.</w:t>
      </w:r>
    </w:p>
    <w:p w:rsidR="00000000" w:rsidDel="00000000" w:rsidP="00000000" w:rsidRDefault="00000000" w:rsidRPr="00000000" w14:paraId="00000025">
      <w:pPr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Se não testarmos a flag RDDF o programa poderá ficar tentando ler um registrador que está vazio e computar valores errados.</w:t>
      </w:r>
    </w:p>
    <w:p w:rsidR="00000000" w:rsidDel="00000000" w:rsidP="00000000" w:rsidRDefault="00000000" w:rsidRPr="00000000" w14:paraId="00000027">
      <w:pPr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