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619D7">
      <w:pPr>
        <w:spacing w:after="160"/>
        <w:jc w:val="center"/>
      </w:pPr>
      <w:r>
        <w:rPr>
          <w:rFonts w:ascii="Calibri" w:hAnsi="Calibri"/>
          <w:b/>
          <w:color w:val="0B2545"/>
          <w:sz w:val="36"/>
        </w:rPr>
        <w:t>RoadTailBench Evaluation Metrics: Methods and Definitions</w:t>
      </w:r>
    </w:p>
    <w:p w14:paraId="7DA1F0F9">
      <w:pPr>
        <w:pStyle w:val="3"/>
      </w:pPr>
      <w:r>
        <w:t>1. Evaluation Overview</w:t>
      </w:r>
    </w:p>
    <w:p w14:paraId="2FC3BE0F">
      <w:r>
        <w:t>本文档给出 RoadTailBench 当前测评指标的计算方法。所有核心指标输出为 [0, 1] 区间分数，1 表示该维度表现最好，0 表示严重失败或缺少必要数据。综合驾驶分进一步映射为 0-100 分。评价基于同步仿真产生的 frame log、场景 metadata 和碰撞/近距检测记录，使用仿真时间而非墙钟时间。</w:t>
      </w:r>
    </w:p>
    <w:p w14:paraId="746A4C4F">
      <w:pPr>
        <w:pStyle w:val="169"/>
        <w:rPr>
          <w:rFonts w:hint="eastAsia" w:eastAsia="宋体"/>
          <w:lang w:val="en-US" w:eastAsia="zh-CN"/>
        </w:rPr>
      </w:pPr>
      <w:r>
        <w:t xml:space="preserve">每一帧记为 k，仿真时间为 </w:t>
      </w:r>
      <m:oMath>
        <m:sSub>
          <m:sSubPr/>
          <m:e>
            <m:r>
              <m:rPr/>
              <m:t>t</m:t>
            </m:r>
          </m:e>
          <m:sub>
            <m:r>
              <m:rPr/>
              <m:t>k</m:t>
            </m:r>
          </m:sub>
        </m:sSub>
      </m:oMath>
      <w:r>
        <w:t xml:space="preserve">，ego 平面位置为 </w:t>
      </w:r>
      <m:oMath>
        <m:sSub>
          <m:sSubPr/>
          <m:e>
            <m:r>
              <m:rPr/>
              <m:t>p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k</m:t>
                </m:r>
              </m:sub>
            </m:sSub>
          </m:e>
        </m:d>
      </m:oMath>
      <w:r>
        <w:t xml:space="preserve">，速度为 </w:t>
      </w:r>
      <m:oMath>
        <m:sSub>
          <m:sSubPr/>
          <m:e>
            <m:r>
              <m:rPr/>
              <m:t>v</m:t>
            </m:r>
          </m:e>
          <m:sub>
            <m:r>
              <m:rPr/>
              <m:t>k</m:t>
            </m:r>
          </m:sub>
        </m:sSub>
      </m:oMath>
      <w:r>
        <w:t xml:space="preserve">，控制量为 </w:t>
      </w:r>
      <m:oMath>
        <m:sSub>
          <m:sSubPr/>
          <m:e>
            <m:r>
              <m:rPr/>
              <m:t>u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d>
          <m:dPr>
            <m:sepChr m:val=""/>
          </m:dPr>
          <m:e>
            <m:r>
              <m:rPr/>
              <m:t>stee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/>
              <m:t>throttl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/>
              <m:t>brak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k</m:t>
                </m:r>
              </m:sub>
            </m:sSub>
          </m:e>
        </m:d>
      </m:oMath>
      <w:r>
        <w:t xml:space="preserve">。参考轨迹为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</m:oMath>
      <w:r>
        <w:t xml:space="preserve">，累计弧长坐标为 s。函数 </w:t>
      </w:r>
      <m:oMath>
        <m:r>
          <m:rPr/>
          <w:rPr>
            <w:rFonts w:hint="default" w:ascii="Cambria Math" w:hAnsi="Cambria Math"/>
          </w:rPr>
          <m:t>clamp</m:t>
        </m:r>
        <m:d>
          <m:dPr>
            <m:sepChr m:val="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>
        <w:t xml:space="preserve"> 表示将 x 截断到 [0,1]</w:t>
      </w:r>
      <w:r>
        <w:rPr>
          <w:rFonts w:hint="eastAsia" w:eastAsia="宋体"/>
          <w:lang w:val="en-US" w:eastAsia="zh-CN"/>
        </w:rPr>
        <w:t>区间内：</w:t>
      </w:r>
    </w:p>
    <w:p w14:paraId="378DA0F9">
      <w:pPr>
        <w:pStyle w:val="169"/>
      </w:pPr>
      <m:oMathPara>
        <m:oMath>
          <m:r>
            <m:rPr/>
            <w:rPr>
              <w:rFonts w:hint="default" w:ascii="Cambria Math" w:hAnsi="Cambria Math"/>
            </w:rPr>
            <m:t>clamp</m:t>
          </m:r>
          <m:d>
            <m:dPr>
              <m:sep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hint="default" w:ascii="Cambria Math" w:hAnsi="Cambria Math"/>
            </w:rPr>
            <m:t>=max</m:t>
          </m:r>
          <m:d>
            <m:dPr>
              <m:sep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</m:t>
              </m:r>
              <m:r>
                <m:rPr/>
                <w:rPr>
                  <w:rFonts w:hint="default" w:ascii="Cambria Math" w:hAnsi="Cambria Math"/>
                </w:rPr>
                <m:t>,min</m:t>
              </m:r>
              <m:d>
                <m:dPr>
                  <m:sepChr m:val="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</w:rPr>
                    <m:t>x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7B47A45F">
      <w:pPr>
        <w:pStyle w:val="3"/>
      </w:pPr>
      <w:r>
        <w:t>2. Data Inputs and Pre-processing</w:t>
      </w:r>
    </w:p>
    <w:p w14:paraId="0F0700DC">
      <w:r>
        <w:t>指标读取 leaderboard_frame_log.jsonl 中的 ego 状态、动态 actor 状态、控制量、碰撞事件和环境近距信息。metadata 提供 reference_trajectory、ego_start、ego_goal/ego_end、speed_limit_kmh、hazards、capability_vector 以及车辆默认物理参数。reference_trajectory 用作合理路线参考，不假定为专家最优轨迹。</w:t>
      </w:r>
    </w:p>
    <w:p w14:paraId="18118572">
      <w:r>
        <w:t>环境近距风险由 CARLA raycast 低频采样得到；默认每 5 帧采样一次 7 条射线，角度为 -90, -60, -30, 0, 30, 60, 90 度，最大距离 30 m。非采样帧复用最近一次结果，用于降低 CARLA RPC 压力。动态 actor 距离由 frame log 直接计算。</w:t>
      </w:r>
    </w:p>
    <w:p w14:paraId="721C8ED6">
      <w:pPr>
        <w:pStyle w:val="3"/>
      </w:pPr>
      <w:r>
        <w:t>3. Core Metrics</w:t>
      </w:r>
    </w:p>
    <w:p w14:paraId="1E6923FE">
      <w:pPr>
        <w:pStyle w:val="5"/>
      </w:pPr>
      <w:r>
        <w:t>3.1 Route Completion</w:t>
      </w:r>
    </w:p>
    <w:p w14:paraId="65716B8B">
      <w:r>
        <w:rPr>
          <w:b/>
        </w:rPr>
        <w:t>目的：</w:t>
      </w:r>
      <w:r>
        <w:t>衡量 ego 是否沿参考路线或起终点定义完成场景任务。</w:t>
      </w:r>
    </w:p>
    <w:p w14:paraId="48271CEE">
      <w:r>
        <w:rPr>
          <w:b/>
        </w:rPr>
        <w:t>输入：</w:t>
      </w:r>
      <w:r>
        <w:t>reference_trajectory；若缺失则使用 ego_start 与 ego_goal/ego_end；每帧 ego 位置。</w:t>
      </w:r>
    </w:p>
    <w:p w14:paraId="39882F3B">
      <w:pPr>
        <w:pStyle w:val="169"/>
        <w:jc w:val="center"/>
        <w:rPr>
          <w:i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k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  <w:iCs/>
              </w:rPr>
            </m:ctrlPr>
          </m:sup>
        </m:sSubSup>
        <m:r>
          <m:rPr/>
          <w:rPr>
            <w:rFonts w:ascii="Cambria Math" w:hAnsi="Cambria Math"/>
          </w:rPr>
          <m:t>=</m:t>
        </m:r>
      </m:oMath>
      <w:r>
        <w:rPr>
          <w:i/>
          <w:iCs/>
        </w:rPr>
        <w:t>projection_arc_length</w:t>
      </w:r>
      <m:oMath>
        <m:d>
          <m:dPr>
            <m:sepChr m:val="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</m:t>
            </m:r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</w:p>
    <w:p w14:paraId="1CFC3A0E">
      <w:pPr>
        <w:pStyle w:val="4"/>
        <w:rPr>
          <w:i/>
          <w:iCs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/>
            </w:rPr>
            <m:t>S</m:t>
          </m:r>
          <m:r>
            <m:rPr/>
            <w:rPr>
              <w:rFonts w:hint="default" w:ascii="Cambria Math" w:hAnsi="Cambria Math"/>
            </w:rPr>
            <m:t>=length</m:t>
          </m:r>
          <m:d>
            <m:dPr>
              <m:sep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0DA20871">
      <w:pPr>
        <w:pStyle w:val="169"/>
        <w:rPr>
          <w:i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score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route</m:t>
              </m:r>
              <m:ctrlPr>
                <w:rPr>
                  <w:rFonts w:ascii="Cambria Math" w:hAnsi="Cambria Math"/>
                  <w:i/>
                  <w:iCs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=clamp</m:t>
          </m:r>
          <m:d>
            <m:dPr>
              <m:sep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lang w:val="en-US" w:eastAsia="zh-CN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3543D1A7">
      <w:pPr>
        <w:pStyle w:val="169"/>
      </w:pPr>
      <w:r>
        <w:rPr>
          <w:rFonts w:hint="eastAsia" w:ascii="Consolas" w:hAnsi="Consolas"/>
          <w:sz w:val="19"/>
        </w:rPr>
        <w:t>若满足到达终点条件</w:t>
      </w:r>
      <m:oMath>
        <m:d>
          <m:dPr>
            <m:sepChr m:val=""/>
          </m:dPr>
          <m:e>
            <m:sSub>
              <m:sSubPr/>
              <m:e>
                <m:r>
                  <m:rPr>
                    <m:sty m:val="p"/>
                  </m:rPr>
                  <m:t>min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∥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g</m:t>
            </m:r>
            <m:r>
              <m:rPr>
                <m:sty m:val="p"/>
              </m:rPr>
              <m:t>∥≤</m:t>
            </m:r>
            <m:sSub>
              <m:sSubPr/>
              <m:e>
                <m:r>
                  <m:rPr/>
                  <m:t>d</m:t>
                </m:r>
              </m:e>
              <m:sub>
                <m:r>
                  <m:rPr>
                    <m:sty m:val="p"/>
                  </m:rPr>
                  <m:t>goal</m:t>
                </m:r>
              </m:sub>
            </m:sSub>
          </m:e>
        </m:d>
      </m:oMath>
      <w:r>
        <w:rPr>
          <w:rFonts w:hint="eastAsia" w:eastAsia="宋体"/>
          <w:lang w:val="en-US" w:eastAsia="zh-CN"/>
        </w:rPr>
        <w:t>,</w:t>
      </w:r>
      <w:r>
        <w:rPr>
          <w:rFonts w:hint="eastAsia" w:ascii="Calibri" w:hAnsi="Calibri" w:eastAsiaTheme="minorEastAsia" w:cstheme="minorBidi"/>
          <w:sz w:val="22"/>
          <w:szCs w:val="22"/>
          <w:lang w:val="en-US" w:eastAsia="zh-CN" w:bidi="ar-SA"/>
        </w:rPr>
        <w:t>则直接满分，</w:t>
      </w:r>
      <m:oMath>
        <m:r>
          <m:rPr/>
          <m:t>scor</m:t>
        </m:r>
        <m:sSub>
          <m:sSubPr/>
          <m:e>
            <m:r>
              <m:rPr/>
              <m:t>e</m:t>
            </m:r>
          </m:e>
          <m:sub>
            <m:r>
              <m:rPr/>
              <m:t>route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3EFD6021">
      <w:pPr>
        <w:pStyle w:val="169"/>
        <m:rPr/>
        <w:rPr>
          <w:i/>
        </w:rPr>
      </w:pPr>
      <m:oMathPara>
        <m:oMath>
          <m:r>
            <m:rPr/>
            <m:t>fallback</m:t>
          </m:r>
          <m:r>
            <m:rPr>
              <m:sty m:val="p"/>
            </m:rPr>
            <m:t>:</m:t>
          </m:r>
          <m:r>
            <m:rPr/>
            <m:t>scor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route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63B2D7D5">
      <w:pPr>
        <w:pStyle w:val="169"/>
      </w:pPr>
      <m:oMathPara>
        <m:oMath>
          <m:r>
            <m:rPr/>
            <w:rPr>
              <w:rFonts w:hint="default" w:ascii="Cambria Math" w:hAnsi="Cambria Math" w:eastAsia="宋体"/>
              <w:lang w:val="en-US" w:eastAsia="zh-CN"/>
            </w:rPr>
            <m:t xml:space="preserve"> </m:t>
          </m:r>
          <m:r>
            <m:rPr/>
            <m:t>if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mi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goal</m:t>
                  </m:r>
                </m:sub>
              </m:sSub>
            </m:sub>
          </m:sSub>
          <m:r>
            <m:rPr>
              <m:sty m:val="p"/>
            </m:rPr>
            <m:t>&lt;=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goal</m:t>
              </m:r>
            </m:sub>
          </m:sSub>
        </m:oMath>
      </m:oMathPara>
    </w:p>
    <w:p w14:paraId="2A8A9EA9">
      <w:pPr>
        <w:pStyle w:val="169"/>
        <w:rPr>
          <w:i w:val="0"/>
        </w:rPr>
      </w:pPr>
      <m:oMathPara>
        <m:oMath>
          <m:r>
            <m:rPr/>
            <m:t>elseclamp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/>
                    <m:t>g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  <m:r>
                    <m:rPr/>
                    <m:t>i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r>
                    <m:rPr/>
                    <m:t>oal</m:t>
                  </m:r>
                </m:e>
              </m:d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g</m:t>
              </m:r>
            </m:e>
          </m:d>
        </m:oMath>
      </m:oMathPara>
    </w:p>
    <w:p w14:paraId="46F1C22E">
      <w:pPr>
        <w:pStyle w:val="4"/>
      </w:pPr>
    </w:p>
    <w:p w14:paraId="2D4C6E4E">
      <w:pPr>
        <w:spacing w:before="40" w:after="120"/>
        <w:ind w:lef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参数解释：</w:t>
      </w:r>
    </w:p>
    <w:p w14:paraId="15AD2EFB">
      <w:pPr>
        <w:spacing w:before="40" w:after="120"/>
        <w:ind w:left="259"/>
        <w:rPr>
          <w:rFonts w:hint="eastAsia" w:ascii="Consolas" w:hAnsi="Consolas"/>
          <w:sz w:val="19"/>
        </w:rPr>
      </w:pPr>
      <m:oMath>
        <m:sSub>
          <m:sSubPr/>
          <m:e>
            <m:r>
              <m:rPr/>
              <m:t>d</m:t>
            </m:r>
          </m:e>
          <m:sub>
            <m:r>
              <m:rPr/>
              <m:t>goal</m:t>
            </m:r>
          </m:sub>
        </m:sSub>
      </m:oMath>
      <w:r>
        <w:rPr>
          <w:rFonts w:hint="eastAsia" w:ascii="Consolas" w:hAnsi="Consolas"/>
          <w:sz w:val="19"/>
        </w:rPr>
        <w:t xml:space="preserve"> 默认为 route_goal_tolerance_m；若未设置则取 natural_end_distance_m，默认 </w:t>
      </w:r>
      <w:r>
        <w:rPr>
          <w:rFonts w:hint="eastAsia" w:ascii="Consolas" w:hAnsi="Consolas" w:eastAsia="宋体"/>
          <w:sz w:val="19"/>
          <w:lang w:val="en-US" w:eastAsia="zh-CN"/>
        </w:rPr>
        <w:t>5m，R</w:t>
      </w:r>
      <w:r>
        <w:rPr>
          <w:rFonts w:hint="eastAsia" w:ascii="Consolas" w:hAnsi="Consolas"/>
          <w:sz w:val="19"/>
        </w:rPr>
        <w:t xml:space="preserve"> 为参考轨迹，</w:t>
      </w:r>
      <w:r>
        <w:rPr>
          <w:rFonts w:hint="eastAsia" w:ascii="Consolas" w:hAnsi="Consolas" w:eastAsia="宋体"/>
          <w:sz w:val="19"/>
          <w:lang w:val="en-US" w:eastAsia="zh-CN"/>
        </w:rPr>
        <w:t>g</w:t>
      </w:r>
      <w:r>
        <w:rPr>
          <w:rFonts w:hint="eastAsia" w:ascii="Consolas" w:hAnsi="Consolas"/>
          <w:sz w:val="19"/>
        </w:rPr>
        <w:t xml:space="preserve"> 为终点，</w:t>
      </w:r>
      <m:oMath>
        <m:sSub>
          <m:sSubPr>
            <m:ctrlPr>
              <w:rPr>
                <w:rFonts w:ascii="Cambria Math" w:hAnsi="Cambria Math"/>
                <w:i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19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sz w:val="19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19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19"/>
                    <w:lang w:val="en-US" w:eastAsia="zh-CN"/>
                  </w:rPr>
                  <m:t>0</m:t>
                </m:r>
                <m:ctrlPr>
                  <w:rPr>
                    <w:rFonts w:ascii="Cambria Math" w:hAnsi="Cambria Math"/>
                    <w:i/>
                    <w:sz w:val="1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19"/>
                    <w:lang w:val="en-US" w:eastAsia="zh-CN"/>
                  </w:rPr>
                  <m:t>g</m:t>
                </m:r>
                <m:ctrlPr>
                  <w:rPr>
                    <w:rFonts w:ascii="Cambria Math" w:hAnsi="Cambria Math"/>
                    <w:i/>
                    <w:sz w:val="19"/>
                  </w:rPr>
                </m:ctrlPr>
              </m:sub>
            </m:sSub>
            <m:ctrlPr>
              <w:rPr>
                <w:rFonts w:ascii="Cambria Math" w:hAnsi="Cambria Math"/>
                <w:i/>
                <w:sz w:val="19"/>
              </w:rPr>
            </m:ctrlPr>
          </m:sub>
        </m:sSub>
      </m:oMath>
      <w:r>
        <w:rPr>
          <w:rFonts w:hint="eastAsia" w:ascii="Consolas" w:hAnsi="Consolas"/>
          <w:sz w:val="19"/>
        </w:rPr>
        <w:t xml:space="preserve"> 为起点到终点距离。</w:t>
      </w:r>
    </w:p>
    <w:p w14:paraId="5351F24C">
      <w:r>
        <w:rPr>
          <w:b/>
        </w:rPr>
        <w:t>结果解释：</w:t>
      </w:r>
      <w:r>
        <w:t>有参考轨迹时按最大路线投影进度计算；无轨迹但有终点时按接近终点程度计算；轨迹和终点均缺失时返回 0，避免虚高。</w:t>
      </w:r>
    </w:p>
    <w:p w14:paraId="2A55DD4B">
      <w:pPr>
        <w:pStyle w:val="5"/>
      </w:pPr>
      <w:r>
        <w:t>3.2 Collision Penalty</w:t>
      </w:r>
    </w:p>
    <w:p w14:paraId="0ED2DE55">
      <w:r>
        <w:rPr>
          <w:b/>
        </w:rPr>
        <w:t>目的：</w:t>
      </w:r>
      <w:r>
        <w:t>评价 ego 与其他车辆、行人、静态物体或道具的碰撞严重程度。</w:t>
      </w:r>
    </w:p>
    <w:p w14:paraId="0C8D9282">
      <w:r>
        <w:rPr>
          <w:b/>
        </w:rPr>
        <w:t>输入：</w:t>
      </w:r>
      <w:r>
        <w:t>frame log 中的 collision events。</w:t>
      </w:r>
    </w:p>
    <w:p w14:paraId="583C6F29">
      <w:pPr>
        <w:pStyle w:val="169"/>
        <w:jc w:val="center"/>
        <w:rPr>
          <w:rFonts w:hint="default" w:eastAsia="宋体"/>
          <w:lang w:val="en-US" w:eastAsia="zh-CN"/>
        </w:rPr>
      </w:pPr>
      <m:oMath>
        <m:r>
          <m:rPr/>
          <m:t>W</m:t>
        </m:r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j</m:t>
            </m:r>
          </m:sub>
          <m:sup>
            <m:r>
              <m:rPr/>
              <m:t>​</m:t>
            </m:r>
          </m:sup>
          <m:e>
            <m:r>
              <m:rPr/>
              <m:t>w</m:t>
            </m:r>
          </m:e>
        </m:nary>
        <m:d>
          <m:dPr>
            <m:sepChr m:val=""/>
          </m:dPr>
          <m:e>
            <m:sSub>
              <m:sSubPr/>
              <m:e>
                <m:r>
                  <m:rPr>
                    <m:sty m:val="p"/>
                  </m:rPr>
                  <m:t>type</m:t>
                </m:r>
              </m:e>
              <m:sub>
                <m:r>
                  <m:rPr/>
                  <m:t>j</m:t>
                </m:r>
              </m:sub>
            </m:sSub>
          </m:e>
        </m:d>
      </m:oMath>
      <w:r>
        <w:rPr>
          <w:rFonts w:hint="eastAsia" w:eastAsia="宋体"/>
          <w:i w:val="0"/>
          <w:lang w:val="en-US" w:eastAsia="zh-CN"/>
        </w:rPr>
        <w:t xml:space="preserve"> ,</w:t>
      </w:r>
      <w:r>
        <w:rPr>
          <w:rFonts w:ascii="Consolas" w:hAnsi="Consolas"/>
          <w:sz w:val="19"/>
        </w:rPr>
        <w:t>after duplicate merging</w:t>
      </w:r>
    </w:p>
    <w:p w14:paraId="4071D612">
      <w:pPr>
        <w:pStyle w:val="169"/>
      </w:pPr>
      <m:oMathPara>
        <m:oMath>
          <m:sSub>
            <m:sSubPr/>
            <m:e>
              <m:r>
                <m:rPr>
                  <m:sty m:val="p"/>
                </m:rPr>
                <m:t>score</m:t>
              </m:r>
            </m:e>
            <m:sub>
              <m:r>
                <m:rPr>
                  <m:sty m:val="p"/>
                </m:rPr>
                <m:t>collision</m:t>
              </m:r>
            </m:sub>
          </m:sSub>
          <m:r>
            <m:rPr>
              <m:sty m:val="p"/>
            </m:rPr>
            <m:t>=max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max</m:t>
                  </m:r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W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col</m:t>
                          </m:r>
                        </m:sub>
                      </m:sSub>
                    </m:e>
                  </m:d>
                </m:num>
                <m:den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col</m:t>
                      </m:r>
                    </m:sub>
                  </m:sSub>
                </m:den>
              </m:f>
            </m:e>
          </m:d>
        </m:oMath>
      </m:oMathPara>
    </w:p>
    <w:p w14:paraId="2E2C4463">
      <w:pPr>
        <w:spacing w:before="40" w:after="120"/>
        <w:ind w:left="259"/>
        <w:rPr>
          <w:rFonts w:ascii="Consolas" w:hAnsi="Consolas"/>
          <w:sz w:val="19"/>
        </w:rPr>
      </w:pPr>
    </w:p>
    <w:p w14:paraId="025127D5">
      <w:r>
        <w:rPr>
          <w:b/>
        </w:rPr>
        <w:t>参数解释：</w:t>
      </w:r>
      <w:r>
        <w:t>重复碰撞合并窗口 collision_merge_window_s 默认 5 s。权重：walker=1.00, vehicle=0.75, static=0.35, prop=0.25, other=0.50。T_col 默认 0，S_col 默认 2。</w:t>
      </w:r>
    </w:p>
    <w:p w14:paraId="7181D25B">
      <w:r>
        <w:rPr>
          <w:b/>
        </w:rPr>
        <w:t>结果解释：</w:t>
      </w:r>
      <w:r>
        <w:t>分数越低表示碰撞越多或碰撞对象越严重。CARLA 碰撞传感器可检测与物理场景中 actor/静态物体的接触，类别由碰撞对象 type_id 归类。</w:t>
      </w:r>
    </w:p>
    <w:p w14:paraId="4B8BB9F1">
      <w:pPr>
        <w:pStyle w:val="5"/>
      </w:pPr>
      <w:r>
        <w:t>3.3 Driving Efficiency</w:t>
      </w:r>
    </w:p>
    <w:p w14:paraId="415A1613">
      <w:r>
        <w:rPr>
          <w:b/>
        </w:rPr>
        <w:t>目的：</w:t>
      </w:r>
      <w:r>
        <w:t>用累计仿真时间评价完成路线的效率，不受设备实时运行速度影响。</w:t>
      </w:r>
    </w:p>
    <w:p w14:paraId="7A5F6C39">
      <w:r>
        <w:rPr>
          <w:b/>
        </w:rPr>
        <w:t>输入：</w:t>
      </w:r>
      <w:r>
        <w:t>仿真时间、reference_trajectory、speed_limit_kmh/reference_speed_kmh、route_completion。</w:t>
      </w:r>
    </w:p>
    <w:p w14:paraId="6A9953D7">
      <w:pPr>
        <w:pStyle w:val="169"/>
      </w:pPr>
      <m:oMathPara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elapsed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last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first</m:t>
              </m:r>
            </m:sub>
          </m:sSub>
        </m:oMath>
      </m:oMathPara>
    </w:p>
    <w:p w14:paraId="3D657257">
      <w:pPr>
        <w:pStyle w:val="169"/>
      </w:pPr>
      <m:oMathPara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expected</m:t>
              </m:r>
            </m:sub>
          </m:sSub>
          <m:r>
            <m:rPr>
              <m:sty m:val="p"/>
            </m:rPr>
            <m:t>=</m:t>
          </m:r>
          <m:r>
            <m:rPr/>
            <m:t>length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>
              <m:sty m:val="p"/>
            </m:rPr>
            <m:t>/</m:t>
          </m:r>
          <m:r>
            <m:rPr/>
            <m:t>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ref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0.1</m:t>
              </m:r>
            </m:e>
          </m:d>
        </m:oMath>
      </m:oMathPara>
    </w:p>
    <w:p w14:paraId="7D1FF59D">
      <w:pPr>
        <w:spacing w:before="40" w:after="120"/>
        <w:ind w:lef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时间得分计算如下：</w:t>
      </w:r>
    </w:p>
    <w:p w14:paraId="46821E19">
      <w:pPr>
        <w:pStyle w:val="169"/>
      </w:pPr>
      <m:oMathPara>
        <m:oMath>
          <m:r>
            <m:rPr/>
            <m:t>scor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time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if</m:t>
          </m:r>
          <m:sSub>
            <m:sSubPr/>
            <m:e>
              <m:r>
                <m:rPr>
                  <m:sty m:val="p"/>
                </m:rPr>
                <w:rPr>
                  <w:rFonts w:hint="default" w:eastAsia="宋体"/>
                  <w:lang w:val="en-US" w:eastAsia="zh-CN"/>
                </w:rPr>
                <m:t xml:space="preserve"> </m:t>
              </m:r>
              <m:r>
                <m:rPr/>
                <m:t>T</m:t>
              </m:r>
            </m:e>
            <m:sub>
              <m:r>
                <m:rPr/>
                <m:t>elapsed</m:t>
              </m:r>
            </m:sub>
          </m:sSub>
          <m:r>
            <m:rPr>
              <m:sty m:val="p"/>
            </m:rPr>
            <m:t>&lt;=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expected</m:t>
              </m:r>
            </m:sub>
          </m:sSub>
        </m:oMath>
      </m:oMathPara>
    </w:p>
    <w:p w14:paraId="3652F839">
      <w:pPr>
        <w:pStyle w:val="169"/>
      </w:pPr>
      <m:oMathPara>
        <m:oMath>
          <m:r>
            <m:rPr/>
            <m:t>scor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time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clamp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elapsed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expected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/</m:t>
              </m:r>
              <m:d>
                <m:dPr>
                  <m:sepChr m:val=""/>
                </m:dPr>
                <m:e>
                  <m:r>
                    <m:rPr/>
                    <m:t>rh</m:t>
                  </m:r>
                  <m:sSub>
                    <m:sSubPr/>
                    <m:e>
                      <m:r>
                        <m:rPr/>
                        <m:t>o</m:t>
                      </m:r>
                    </m:e>
                    <m:sub>
                      <m:r>
                        <m:rPr/>
                        <m:t>hard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otherwise</m:t>
          </m:r>
        </m:oMath>
      </m:oMathPara>
    </w:p>
    <w:p w14:paraId="676A4EF5">
      <w:pPr>
        <w:spacing w:before="40" w:after="120"/>
        <w:ind w:left="259"/>
        <w:rPr>
          <w:rFonts w:hint="eastAsia" w:ascii="Consolas" w:hAnsi="Consolas"/>
          <w:sz w:val="19"/>
        </w:rPr>
      </w:pPr>
    </w:p>
    <w:p w14:paraId="644AB892">
      <w:pPr>
        <w:pStyle w:val="169"/>
      </w:pPr>
      <m:oMathPara>
        <m:oMath>
          <m:r>
            <m:rPr/>
            <m:t>scor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efficiency</m:t>
              </m:r>
            </m:sub>
          </m:sSub>
          <m:r>
            <m:rPr>
              <m:sty m:val="p"/>
            </m:rPr>
            <m:t>=</m:t>
          </m:r>
          <m:r>
            <m:rPr/>
            <m:t>clamp</m:t>
          </m:r>
          <m:d>
            <m:dPr>
              <m:sepChr m:val=""/>
            </m:dPr>
            <m:e>
              <m:r>
                <m:rPr/>
                <m:t>scor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time</m:t>
                  </m:r>
                </m:sub>
              </m:sSub>
              <m:r>
                <m:rPr>
                  <m:sty m:val="p"/>
                </m:rPr>
                <m:t>∗</m:t>
              </m:r>
              <m:r>
                <m:rPr/>
                <m:t>scor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route</m:t>
                  </m:r>
                </m:sub>
              </m:sSub>
            </m:e>
          </m:d>
        </m:oMath>
      </m:oMathPara>
    </w:p>
    <w:p w14:paraId="215DB5F7">
      <w:r>
        <w:rPr>
          <w:b/>
        </w:rPr>
        <w:t>参数解释：</w:t>
      </w:r>
      <w:r>
        <w:t>v_ref 来自 speed_limit_kmh，缺失时使用 reference_speed_kmh，默认 50 km/h。rho_hard=efficiency_hard_time_ratio，默认 2.0。</w:t>
      </w:r>
    </w:p>
    <w:p w14:paraId="2D2169D5">
      <w:r>
        <w:rPr>
          <w:b/>
        </w:rPr>
        <w:t>结果解释：</w:t>
      </w:r>
      <w:r>
        <w:t>按仿真时间而非 wall-clock 时间计分；若缺少参考路线，当前实现返回 1 并标注 missing_route，因此正式评测应要求每个场景给出路线或终点。</w:t>
      </w:r>
    </w:p>
    <w:p w14:paraId="357C3E98">
      <w:pPr>
        <w:pStyle w:val="5"/>
      </w:pPr>
      <w:r>
        <w:t>3.4 Speed Appropriateness</w:t>
      </w:r>
    </w:p>
    <w:p w14:paraId="617A6E24">
      <w:r>
        <w:rPr>
          <w:b/>
        </w:rPr>
        <w:t>目的：</w:t>
      </w:r>
      <w:r>
        <w:t>评价 ego 是否遵守普通区域速度上限，并在隐患区域接近参考安全速度。</w:t>
      </w:r>
    </w:p>
    <w:p w14:paraId="55AA62EE">
      <w:r>
        <w:rPr>
          <w:b/>
        </w:rPr>
        <w:t>输入：</w:t>
      </w:r>
      <w:r>
        <w:t>每帧 ego 速度、speed_limit_kmh、hazards 或 speed_zones 中的 reference_speed_kmh/target_speed_kmh。</w:t>
      </w:r>
    </w:p>
    <w:p w14:paraId="4772DBA9">
      <w:pPr>
        <w:rPr>
          <w:rFonts w:hint="eastAsia"/>
        </w:rPr>
      </w:pPr>
      <w:r>
        <w:rPr>
          <w:rFonts w:hint="eastAsia"/>
        </w:rPr>
        <w:t>Normal 区域 (普通路段)：</w:t>
      </w:r>
    </w:p>
    <w:p w14:paraId="61E07F45">
      <w:pPr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=1−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宋体"/>
                                  <w:sz w:val="22"/>
                                  <w:lang w:val="en-US" w:eastAsia="zh-CN"/>
                                </w:rPr>
                                <m:t>lim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−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Δ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v</m:t>
                      </m: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2"/>
                          <w:lang w:val="en-US" w:eastAsia="zh-CN"/>
                        </w:rPr>
                        <m:t>lim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404F4328">
      <w:pPr>
        <w:rPr>
          <w:rFonts w:hint="eastAsia"/>
        </w:rPr>
      </w:pPr>
      <w:r>
        <w:rPr>
          <w:rFonts w:hint="eastAsia"/>
        </w:rPr>
        <w:t>Hazard 区域 (隐患路段)：</w:t>
      </w:r>
    </w:p>
    <w:p w14:paraId="53ECBFCD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allow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h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1+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α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h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430A025C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=1−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allow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2"/>
                    </w:rPr>
                  </m:ctrlPr>
                </m:num>
                <m:den>
                  <m:func>
                    <m:func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max</m:t>
                      </m: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,0.1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6282B976">
      <w:pPr>
        <w:spacing w:before="40" w:after="120"/>
        <w:ind w:lef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最终得分：</w:t>
      </w:r>
    </w:p>
    <w:p w14:paraId="5DE7B6F5">
      <w:pPr>
        <w:spacing w:before="40" w:after="120"/>
        <w:ind w:left="259"/>
        <w:rPr>
          <w:rFonts w:hint="eastAsia" w:ascii="Consolas" w:hAnsi="Consolas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iCs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9"/>
                </w:rPr>
                <m:t>score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9"/>
                </w:rPr>
                <m:t>speed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iCs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19"/>
                </w:rPr>
                <m:t>1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19"/>
                </w:rPr>
                <m:t>K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iCs/>
                  <w:sz w:val="19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19"/>
                </w:rPr>
                <m:t>k=1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19"/>
                </w:rPr>
                <m:t>K</m:t>
              </m:r>
              <m:ctrlPr>
                <w:rPr>
                  <w:rFonts w:ascii="Cambria Math" w:hAnsi="Cambria Math"/>
                  <w:i/>
                  <w:iCs/>
                  <w:sz w:val="19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i/>
                      <w:iCs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9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iCs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iCs/>
                  <w:sz w:val="19"/>
                </w:rPr>
              </m:ctrlPr>
            </m:e>
          </m:nary>
        </m:oMath>
      </m:oMathPara>
    </w:p>
    <w:p w14:paraId="690DFD25">
      <w:r>
        <w:rPr>
          <w:b/>
        </w:rPr>
        <w:t>参数解释：</w:t>
      </w:r>
      <m:oMath>
        <m:r>
          <m:rPr>
            <m:sty m:val="p"/>
          </m:rPr>
          <w:rPr>
            <w:rFonts w:hint="default" w:ascii="Cambria Math" w:hAnsi="Cambria Math"/>
            <w:sz w:val="22"/>
          </w:rPr>
          <m:t>Δ</m:t>
        </m:r>
        <m:r>
          <m:rPr/>
          <w:rPr>
            <w:rFonts w:hint="default" w:ascii="Cambria Math" w:hAnsi="Cambria Math"/>
            <w:sz w:val="22"/>
          </w:rPr>
          <m:t>v</m:t>
        </m:r>
      </m:oMath>
      <w:r>
        <w:t>=speed_limit_tolerance_kmh，默认 3 km/h。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α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h</m:t>
            </m:r>
            <m:ctrlPr>
              <w:rPr>
                <w:rFonts w:ascii="Cambria Math" w:hAnsi="Cambria Math"/>
                <w:sz w:val="22"/>
              </w:rPr>
            </m:ctrlPr>
          </m:sub>
        </m:sSub>
      </m:oMath>
      <w:r>
        <w:t>=hazard_speed_tolerance_ratio，默认 0.25。v_h 为隐患点参考速度，hazard radius 决定隐患区域。</w:t>
      </w:r>
    </w:p>
    <w:p w14:paraId="50529551">
      <w:r>
        <w:rPr>
          <w:b/>
        </w:rPr>
        <w:t>结果解释：</w:t>
      </w:r>
      <w:r>
        <w:t>该指标只惩罚明显过快；低速本身主要由驾驶效率和路线完成度共同反映。</w:t>
      </w:r>
    </w:p>
    <w:p w14:paraId="4A8F94CB">
      <w:pPr>
        <w:pStyle w:val="5"/>
        <w:rPr>
          <w:rFonts w:hint="eastAsia" w:eastAsia="宋体"/>
          <w:lang w:eastAsia="zh-CN"/>
        </w:rPr>
      </w:pPr>
      <w:r>
        <w:t>3.5 Trajectory Adherence</w:t>
      </w: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不使用L2指标</w:t>
      </w:r>
      <w:r>
        <w:rPr>
          <w:rFonts w:hint="eastAsia" w:eastAsia="宋体"/>
          <w:lang w:eastAsia="zh-CN"/>
        </w:rPr>
        <w:t>】</w:t>
      </w:r>
    </w:p>
    <w:p w14:paraId="04B816DD">
      <w:r>
        <w:rPr>
          <w:b/>
        </w:rPr>
        <w:t>目的：</w:t>
      </w:r>
      <w:r>
        <w:t>评价 ego 与预设合理轨迹在空间、进度/时间和航向趋势上的偏差。</w:t>
      </w:r>
    </w:p>
    <w:p w14:paraId="0ED3284E">
      <w:r>
        <w:rPr>
          <w:b/>
        </w:rPr>
        <w:t>输入：</w:t>
      </w:r>
      <w:r>
        <w:t>reference_trajectory、每帧 ego 位置和 yaw、reference_speed_kmh。</w:t>
      </w:r>
    </w:p>
    <w:p w14:paraId="21960039">
      <w:pPr>
        <w:rPr>
          <w:rFonts w:hint="eastAsia"/>
        </w:rPr>
      </w:pPr>
      <w:r>
        <w:rPr>
          <w:rFonts w:hint="eastAsia"/>
        </w:rPr>
        <w:t>e = error，实际误差值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各项误差定义如下：</w:t>
      </w:r>
    </w:p>
    <w:p w14:paraId="3BE752F1">
      <w:pPr>
        <w:rPr>
          <w:rFonts w:hint="eastAsia"/>
        </w:rPr>
      </w:pPr>
      <w:r>
        <w:rPr>
          <w:rFonts w:hint="eastAsia"/>
        </w:rPr>
        <w:t>横向偏差 e_lat、进度偏差 e_prog、航向角偏差 e_head。</w:t>
      </w:r>
    </w:p>
    <w:p w14:paraId="50AE64B9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lateral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2"/>
            </w:rPr>
            <m:t>distance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p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,R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5BDAF4B7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prog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projection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arc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length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,R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func>
                <m:funcPr>
                  <m:ctrlPr>
                    <w:rPr>
                      <w:rFonts w:hint="default"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min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fName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S,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bSup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ref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4C404B16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head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angular_difference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yaw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yaw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R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2F6A6668">
      <w:pPr>
        <w:rPr>
          <w:rFonts w:hint="eastAsia"/>
          <w:b/>
        </w:rPr>
      </w:pPr>
      <w:r>
        <w:rPr>
          <w:rFonts w:hint="eastAsia"/>
          <w:b/>
        </w:rPr>
        <w:t>引入惩罚计算函数 score_error</w:t>
      </w:r>
    </w:p>
    <w:p w14:paraId="47023134">
      <w:pPr>
        <w:pStyle w:val="169"/>
      </w:pPr>
      <m:oMathPara>
        <m:oMath>
          <m:r>
            <m:rPr>
              <m:nor/>
              <m:sty m:val="p"/>
            </m:rPr>
            <w:rPr>
              <w:b w:val="0"/>
              <w:i w:val="0"/>
            </w:rPr>
            <m:t>score_error</m:t>
          </m:r>
          <m:d>
            <m:dPr>
              <m:sepChr m:val=""/>
            </m:dPr>
            <m:e>
              <m:r>
                <m:rPr/>
                <m:t>e</m:t>
              </m:r>
              <m:r>
                <m:rPr>
                  <m:sty m:val="p"/>
                </m:rPr>
                <m:t>;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h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eqArr>
                <m:eqArrPr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w:rPr>
                      <w:rFonts w:hint="default" w:eastAsia="宋体"/>
                      <w:lang w:val="en-US" w:eastAsia="zh-CN"/>
                    </w:rPr>
                    <m:t xml:space="preserve">       </m:t>
                  </m:r>
                  <m:r>
                    <m:rPr>
                      <m:sty m:val="p"/>
                    </m:rPr>
                    <m:t>if</m:t>
                  </m:r>
                  <m:r>
                    <m:rPr>
                      <m:sty m:val="p"/>
                    </m:rPr>
                    <w:rPr>
                      <w:rFonts w:hint="default" w:eastAsia="宋体"/>
                      <w:lang w:val="en-US" w:eastAsia="zh-CN"/>
                    </w:rPr>
                    <m:t xml:space="preserve"> 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a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/>
                      <m:e>
                        <m:r>
                          <m:rPr/>
                          <m:t> 1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clamp</m:t>
                        </m:r>
                        <m:d>
                          <m:dPr>
                            <m:sepChr m:val=""/>
                          </m:dPr>
                          <m:e>
                            <m:f>
                              <m:fPr/>
                              <m:num>
                                <m:r>
                                  <m:rPr/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/>
                                  <m:t>a</m:t>
                                </m:r>
                              </m:num>
                              <m:den>
                                <m:r>
                                  <m:rPr/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/>
                                  <m:t>a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otherwise</m:t>
                        </m:r>
                      </m:e>
                    </m:mr>
                  </m:m>
                </m:e>
              </m:eqArr>
            </m:e>
          </m:d>
        </m:oMath>
      </m:oMathPara>
    </w:p>
    <w:p w14:paraId="1AB2A900">
      <w:pPr>
        <w:rPr>
          <w:rFonts w:hint="default" w:hAnsi="Cambria Math"/>
          <w:i w:val="0"/>
          <w:sz w:val="22"/>
        </w:rPr>
      </w:pPr>
      <w:r>
        <w:rPr>
          <w:rFonts w:hint="default" w:hAnsi="Cambria Math"/>
          <w:i w:val="0"/>
          <w:sz w:val="22"/>
        </w:rPr>
        <w:t>计算各维度得分：</w:t>
      </w:r>
    </w:p>
    <w:p w14:paraId="4EA95579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2"/>
            </w:rPr>
            <m:t>error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lat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;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a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lat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h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lat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6D9ABB8C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prog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min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score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−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error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prog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prog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prog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2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score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−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error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prog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ref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h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39EDE09F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head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2"/>
            </w:rPr>
            <m:t>error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head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;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a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head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h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head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69C28979">
      <w:pPr>
        <w:rPr>
          <w:rFonts w:hint="default" w:hAnsi="Cambria Math"/>
          <w:i w:val="0"/>
          <w:sz w:val="22"/>
        </w:rPr>
      </w:pPr>
      <w:r>
        <w:rPr>
          <w:rFonts w:hint="default" w:hAnsi="Cambria Math"/>
          <w:i w:val="0"/>
          <w:sz w:val="22"/>
        </w:rPr>
        <w:t>综合轨迹依从度得分：</w:t>
      </w:r>
    </w:p>
    <w:p w14:paraId="49F22ED5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traj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k=1</m:t>
              </m:r>
              <m:ctrlPr>
                <w:rPr>
                  <w:rFonts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0.45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lat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+0.35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prog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+0.20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head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nary>
        </m:oMath>
      </m:oMathPara>
    </w:p>
    <w:p w14:paraId="1807D9B7">
      <w:pPr>
        <w:rPr>
          <w:rFonts w:hint="eastAsia"/>
        </w:rPr>
      </w:pPr>
      <w:r>
        <w:rPr>
          <w:b/>
        </w:rPr>
        <w:t>参数解释：</w:t>
      </w:r>
      <w:r>
        <w:rPr>
          <w:rFonts w:hint="eastAsia"/>
        </w:rPr>
        <w:t xml:space="preserve">  - a = allowed threshold，允许误差阈值</w:t>
      </w:r>
      <w:r>
        <w:rPr>
          <w:rFonts w:hint="eastAsia" w:eastAsia="宋体"/>
          <w:lang w:eastAsia="zh-CN"/>
        </w:rPr>
        <w:t>。</w:t>
      </w:r>
      <w:r>
        <w:rPr>
          <w:rFonts w:hint="eastAsia"/>
        </w:rPr>
        <w:t xml:space="preserve">  - h = hard threshold，硬惩罚阈值</w:t>
      </w:r>
    </w:p>
    <w:p w14:paraId="25B5725D">
      <w:pPr>
        <w:rPr>
          <w:rFonts w:hAnsi="Cambria Math"/>
          <w:i w:val="0"/>
        </w:rPr>
      </w:pPr>
      <w:r>
        <w:rPr>
          <w:rFonts w:hint="eastAsia"/>
        </w:rPr>
        <w:t xml:space="preserve">    误差从 a 增大到 h 时线性扣分；误差 e &gt;= h 时该子项得分为 0。</w:t>
      </w:r>
      <w:r>
        <w:t>默认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lat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=4</m:t>
        </m:r>
        <m:r>
          <m:rPr>
            <m:sty m:val="p"/>
          </m:rPr>
          <w:rPr>
            <w:rFonts w:hint="default" w:ascii="Cambria Math" w:hAnsi="Cambria Math"/>
          </w:rPr>
          <m:t>m</m:t>
        </m:r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lat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=12</m:t>
        </m:r>
        <m:r>
          <m:rPr>
            <m:sty m:val="p"/>
          </m:rPr>
          <w:rPr>
            <w:rFonts w:hint="default" w:ascii="Cambria Math" w:hAnsi="Cambria Math"/>
          </w:rPr>
          <m:t>m</m:t>
        </m:r>
        <m:r>
          <m:rPr/>
          <w:rPr>
            <w:rFonts w:hint="default" w:ascii="Cambria Math" w:hAnsi="Cambria Math"/>
          </w:rPr>
          <m:t>;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prog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=20</m:t>
        </m:r>
        <m:r>
          <m:rPr>
            <m:sty m:val="p"/>
          </m:rPr>
          <w:rPr>
            <w:rFonts w:hint="default" w:ascii="Cambria Math" w:hAnsi="Cambria Math"/>
          </w:rPr>
          <m:t>m</m:t>
        </m:r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prog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=60</m:t>
        </m:r>
        <m:r>
          <m:rPr>
            <m:sty m:val="p"/>
          </m:rPr>
          <w:rPr>
            <w:rFonts w:hint="default" w:ascii="Cambria Math" w:hAnsi="Cambria Math"/>
          </w:rPr>
          <m:t>m</m:t>
        </m:r>
        <m:r>
          <m:rPr/>
          <w:rPr>
            <w:rFonts w:hint="default" w:ascii="Cambria Math" w:hAnsi="Cambria Math"/>
          </w:rPr>
          <m:t>;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=3</m:t>
        </m:r>
        <m:r>
          <m:rPr>
            <m:sty m:val="p"/>
          </m:rPr>
          <w:rPr>
            <w:rFonts w:hint="default" w:ascii="Cambria Math" w:hAnsi="Cambria Math"/>
          </w:rPr>
          <m:t>s</m:t>
        </m:r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=8</m:t>
        </m:r>
        <m:r>
          <m:rPr>
            <m:sty m:val="p"/>
          </m:rPr>
          <w:rPr>
            <w:rFonts w:hint="default" w:ascii="Cambria Math" w:hAnsi="Cambria Math"/>
          </w:rPr>
          <m:t>s</m:t>
        </m:r>
        <m:r>
          <m:rPr/>
          <w:rPr>
            <w:rFonts w:hint="default" w:ascii="Cambria Math" w:hAnsi="Cambria Math"/>
          </w:rPr>
          <m:t>;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head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=4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head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=12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</w:p>
    <w:p w14:paraId="7A63B0A2">
      <w:r>
        <w:rPr>
          <w:b/>
        </w:rPr>
        <w:t>结果解释：</w:t>
      </w:r>
      <w:r>
        <w:t>该指标允许合理偏离，不把参考轨迹当作专家最优轨迹；缺少 reference_trajectory 时返回 0。</w:t>
      </w:r>
    </w:p>
    <w:p w14:paraId="1C064A32">
      <w:pPr>
        <w:pStyle w:val="5"/>
        <w:rPr>
          <w:highlight w:val="green"/>
        </w:rPr>
      </w:pPr>
      <w:r>
        <w:rPr>
          <w:highlight w:val="green"/>
        </w:rPr>
        <w:t>3.6 Proximity Risk</w:t>
      </w:r>
    </w:p>
    <w:p w14:paraId="7BE844CD">
      <w:r>
        <w:rPr>
          <w:b/>
        </w:rPr>
        <w:t>目的：</w:t>
      </w:r>
      <w:r>
        <w:t>从最近动态 actor、纵向闭合风险、横向冲突时间和环境 clearance 评价近距交互安全。</w:t>
      </w:r>
    </w:p>
    <w:p w14:paraId="64D81729">
      <w:r>
        <w:rPr>
          <w:b/>
        </w:rPr>
        <w:t>输入：</w:t>
      </w:r>
      <w:r>
        <w:t>ego 与 actor 的相对位置/速度、yaw、环境 raycast clearance。</w:t>
      </w:r>
    </w:p>
    <w:p w14:paraId="02054486">
      <w:r>
        <w:rPr>
          <w:rFonts w:hint="eastAsia"/>
        </w:rPr>
        <w:t>动态距离阈值：</w:t>
      </w:r>
    </w:p>
    <w:p w14:paraId="38A5C201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danger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(v)=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max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,v⋅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0EAA5BCB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caution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(v)=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max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,v⋅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4B161F9E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dist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2"/>
                    </w:rPr>
                    <m:t>d−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danger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caution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danger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5F1A5DA2">
      <w:pPr>
        <m:rPr/>
        <w:rPr>
          <w:rFonts w:hint="default" w:hAnsi="Cambria Math"/>
          <w:i w:val="0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时间冲突指标</m:t>
          </m:r>
          <m:r>
            <m:rPr/>
            <w:rPr>
              <w:rFonts w:hint="default" w:ascii="Cambria Math" w:hAnsi="Cambria Math"/>
              <w:sz w:val="22"/>
            </w:rPr>
            <m:t>(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当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long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&gt;0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且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clising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long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&gt;0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时</m:t>
          </m:r>
          <m:r>
            <m:rPr/>
            <w:rPr>
              <w:rFonts w:hint="default" w:ascii="Cambria Math" w:hAnsi="Cambria Math"/>
              <w:sz w:val="22"/>
            </w:rPr>
            <m:t>):</m:t>
          </m:r>
        </m:oMath>
      </m:oMathPara>
    </w:p>
    <w:p w14:paraId="0DD3A84A">
      <w:pPr>
        <w:rPr>
          <w:rFonts w:hint="default" w:hAnsi="Cambria Math"/>
          <w:i w:val="0"/>
          <w:sz w:val="22"/>
        </w:rPr>
      </w:pPr>
      <w:r>
        <m:rPr/>
        <w:rPr>
          <w:rFonts w:hint="default" w:hAnsi="Cambria Math"/>
          <w:i w:val="0"/>
          <w:sz w:val="22"/>
        </w:rPr>
        <w:t>TTC (Time to Collision，碰撞时间)</w:t>
      </w:r>
    </w:p>
    <w:p w14:paraId="099D3642">
      <w:pPr>
        <w:rPr>
          <w:rFonts w:hint="default" w:hAnsi="Cambria Math"/>
          <w:i w:val="0"/>
          <w:sz w:val="22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TTC</m:t>
          </m:r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d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long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  <w:lang w:val="en-US" w:eastAsia="zh-CN"/>
                </w:rPr>
                <m:t>closing_</m:t>
              </m:r>
              <m:sSub>
                <m:sSubPr>
                  <m:ctrlPr>
                    <m:rPr/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speed</m:t>
                  </m:r>
                  <m:ctrlPr>
                    <m:rPr/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long</m:t>
                  </m:r>
                  <m:ctrlPr>
                    <m:rPr/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den>
          </m:f>
        </m:oMath>
      </m:oMathPara>
    </w:p>
    <w:p w14:paraId="058D06F7">
      <w:pPr>
        <m:rPr/>
        <w:rPr>
          <w:rFonts w:hint="default" w:hAnsi="Cambria Math"/>
          <w:i w:val="0"/>
          <w:sz w:val="22"/>
        </w:rPr>
      </w:pPr>
      <w:r>
        <m:rPr/>
        <w:rPr>
          <w:rFonts w:hint="default" w:hAnsi="Cambria Math"/>
          <w:i w:val="0"/>
          <w:sz w:val="22"/>
        </w:rPr>
        <w:t>TLC (Time to Lane Crossing，跨车道线时间)</w:t>
      </w:r>
    </w:p>
    <w:p w14:paraId="62D94982">
      <w:pPr>
        <w:rPr>
          <w:rFonts w:hint="default" w:hAnsi="Cambria Math"/>
          <w:i w:val="0"/>
          <w:sz w:val="22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TLC</m:t>
          </m:r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max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fName>
                <m:e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0,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lat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lat,dange</m:t>
                          </m: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2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/>
                  <w:sz w:val="22"/>
                  <w:lang w:val="en-US" w:eastAsia="zh-CN"/>
                </w:rPr>
                <m:t>closing_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speed</m:t>
                  </m:r>
                  <m:ctrl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  <m:t>lat</m:t>
                  </m:r>
                  <m:ctrlPr>
                    <w:rPr>
                      <w:rFonts w:hint="default" w:ascii="Cambria Math" w:hAnsi="Cambria Math" w:eastAsia="宋体"/>
                      <w:sz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den>
          </m:f>
        </m:oMath>
      </m:oMathPara>
    </w:p>
    <w:p w14:paraId="4E65BB44">
      <w:pPr>
        <w:rPr>
          <w:rFonts w:hint="eastAsia" w:hAnsi="Cambria Math" w:eastAsia="宋体"/>
          <w:i w:val="0"/>
          <w:sz w:val="22"/>
          <w:lang w:eastAsia="zh-CN"/>
        </w:rPr>
      </w:pPr>
      <w:r>
        <w:rPr>
          <w:rFonts w:hint="default" w:hAnsi="Cambria Math"/>
          <w:i w:val="0"/>
          <w:sz w:val="22"/>
        </w:rPr>
        <w:t>综合近距得分（并对高危帧比例进行额外惩罚）</w:t>
      </w:r>
      <w:r>
        <w:rPr>
          <w:rFonts w:hint="eastAsia" w:hAnsi="Cambria Math" w:eastAsia="宋体"/>
          <w:i w:val="0"/>
          <w:sz w:val="22"/>
          <w:lang w:eastAsia="zh-CN"/>
        </w:rPr>
        <w:t>：</w:t>
      </w:r>
    </w:p>
    <w:p w14:paraId="38C8D0DF">
      <w:pPr>
        <w:rPr>
          <w:rFonts w:hint="eastAsia" w:hAnsi="Cambria Math" w:eastAsia="宋体"/>
          <w:i w:val="0"/>
          <w:sz w:val="22"/>
          <w:lang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prox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k=1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nary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2"/>
                </w:rPr>
                <m:t>⋅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1−0.5⋅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danger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frame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ratio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0F83EB64">
      <w:r>
        <w:rPr>
          <w:b/>
        </w:rPr>
        <w:t>参数解释：</w:t>
      </w:r>
      <w:r>
        <w:t>d0=3 m, dc=12 m；h_d=0.7 s, h_c=1.5 s。环境 clearance 阈值为 0.75/2.5 m。横向阈值为 1.5/4.0 m，纵向相关窗口 8 m。TTC 阈值为 2/5 s，TLC 阈值为 1/3 s。</w:t>
      </w:r>
    </w:p>
    <w:p w14:paraId="16CC2495">
      <w:r>
        <w:rPr>
          <w:b/>
        </w:rPr>
        <w:t>结果解释：</w:t>
      </w:r>
      <w:r>
        <w:t>TTC 只作为纵向闭合辅助量；横向使用 TLC-like 冲突时间和横向距离。远离目标时不惩罚，危险帧比例会额外降低最终分。</w:t>
      </w:r>
    </w:p>
    <w:p w14:paraId="2412F00A">
      <w:pPr>
        <w:pStyle w:val="5"/>
      </w:pPr>
      <w:r>
        <w:t>3.7 Comfort</w:t>
      </w:r>
    </w:p>
    <w:p w14:paraId="309C585E">
      <w:r>
        <w:rPr>
          <w:b/>
        </w:rPr>
        <w:t>目的：</w:t>
      </w:r>
      <w:r>
        <w:t>评价乘坐舒适性，覆盖车体坐标系下纵向/横向加速度、jerk 和 yaw rate。</w:t>
      </w:r>
    </w:p>
    <w:p w14:paraId="36A0CB31">
      <w:r>
        <w:rPr>
          <w:b/>
        </w:rPr>
        <w:t>输入：</w:t>
      </w:r>
      <w:r>
        <w:t>ego 速度、加速度、yaw 与仿真时间。</w:t>
      </w:r>
    </w:p>
    <w:p w14:paraId="4A47BF3F">
      <w:r>
        <w:rPr>
          <w:rFonts w:hint="eastAsia"/>
        </w:rPr>
        <w:t>微积分关系计算导数：</w:t>
      </w:r>
    </w:p>
    <w:p w14:paraId="1538837E"/>
    <w:p w14:paraId="536E2113">
      <w:pPr>
        <w:rPr>
          <w:rFonts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long</m:t>
              </m:r>
              <m:r>
                <m:rPr/>
                <w:rPr>
                  <w:rFonts w:hint="default" w:ascii="Cambria Math" w:hAnsi="Cambria Math"/>
                  <w:sz w:val="22"/>
                </w:rPr>
                <m:t>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dt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body,long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</m:t>
              </m:r>
              <m:r>
                <m:rPr/>
                <w:rPr>
                  <w:rFonts w:hint="default" w:ascii="Cambria Math" w:hAnsi="Cambria Math"/>
                  <w:sz w:val="22"/>
                </w:rPr>
                <m:t>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dt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body,lat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</m:oMath>
      </m:oMathPara>
    </w:p>
    <w:p w14:paraId="344F6D8A">
      <w:pPr>
        <w:rPr>
          <w:rFonts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j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long</m:t>
              </m:r>
              <m:r>
                <m:rPr/>
                <w:rPr>
                  <w:rFonts w:hint="default" w:ascii="Cambria Math" w:hAnsi="Cambria Math"/>
                  <w:sz w:val="22"/>
                </w:rPr>
                <m:t>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dt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long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j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</m:t>
              </m:r>
              <m:r>
                <m:rPr/>
                <w:rPr>
                  <w:rFonts w:hint="default" w:ascii="Cambria Math" w:hAnsi="Cambria Math"/>
                  <w:sz w:val="22"/>
                </w:rPr>
                <m:t>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dt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lat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</m:oMath>
      </m:oMathPara>
    </w:p>
    <w:p w14:paraId="0EAAA211">
      <w:pPr>
        <w:rPr>
          <w:rFonts w:hAnsi="Cambria Math"/>
          <w:i w:val="0"/>
          <w:sz w:val="22"/>
        </w:rPr>
      </w:pPr>
      <w:r>
        <w:rPr>
          <w:rFonts w:hint="eastAsia" w:hAnsi="Cambria Math"/>
          <w:i w:val="0"/>
          <w:sz w:val="22"/>
        </w:rPr>
        <w:t xml:space="preserve">对任意物理量 </w:t>
      </w:r>
      <w:r>
        <w:rPr>
          <w:rFonts w:hint="eastAsia" w:hAnsi="Cambria Math" w:eastAsia="宋体"/>
          <w:i w:val="0"/>
          <w:sz w:val="22"/>
          <w:lang w:val="en-US" w:eastAsia="zh-CN"/>
        </w:rPr>
        <w:t>x</w:t>
      </w:r>
      <w:r>
        <w:rPr>
          <w:rFonts w:hint="eastAsia" w:hAnsi="Cambria Math"/>
          <w:i w:val="0"/>
          <w:sz w:val="22"/>
        </w:rPr>
        <w:t>，打分函数结合其有效值（RMS）与最大峰值：</w:t>
      </w:r>
    </w:p>
    <w:p w14:paraId="6DF81E03">
      <w:pPr>
        <w:spacing w:before="40" w:after="120"/>
        <w:ind w:left="259"/>
        <w:rPr>
          <w:rFonts w:ascii="Consolas" w:hAnsi="Consolas"/>
          <w:sz w:val="19"/>
        </w:rPr>
      </w:pPr>
      <m:oMathPara>
        <m:oMath>
          <m:r>
            <m:rPr/>
            <w:rPr>
              <w:rFonts w:hint="default" w:ascii="Cambria Math" w:hAnsi="Cambria Math"/>
              <w:sz w:val="19"/>
            </w:rPr>
            <m:t>q(x)=0.65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19"/>
                </w:rPr>
                <m:t>1−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clamp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1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9"/>
                        </w:rPr>
                        <m:t>RMS</m:t>
                      </m:r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(x)−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rms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rms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+0.35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19"/>
                </w:rPr>
                <m:t>1−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clamp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19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max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|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x|−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hard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hard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19"/>
                </w:rPr>
              </m:ctrlPr>
            </m:e>
          </m:d>
        </m:oMath>
      </m:oMathPara>
    </w:p>
    <w:p w14:paraId="3302307E">
      <w:pPr>
        <w:spacing w:before="40" w:after="120"/>
        <w:ind w:left="259"/>
        <w:rPr>
          <w:rFonts w:ascii="Consolas" w:hAnsi="Consolas"/>
          <w:sz w:val="19"/>
        </w:rPr>
      </w:pPr>
      <w:r>
        <w:rPr>
          <w:rFonts w:hint="eastAsia" w:ascii="Consolas" w:hAnsi="Consolas"/>
          <w:sz w:val="19"/>
        </w:rPr>
        <w:t>综合舒适度得分：</w:t>
      </w:r>
    </w:p>
    <w:p w14:paraId="7069191F">
      <w:pPr>
        <w:spacing w:before="40" w:after="120"/>
        <w:ind w:left="259"/>
        <w:rPr>
          <w:rFonts w:ascii="Consolas" w:hAnsi="Consolas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9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score</m:t>
              </m:r>
              <m:ctrlPr>
                <w:rPr>
                  <w:rFonts w:ascii="Cambria Math" w:hAnsi="Cambria Math"/>
                  <w:sz w:val="19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comfort</m:t>
              </m:r>
              <m:ctrlPr>
                <w:rPr>
                  <w:rFonts w:ascii="Cambria Math" w:hAnsi="Cambria Math"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=0.25q</m:t>
          </m:r>
          <m:d>
            <m:dPr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a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9"/>
                    </w:rPr>
                    <m:t>long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+0.25q</m:t>
          </m:r>
          <m:d>
            <m:dPr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a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9"/>
                    </w:rPr>
                    <m:t>lat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+0.20q</m:t>
          </m:r>
          <m:d>
            <m:dPr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j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9"/>
                    </w:rPr>
                    <m:t>long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+0.20q</m:t>
          </m:r>
          <m:d>
            <m:dPr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j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9"/>
                    </w:rPr>
                    <m:t>lat</m:t>
                  </m:r>
                  <m:ctrlPr>
                    <w:rPr>
                      <w:rFonts w:ascii="Cambria Math" w:hAnsi="Cambria Math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+0.10q(</m:t>
          </m:r>
          <m:sSub>
            <m:sSubPr>
              <m:ctrlPr>
                <w:rPr>
                  <w:rFonts w:hint="default" w:ascii="Cambria Math" w:hAnsi="Cambria Math"/>
                  <w:sz w:val="19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yaw</m:t>
              </m:r>
              <m:ctrlPr>
                <w:rPr>
                  <w:rFonts w:hint="default" w:ascii="Cambria Math" w:hAnsi="Cambria Math"/>
                  <w:sz w:val="19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rate</m:t>
              </m:r>
              <m:ctrlPr>
                <w:rPr>
                  <w:rFonts w:hint="default" w:ascii="Cambria Math" w:hAnsi="Cambria Math"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)</m:t>
          </m:r>
        </m:oMath>
      </m:oMathPara>
    </w:p>
    <w:p w14:paraId="4C2C3EF1">
      <w:r>
        <w:rPr>
          <w:b/>
        </w:rPr>
        <w:t>参数解释：</w:t>
      </w:r>
      <w:r>
        <w:t>默认 RMS 阈值：纵向加速度 2.5 m/s^2，横向加速度 2.0 m/s^2，纵/横 jerk 3.0 m/s^3，yaw rate 20 deg/s。硬阈值：纵向加速度 5.0 m/s^2，横向加速度 4.0 m/s^2，jerk 12.0 m/s^3，yaw rate 45 deg/s。</w:t>
      </w:r>
    </w:p>
    <w:p w14:paraId="2190B88E">
      <w:r>
        <w:rPr>
          <w:b/>
        </w:rPr>
        <w:t>结果解释：</w:t>
      </w:r>
      <w:r>
        <w:t>RMS 反映持续不舒适，最大值反映瞬态冲击；指标使用绝对幅值，正负方向不分别扣分。</w:t>
      </w:r>
    </w:p>
    <w:p w14:paraId="77AC3CF1">
      <w:pPr>
        <w:pStyle w:val="5"/>
      </w:pPr>
      <w:r>
        <w:t>3.8 Control Stability</w:t>
      </w:r>
    </w:p>
    <w:p w14:paraId="281AB213">
      <w:r>
        <w:rPr>
          <w:b/>
        </w:rPr>
        <w:t>目的：</w:t>
      </w:r>
      <w:r>
        <w:t>评价相邻帧转向、油门和刹车控制变化是否平滑。</w:t>
      </w:r>
    </w:p>
    <w:p w14:paraId="00EE854E">
      <w:r>
        <w:rPr>
          <w:b/>
        </w:rPr>
        <w:t>输入：</w:t>
      </w:r>
      <w:r>
        <w:t>ego control 字段 steer、throttle、brake。</w:t>
      </w:r>
    </w:p>
    <w:p w14:paraId="63273791"/>
    <w:p w14:paraId="49A07485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Δ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s,k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steer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steer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k−1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177B9F6E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Δ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t,k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throttle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throttle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k−1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Δ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b,k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brake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brake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k−1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1F80CB16">
      <w:pPr>
        <w:rPr>
          <w:rFonts w:hint="default" w:hAnsi="Cambria Math"/>
          <w:i w:val="0"/>
          <w:sz w:val="22"/>
        </w:rPr>
      </w:pPr>
      <w:r>
        <w:rPr>
          <w:rFonts w:hint="default" w:hAnsi="Cambria Math"/>
          <w:i w:val="0"/>
          <w:sz w:val="22"/>
        </w:rPr>
        <w:t>以转向稳定性得分为例：</w:t>
      </w:r>
      <m:oMath>
        <m:r>
          <m:rPr/>
          <w:rPr>
            <w:rFonts w:hint="default" w:ascii="Cambria Math" w:hAnsi="Cambria Math"/>
            <w:sz w:val="22"/>
          </w:rPr>
          <m:t>(</m:t>
        </m:r>
        <m:r>
          <m:rPr>
            <m:sty m:val="p"/>
          </m:rPr>
          <w:rPr>
            <w:rFonts w:hint="default" w:ascii="Cambria Math" w:hAnsi="Cambria Math"/>
            <w:sz w:val="22"/>
          </w:rPr>
          <m:t>同理计算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q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t,k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2"/>
          </w:rPr>
          <m:t>和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q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b,k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)</m:t>
        </m:r>
      </m:oMath>
      <w:r>
        <w:rPr>
          <w:rFonts w:hint="default" w:hAnsi="Cambria Math"/>
          <w:i w:val="0"/>
          <w:sz w:val="22"/>
        </w:rPr>
        <w:t xml:space="preserve"> </w:t>
      </w:r>
    </w:p>
    <w:p w14:paraId="5D19D2A7">
      <w:pPr>
        <w:rPr>
          <w:rFonts w:hint="default" w:hAnsi="Cambria Math"/>
          <w:i w:val="0"/>
          <w:sz w:val="22"/>
        </w:rPr>
      </w:pPr>
    </w:p>
    <w:p w14:paraId="537EAE8F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s,k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=1−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fPr>
                <m:num>
                  <m:func>
                    <m:func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0,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Δ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s,k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2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s</m:t>
                      </m: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d>
        </m:oMath>
      </m:oMathPara>
    </w:p>
    <w:p w14:paraId="53E38970">
      <w:pPr>
        <w:rPr>
          <w:rFonts w:hint="default" w:hAnsi="Cambria Math"/>
          <w:i w:val="0"/>
          <w:sz w:val="22"/>
        </w:rPr>
      </w:pPr>
      <w:r>
        <w:rPr>
          <w:rFonts w:hint="default" w:hAnsi="Cambria Math"/>
          <w:i w:val="0"/>
          <w:sz w:val="22"/>
        </w:rPr>
        <w:t>综合控制稳定性得分：</w:t>
      </w:r>
    </w:p>
    <w:p w14:paraId="01269EEC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stability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k=1</m:t>
              </m:r>
              <m:ctrlPr>
                <w:rPr>
                  <w:rFonts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K</m:t>
              </m:r>
              <m:ctrlPr>
                <w:rPr>
                  <w:rFonts w:ascii="Cambria Math" w:hAnsi="Cambria Math"/>
                  <w:sz w:val="22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0.45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s,k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+0.30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t,k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+0.25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b,k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nary>
        </m:oMath>
      </m:oMathPara>
    </w:p>
    <w:p w14:paraId="59255704">
      <w:r>
        <w:rPr>
          <w:b/>
        </w:rPr>
        <w:t>参数解释：</w:t>
      </w:r>
      <w:r>
        <w:t xml:space="preserve">默认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steer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delta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limit=0.20,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throttle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delta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limit=0.25,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brake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delta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limit=0.25</m:t>
        </m:r>
        <m:r>
          <m:rPr>
            <m:sty m:val="p"/>
          </m:rPr>
          <w:rPr>
            <w:rFonts w:hint="default" w:ascii="Cambria Math" w:hAnsi="Cambria Math"/>
          </w:rPr>
          <m:t>。</m:t>
        </m:r>
      </m:oMath>
    </w:p>
    <w:p w14:paraId="19363A13">
      <w:r>
        <w:rPr>
          <w:b/>
        </w:rPr>
        <w:t>结果解释：</w:t>
      </w:r>
      <w:r>
        <w:t>该指标评价控制输入突变，不直接评价车辆动力学响应；动力学舒适性由 Comfort 指标覆盖。</w:t>
      </w:r>
    </w:p>
    <w:p w14:paraId="4F65760A">
      <w:pPr>
        <w:pStyle w:val="5"/>
      </w:pPr>
      <w:r>
        <w:t>3.9 Energy Efficiency</w:t>
      </w:r>
    </w:p>
    <w:p w14:paraId="704693DF">
      <w:r>
        <w:rPr>
          <w:b/>
        </w:rPr>
        <w:t>目的：</w:t>
      </w:r>
      <w:r>
        <w:t>用统一轿车参数估计单位距离能耗，避免不同场景仅以速度或时间代表经济性。</w:t>
      </w:r>
    </w:p>
    <w:p w14:paraId="3ECD4941">
      <w:r>
        <w:rPr>
          <w:b/>
        </w:rPr>
        <w:t>输入：</w:t>
      </w:r>
      <w:r>
        <w:t>ego 速度、位置高度变化、仿真时间，以及默认车辆质量/阻力参数。</w:t>
      </w:r>
    </w:p>
    <w:p w14:paraId="7B43375D">
      <w:pPr>
        <w:rPr>
          <w:rFonts w:hint="eastAsia" w:eastAsia="宋体"/>
          <w:lang w:eastAsia="zh-CN"/>
        </w:rPr>
      </w:pPr>
      <w:r>
        <w:rPr>
          <w:rFonts w:hint="eastAsia"/>
        </w:rPr>
        <w:t>受力计算与轮端功率</w:t>
      </w:r>
      <m:oMath>
        <m:d>
          <m:dPr>
            <m:ctrlPr>
              <w:rPr>
                <w:rFonts w:hint="default" w:ascii="Cambria Math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2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P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2"/>
                  </w:rPr>
                  <m:t>wheel</m:t>
                </m:r>
                <m:ctrlPr>
                  <w:rPr>
                    <w:rFonts w:ascii="Cambria Math" w:hAnsi="Cambria Math"/>
                    <w:sz w:val="22"/>
                  </w:rPr>
                </m:ctrlPr>
              </m:sub>
            </m:sSub>
            <m:ctrlPr>
              <w:rPr>
                <w:rFonts w:hint="default" w:ascii="Cambria Math" w:hAnsi="Cambria Math"/>
                <w:sz w:val="22"/>
              </w:rPr>
            </m:ctrlPr>
          </m:e>
        </m:d>
      </m:oMath>
      <w:r>
        <w:rPr>
          <w:rFonts w:hint="eastAsia" w:hAnsi="Cambria Math" w:eastAsia="宋体"/>
          <w:i w:val="0"/>
          <w:sz w:val="22"/>
          <w:lang w:eastAsia="zh-CN"/>
        </w:rPr>
        <w:t>：</w:t>
      </w:r>
    </w:p>
    <w:p w14:paraId="75ED4391"/>
    <w:p w14:paraId="118CBE38">
      <w:pPr>
        <w:rPr>
          <w:rFonts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F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roll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=mg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C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rr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</m:oMath>
      </m:oMathPara>
    </w:p>
    <w:p w14:paraId="468A8455">
      <w:pPr>
        <w:rPr>
          <w:rFonts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F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drag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r>
            <m:rPr/>
            <w:rPr>
              <w:rFonts w:hint="default" w:ascii="Cambria Math" w:hAnsi="Cambria Math"/>
              <w:sz w:val="22"/>
            </w:rPr>
            <m:t>ρ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C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A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</m:oMath>
      </m:oMathPara>
    </w:p>
    <w:p w14:paraId="15F6C7B9">
      <w:pPr>
        <m:rPr/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F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grade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=mg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sin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2"/>
                </w:rPr>
                <m:t>(</m:t>
              </m:r>
              <m:ctrlPr>
                <w:rPr>
                  <w:rFonts w:ascii="Cambria Math" w:hAnsi="Cambria Math"/>
                  <w:sz w:val="22"/>
                </w:rPr>
              </m:ctrlPr>
            </m:e>
          </m:func>
          <m:r>
            <m:rPr/>
            <w:rPr>
              <w:rFonts w:hint="default" w:ascii="Cambria Math" w:hAnsi="Cambria Math"/>
              <w:sz w:val="22"/>
            </w:rPr>
            <m:t>θ)</m:t>
          </m:r>
        </m:oMath>
      </m:oMathPara>
    </w:p>
    <w:p w14:paraId="11B079C1">
      <w:pPr>
        <m:rPr/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F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acc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=ma</m:t>
          </m:r>
        </m:oMath>
      </m:oMathPara>
    </w:p>
    <w:p w14:paraId="3397280E">
      <w:pPr>
        <m:rPr/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P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wheel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F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roll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F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drag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F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grade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F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acc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⋅v</m:t>
          </m:r>
        </m:oMath>
      </m:oMathPara>
    </w:p>
    <w:p w14:paraId="36F3F61D">
      <w:pPr>
        <m:rPr/>
        <w:rPr>
          <w:rFonts w:hint="default" w:hAnsi="Cambria Math"/>
          <w:i w:val="0"/>
          <w:sz w:val="22"/>
        </w:rPr>
      </w:pPr>
      <w:r>
        <m:rPr/>
        <w:rPr>
          <w:rFonts w:hint="default" w:hAnsi="Cambria Math"/>
          <w:i w:val="0"/>
          <w:sz w:val="22"/>
        </w:rPr>
        <w:t>能耗积分计算：</w:t>
      </w:r>
    </w:p>
    <w:p w14:paraId="2AD09BFD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trac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P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wheel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≥0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  <m:sup>
              <m:ctrlPr>
                <w:rPr>
                  <w:rFonts w:hint="default" w:ascii="Cambria Math" w:hAnsi="Cambria Math"/>
                  <w:sz w:val="22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wheel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⋅dt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2"/>
                    </w:rPr>
                    <m:t>η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nary>
        </m:oMath>
      </m:oMathPara>
    </w:p>
    <w:p w14:paraId="59C95BCB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regen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  <w:sz w:val="22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P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wheel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&lt;0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  <m:sup>
              <m:ctrlPr>
                <w:rPr>
                  <w:rFonts w:hint="default" w:ascii="Cambria Math" w:hAnsi="Cambria Math"/>
                  <w:sz w:val="22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2"/>
                </w:rPr>
                <m:t>−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P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wheel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⋅dt⋅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η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regen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</m:oMath>
      </m:oMathPara>
    </w:p>
    <w:p w14:paraId="4B216D05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net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max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2"/>
                    </w:rPr>
                    <m:t>0,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trac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regen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40334470">
      <w:pPr>
        <w:spacing w:before="40" w:after="120"/>
        <w:ind w:lef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 xml:space="preserve">转换为百公里能耗 </w:t>
      </w:r>
      <m:oMath>
        <m:sSub>
          <m:sSubPr>
            <m:ctrlPr>
              <w:rPr>
                <w:rFonts w:ascii="Cambria Math" w:hAnsi="Cambria Math"/>
                <w:i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19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19"/>
                <w:lang w:val="en-US" w:eastAsia="zh-CN"/>
              </w:rPr>
              <m:t>100</m:t>
            </m:r>
            <m:ctrlPr>
              <w:rPr>
                <w:rFonts w:ascii="Cambria Math" w:hAnsi="Cambria Math"/>
                <w:i/>
                <w:sz w:val="19"/>
              </w:rPr>
            </m:ctrlPr>
          </m:sub>
        </m:sSub>
      </m:oMath>
      <w:r>
        <w:rPr>
          <w:rFonts w:hint="eastAsia" w:ascii="Consolas" w:hAnsi="Consolas"/>
          <w:sz w:val="19"/>
        </w:rPr>
        <w:t xml:space="preserve"> 并打分：</w:t>
      </w:r>
    </w:p>
    <w:p w14:paraId="53921FE0">
      <w:pPr>
        <w:rPr>
          <w:i w:val="0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scor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energy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/>
                  <w:sz w:val="22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/>
                      <w:sz w:val="22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1</m:t>
                  </m:r>
                  <m:r>
                    <m:rPr/>
                    <w:rPr>
                      <w:rFonts w:hint="default" w:ascii="Cambria Math" w:hAnsi="Cambria Math" w:eastAsia="宋体"/>
                      <w:sz w:val="19"/>
                      <w:lang w:val="en-US" w:eastAsia="zh-CN"/>
                    </w:rPr>
                    <m:t xml:space="preserve">   </m:t>
                  </m:r>
                  <m:r>
                    <m:rPr/>
                    <w:rPr>
                      <w:rFonts w:hint="default" w:ascii="Cambria Math" w:hAnsi="Cambria Math"/>
                      <w:sz w:val="19"/>
                    </w:rPr>
                    <m:t>if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100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19"/>
                    </w:rPr>
                    <m:t>≦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base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/>
                      <w:sz w:val="22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clamp</m:t>
                  </m:r>
                  <m:r>
                    <m:rPr/>
                    <w:rPr>
                      <w:rFonts w:hint="default" w:ascii="Cambria Math" w:hAnsi="Cambria Math" w:eastAsia="宋体"/>
                      <w:sz w:val="19"/>
                      <w:lang w:val="en-US" w:eastAsia="zh-CN"/>
                    </w:rPr>
                    <m:t xml:space="preserve">  </m:t>
                  </m:r>
                  <m:r>
                    <m:rPr/>
                    <w:rPr>
                      <w:rFonts w:hint="default" w:ascii="Cambria Math" w:hAnsi="Cambria Math"/>
                      <w:sz w:val="19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base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19"/>
                    </w:rPr>
                    <m:t>/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100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19"/>
                    </w:rPr>
                    <m:t>)</m:t>
                  </m:r>
                  <m:r>
                    <m:rPr/>
                    <w:rPr>
                      <w:rFonts w:hint="default" w:ascii="Cambria Math" w:hAnsi="Cambria Math" w:eastAsia="宋体"/>
                      <w:sz w:val="19"/>
                      <w:lang w:val="en-US" w:eastAsia="zh-CN"/>
                    </w:rPr>
                    <m:t>, else</m:t>
                  </m:r>
                  <m:ctrlPr>
                    <m:rPr/>
                    <w:rPr>
                      <w:rFonts w:hint="default" w:ascii="Cambria Math" w:hAnsi="Cambria Math"/>
                      <w:sz w:val="22"/>
                    </w:rPr>
                  </m:ctrlPr>
                </m:e>
              </m:eqArr>
              <m:ctrlPr>
                <m:rPr/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295F2C71">
      <w:pPr>
        <m:rPr/>
        <w:rPr>
          <w:rFonts w:hint="default" w:hAnsi="Cambria Math"/>
          <w:i w:val="0"/>
          <w:sz w:val="22"/>
        </w:rPr>
      </w:pPr>
      <w:r>
        <w:rPr>
          <w:b/>
        </w:rPr>
        <w:t>参数解释</w:t>
      </w:r>
      <m:oMath>
        <m:r>
          <m:rPr/>
          <w:rPr>
            <w:rFonts w:hint="default" w:ascii="Cambria Math" w:hAnsi="Cambria Math"/>
            <w:sz w:val="22"/>
          </w:rPr>
          <m:t>:</m:t>
        </m:r>
        <m:r>
          <m:rPr>
            <m:sty m:val="p"/>
          </m:rPr>
          <w:rPr>
            <w:rFonts w:hint="default" w:ascii="Cambria Math" w:hAnsi="Cambria Math"/>
            <w:sz w:val="22"/>
          </w:rPr>
          <m:t>默认</m:t>
        </m:r>
        <m:r>
          <m:rPr/>
          <w:rPr>
            <w:rFonts w:hint="default" w:ascii="Cambria Math" w:hAnsi="Cambria Math"/>
            <w:sz w:val="22"/>
          </w:rPr>
          <m:t>m=1600</m:t>
        </m:r>
        <m:r>
          <m:rPr>
            <m:sty m:val="p"/>
          </m:rPr>
          <w:rPr>
            <w:rFonts w:hint="default" w:ascii="Cambria Math" w:hAnsi="Cambria Math"/>
            <w:sz w:val="22"/>
          </w:rPr>
          <m:t>kg</m:t>
        </m:r>
        <m:r>
          <m:rPr/>
          <w:rPr>
            <w:rFonts w:hint="default" w:ascii="Cambria Math" w:hAnsi="Cambria Math"/>
            <w:sz w:val="22"/>
          </w:rPr>
          <m:t>,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C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d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=0.29,A=2.2</m:t>
        </m:r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m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2</m:t>
            </m:r>
            <m:ctrlPr>
              <w:rPr>
                <w:rFonts w:ascii="Cambria Math" w:hAnsi="Cambria Math"/>
                <w:sz w:val="22"/>
              </w:rPr>
            </m:ctrlPr>
          </m:sup>
        </m:sSup>
        <m:r>
          <m:rPr/>
          <w:rPr>
            <w:rFonts w:hint="default" w:ascii="Cambria Math" w:hAnsi="Cambria Math"/>
            <w:sz w:val="22"/>
          </w:rPr>
          <m:t>,</m:t>
        </m:r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C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rr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=0.012,ρ=1.225</m:t>
        </m:r>
        <m:r>
          <m:rPr>
            <m:sty m:val="p"/>
          </m:rPr>
          <w:rPr>
            <w:rFonts w:hint="default" w:ascii="Cambria Math" w:hAnsi="Cambria Math"/>
            <w:sz w:val="22"/>
          </w:rPr>
          <m:t>kg</m:t>
        </m:r>
        <m:r>
          <m:rPr/>
          <w:rPr>
            <w:rFonts w:hint="default" w:ascii="Cambria Math" w:hAnsi="Cambria Math"/>
            <w:sz w:val="22"/>
          </w:rPr>
          <m:t>/</m:t>
        </m:r>
        <m:sSup>
          <m:sSupPr>
            <m:ctrlPr>
              <w:rPr>
                <w:rFonts w:hint="default" w:ascii="Cambria Math" w:hAnsi="Cambria Math"/>
                <w:sz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m</m:t>
            </m:r>
            <m:ctrlPr>
              <w:rPr>
                <w:rFonts w:ascii="Cambria Math" w:hAnsi="Cambria Math"/>
                <w:sz w:val="22"/>
              </w:rPr>
            </m:ctrlPr>
          </m:e>
          <m:sup>
            <m:r>
              <m:rPr/>
              <w:rPr>
                <w:rFonts w:hint="default" w:ascii="Cambria Math" w:hAnsi="Cambria Math"/>
                <w:sz w:val="22"/>
              </w:rPr>
              <m:t>3</m:t>
            </m:r>
            <m:ctrlPr>
              <w:rPr>
                <w:rFonts w:ascii="Cambria Math" w:hAnsi="Cambria Math"/>
                <w:sz w:val="22"/>
              </w:rPr>
            </m:ctrlPr>
          </m:sup>
        </m:sSup>
      </m:oMath>
      <w:r>
        <w:rPr>
          <w:rFonts w:hint="eastAsia" w:hAnsi="Cambria Math" w:eastAsia="宋体"/>
          <w:i w:val="0"/>
          <w:sz w:val="22"/>
          <w:lang w:eastAsia="zh-CN"/>
        </w:rPr>
        <w:t>，</w:t>
      </w:r>
      <w:r>
        <w:t>传动效率</w:t>
      </w:r>
      <m:oMath>
        <m:r>
          <m:rPr/>
          <w:rPr>
            <w:rFonts w:hint="default" w:ascii="Cambria Math" w:hAnsi="Cambria Math"/>
            <w:sz w:val="22"/>
          </w:rPr>
          <m:t>η=0.85</m:t>
        </m:r>
      </m:oMath>
      <w:r>
        <m:rPr/>
        <w:rPr>
          <w:rFonts w:hint="eastAsia" w:hAnsi="Cambria Math" w:eastAsia="宋体"/>
          <w:i w:val="0"/>
          <w:sz w:val="22"/>
          <w:lang w:eastAsia="zh-CN"/>
        </w:rPr>
        <w:t>，</w:t>
      </w:r>
      <w:r>
        <w:t>回收效率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η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regen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=0.45</m:t>
        </m:r>
      </m:oMath>
      <w:r>
        <m:rPr/>
        <w:rPr>
          <w:rFonts w:hint="eastAsia" w:hAnsi="Cambria Math" w:eastAsia="宋体"/>
          <w:i w:val="0"/>
          <w:sz w:val="22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e</m:t>
            </m:r>
            <m:ctrlPr>
              <w:rPr>
                <w:rFonts w:ascii="Cambria Math" w:hAnsi="Cambria Math"/>
                <w:sz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2"/>
              </w:rPr>
              <m:t>base</m:t>
            </m:r>
            <m:ctrlPr>
              <w:rPr>
                <w:rFonts w:ascii="Cambria Math" w:hAnsi="Cambria Math"/>
                <w:sz w:val="22"/>
              </w:rPr>
            </m:ctrlPr>
          </m:sub>
        </m:sSub>
        <m:r>
          <m:rPr/>
          <w:rPr>
            <w:rFonts w:hint="default" w:ascii="Cambria Math" w:hAnsi="Cambria Math"/>
            <w:sz w:val="22"/>
          </w:rPr>
          <m:t>=18</m:t>
        </m:r>
        <m:r>
          <m:rPr>
            <m:sty m:val="p"/>
          </m:rPr>
          <w:rPr>
            <w:rFonts w:hint="default" w:ascii="Cambria Math" w:hAnsi="Cambria Math"/>
            <w:sz w:val="22"/>
          </w:rPr>
          <m:t>kWh</m:t>
        </m:r>
        <m:r>
          <m:rPr/>
          <w:rPr>
            <w:rFonts w:hint="default" w:ascii="Cambria Math" w:hAnsi="Cambria Math"/>
            <w:sz w:val="22"/>
          </w:rPr>
          <m:t>/100</m:t>
        </m:r>
        <m:r>
          <m:rPr>
            <m:sty m:val="p"/>
          </m:rPr>
          <w:rPr>
            <w:rFonts w:hint="default" w:ascii="Cambria Math" w:hAnsi="Cambria Math"/>
            <w:sz w:val="22"/>
          </w:rPr>
          <m:t>km。</m:t>
        </m:r>
      </m:oMath>
    </w:p>
    <w:p w14:paraId="66604A60">
      <w:r>
        <w:rPr>
          <w:b/>
        </w:rPr>
        <w:t>结果解释：</w:t>
      </w:r>
      <w:r>
        <w:t>这是估计能耗而非 CARLA 真实动力总成能耗；用于统一比较不同算法在同一路线上的相对经济性。</w:t>
      </w:r>
    </w:p>
    <w:p w14:paraId="016F9C34">
      <w:pPr>
        <w:pStyle w:val="5"/>
      </w:pPr>
      <w:r>
        <w:t>3.10 Long-tail Hazard Response</w:t>
      </w:r>
    </w:p>
    <w:p w14:paraId="1A04D879">
      <w:r>
        <w:rPr>
          <w:b/>
        </w:rPr>
        <w:t>目的：</w:t>
      </w:r>
      <w:r>
        <w:t>评价 ego 在进入隐患感知范围后是否及时产生制动、转向、松油门或速度下降响应。</w:t>
      </w:r>
    </w:p>
    <w:p w14:paraId="1C5B5015">
      <w:r>
        <w:rPr>
          <w:b/>
        </w:rPr>
        <w:t>输入：</w:t>
      </w:r>
      <w:r>
        <w:t>metadata 中 hazards 的中心、半径、参考速度；frame log 中 ego 控制和速度；碰撞记录。</w:t>
      </w:r>
    </w:p>
    <w:p w14:paraId="64C0D1FA">
      <w:r>
        <w:rPr>
          <w:rFonts w:hint="eastAsia"/>
        </w:rPr>
        <w:t>获取进入隐患范围时间与首次连续响应时间：</w:t>
      </w:r>
    </w:p>
    <w:p w14:paraId="14870AE9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enter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min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∣d</m:t>
                  </m:r>
                  <m:d>
                    <m:dPr>
                      <m:ctrlPr>
                        <w:rPr>
                          <w:rFonts w:hint="default" w:ascii="Cambria Math" w:hAnsi="Cambria Math"/>
                          <w:i/>
                          <w:sz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h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/>
                      <w:sz w:val="22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2"/>
                        </w:rPr>
                        <m:t>perection</m:t>
                      </m: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367B5231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resp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min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hint="default"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2"/>
                    </w:rPr>
                    <m:t>∣responseconditionsholdforNconsecutiveframes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2"/>
                </w:rPr>
              </m:ctrlPr>
            </m:e>
          </m:func>
        </m:oMath>
      </m:oMathPara>
    </w:p>
    <w:p w14:paraId="4BEA7E71"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响应条件(满足其一):brake≥B,或|steer|≥S,或throttle≤T,或单帧Δv≥D,或累计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naryPr>
            <m:sub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sub>
            <m:sup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Δ</m:t>
              </m:r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  <w:sz w:val="22"/>
            </w:rPr>
            <m:t>v≥</m:t>
          </m:r>
          <m:sSub>
            <m:sSubPr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c</m:t>
              </m:r>
              <m:ctrlPr>
                <w:rPr>
                  <w:rFonts w:hint="default" w:ascii="Cambria Math" w:hAnsi="Cambria Math"/>
                  <w:i w:val="0"/>
                  <w:sz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2"/>
            </w:rPr>
            <m:t>。</m:t>
          </m:r>
        </m:oMath>
      </m:oMathPara>
    </w:p>
    <w:p w14:paraId="7CF31211">
      <w:pPr>
        <w:rPr>
          <w:rFonts w:hint="default" w:hAnsi="Cambria Math"/>
          <w:i w:val="0"/>
          <w:sz w:val="22"/>
        </w:rPr>
      </w:pPr>
    </w:p>
    <w:p w14:paraId="25F53D34">
      <w:pPr>
        <w:spacing w:before="40" w:after="120"/>
        <w:ind w:left="259"/>
      </w:pPr>
      <w:r>
        <w:rPr>
          <w:rFonts w:ascii="Consolas" w:hAnsi="Consolas"/>
          <w:sz w:val="19"/>
        </w:rPr>
        <w:t>t_enter = first time d(p_k, c_h) &lt;= r_perception</w:t>
      </w:r>
    </w:p>
    <w:p w14:paraId="3DC0A1A7">
      <w:pPr>
        <w:spacing w:before="40" w:after="120"/>
        <w:ind w:left="259"/>
      </w:pPr>
      <w:r>
        <w:rPr>
          <w:rFonts w:ascii="Consolas" w:hAnsi="Consolas"/>
          <w:sz w:val="19"/>
        </w:rPr>
        <w:t>t_resp = first time response condition holds for N consecutive frames</w:t>
      </w:r>
    </w:p>
    <w:p w14:paraId="7C210781">
      <w:pPr>
        <w:spacing w:before="40" w:after="120"/>
        <w:ind w:lef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单个隐患点得分：</w:t>
      </w:r>
    </w:p>
    <w:p w14:paraId="45F5CDB1">
      <w:pPr>
        <w:spacing w:before="40" w:after="120"/>
        <w:ind w:left="259"/>
        <w:rPr>
          <w:rFonts w:hint="eastAsia" w:ascii="Consolas" w:hAnsi="Consolas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9"/>
                </w:rPr>
                <m:t>q</m:t>
              </m:r>
              <m:ctrlPr>
                <w:rPr>
                  <w:rFonts w:ascii="Cambria Math" w:hAnsi="Cambria Math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9"/>
                </w:rPr>
                <m:t>h</m:t>
              </m:r>
              <m:ctrlPr>
                <w:rPr>
                  <w:rFonts w:ascii="Cambria Math" w:hAnsi="Cambria Math"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19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exp</m:t>
              </m:r>
              <m:ctrlPr>
                <w:rPr>
                  <w:rFonts w:ascii="Cambria Math" w:hAnsi="Cambria Math"/>
                  <w:sz w:val="19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19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19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resp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19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9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9"/>
                            </w:rPr>
                            <m:t>enter</m:t>
                          </m:r>
                          <m:ctrlPr>
                            <w:rPr>
                              <w:rFonts w:ascii="Cambria Math" w:hAnsi="Cambria Math"/>
                              <w:sz w:val="19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τ</m:t>
                      </m: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19"/>
                </w:rPr>
              </m:ctrlPr>
            </m:e>
          </m:func>
        </m:oMath>
      </m:oMathPara>
    </w:p>
    <w:p w14:paraId="5341283D">
      <w:pPr>
        <w:spacing w:before="40" w:after="120"/>
        <w:ind w:left="259"/>
      </w:pPr>
      <w:r>
        <w:rPr>
          <w:rFonts w:ascii="Consolas" w:hAnsi="Consolas"/>
          <w:sz w:val="19"/>
        </w:rPr>
        <w:t>if no response: q_h=0; if collision: q_h*=0.25; if entered forbidden danger zone: q_h*=0.7</w:t>
      </w:r>
    </w:p>
    <w:p w14:paraId="65D08015">
      <w:pPr>
        <w:spacing w:before="40" w:after="120"/>
        <w:ind w:left="259"/>
      </w:pPr>
      <w:r>
        <w:rPr>
          <w:rFonts w:ascii="Consolas" w:hAnsi="Consolas"/>
          <w:sz w:val="19"/>
        </w:rPr>
        <w:t>score_hazard = mean_h q_h</w:t>
      </w:r>
    </w:p>
    <w:p w14:paraId="6DC84793">
      <w:r>
        <w:rPr>
          <w:b/>
        </w:rPr>
        <w:t>参数解释：</w:t>
      </w:r>
      <w:r>
        <w:t>默认 tau=2 s，B=0.20，S=0.25，T=0.05，单帧速度下降阈值 0.4 m/s，累计速度下降阈值 1.5 m/s，连续帧数 2。perception_radius_m 缺失时取 hazard radius + 15 m，danger_radius_m 缺失时取 radius_m。</w:t>
      </w:r>
    </w:p>
    <w:p w14:paraId="0A83132E">
      <w:r>
        <w:rPr>
          <w:b/>
        </w:rPr>
        <w:t>结果解释：</w:t>
      </w:r>
      <w:r>
        <w:t>该指标强调是否有响应和响应快慢；速度是否达到隐患参考速度由 Speed Appropriateness 评价。</w:t>
      </w:r>
    </w:p>
    <w:p w14:paraId="46315002">
      <w:pPr>
        <w:pStyle w:val="3"/>
      </w:pPr>
      <w:r>
        <w:t>4. Composite Driving Score</w:t>
      </w:r>
    </w:p>
    <w:p w14:paraId="6ED5701B">
      <w:r>
        <w:t>综合驾驶分以路线任务和安全为门控，再乘以效率、速度适配、舒适、控制稳定、能耗和隐患响应修正项。</w:t>
      </w:r>
    </w:p>
    <w:p w14:paraId="2D9E3CF8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G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safety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0.65⋅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score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collision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+0.35⋅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score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proximity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4858CA88">
      <w:pPr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G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task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clamp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0.70⋅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score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route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2"/>
                </w:rPr>
                <m:t>+0.30⋅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score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trajectory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e>
          </m:d>
        </m:oMath>
      </m:oMathPara>
    </w:p>
    <w:p w14:paraId="1F21B0EE">
      <w:pPr>
        <w:rPr>
          <w:rFonts w:hint="default" w:hAnsi="Cambria Math"/>
          <w:i w:val="0"/>
          <w:sz w:val="22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2"/>
            </w:rPr>
            <m:t>DrivingScore</m:t>
          </m:r>
          <m:r>
            <m:rPr/>
            <w:rPr>
              <w:rFonts w:hint="default" w:ascii="Cambria Math" w:hAnsi="Cambria Math"/>
              <w:sz w:val="22"/>
            </w:rPr>
            <m:t>=100⋅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G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task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⋅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G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safety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0.5+0.5E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0.6+0.4V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0.8+0.2C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0.85+0.15U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0.85+0.15P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  <m:r>
            <m:rPr/>
            <w:rPr>
              <w:rFonts w:hint="default" w:ascii="Cambria Math" w:hAnsi="Cambria Math"/>
              <w:sz w:val="22"/>
            </w:rPr>
            <m:t>⋅</m:t>
          </m:r>
          <m:d>
            <m:dPr>
              <m:ctrlPr>
                <w:rPr>
                  <w:rFonts w:hint="default" w:ascii="Cambria Math" w:hAnsi="Cambria Math"/>
                  <w:i/>
                  <w:sz w:val="22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2"/>
                </w:rPr>
                <m:t>0.7+0.3H</m:t>
              </m:r>
              <m:ctrlPr>
                <w:rPr>
                  <w:rFonts w:ascii="Cambria Math" w:hAnsi="Cambria Math"/>
                  <w:sz w:val="22"/>
                </w:rPr>
              </m:ctrlPr>
            </m:e>
          </m:d>
        </m:oMath>
      </m:oMathPara>
    </w:p>
    <w:p w14:paraId="2BDD2561">
      <w:r>
        <w:t>其中 E 为 driving_efficiency，V 为 speed_appropriateness，C 为 comfort，U 为 control_stability，P 为 energy_efficiency，H 为 long_tail_hazard_response。安全和任务维度通过乘法门控进入总分，因此碰撞、近距风险或未完成路线会显著压低总分。</w:t>
      </w:r>
    </w:p>
    <w:p w14:paraId="76A34B20">
      <w:pPr>
        <w:pStyle w:val="3"/>
      </w:pPr>
      <w:r>
        <w:t>5. Capability Scores</w:t>
      </w:r>
    </w:p>
    <w:p w14:paraId="501A2028">
      <w:r>
        <w:t>能力评价使用 metadata 中 capability_vector 的 0/1 候选表，而不是自由文本标签。当前分为 behavior capability 和 hazard capability 两组。只有被标记为 1 的能力标签才会获得该场景分数，未标记能力不参与该场景聚合。</w:t>
      </w:r>
    </w:p>
    <w:p w14:paraId="0618E29B">
      <w:r>
        <w:rPr>
          <w:rFonts w:hint="eastAsia"/>
        </w:rPr>
        <w:t>场景行为能力分：</w:t>
      </w:r>
    </w:p>
    <w:p w14:paraId="51F09008">
      <w:pPr>
        <m:rPr/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score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behavio</m:t>
              </m:r>
              <m:sSub>
                <m:sSub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r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</w:rPr>
                    <m:t>scene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=0.35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route</m:t>
          </m:r>
          <m:r>
            <m:rPr/>
            <w:rPr>
              <w:rFonts w:hint="default" w:ascii="Cambria Math" w:hAnsi="Cambria Math"/>
              <w:sz w:val="22"/>
            </w:rPr>
            <m:t>+0.25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collision</m:t>
          </m:r>
          <m:r>
            <m:rPr/>
            <w:rPr>
              <w:rFonts w:hint="default" w:ascii="Cambria Math" w:hAnsi="Cambria Math"/>
              <w:sz w:val="22"/>
            </w:rPr>
            <m:t>+0.20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proximity</m:t>
          </m:r>
          <m:r>
            <m:rPr/>
            <w:rPr>
              <w:rFonts w:hint="default" w:ascii="Cambria Math" w:hAnsi="Cambria Math"/>
              <w:sz w:val="22"/>
            </w:rPr>
            <m:t>+0.10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speed</m:t>
          </m:r>
          <m:r>
            <m:rPr/>
            <w:rPr>
              <w:rFonts w:hint="default" w:ascii="Cambria Math" w:hAnsi="Cambria Math"/>
              <w:sz w:val="22"/>
            </w:rPr>
            <m:t>+0.10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stability</m:t>
          </m:r>
        </m:oMath>
      </m:oMathPara>
    </w:p>
    <w:p w14:paraId="5EAC5FD5">
      <w:pPr>
        <m:rPr/>
        <w:rPr>
          <w:rFonts w:hint="default" w:hAnsi="Cambria Math"/>
          <w:i w:val="0"/>
          <w:sz w:val="22"/>
        </w:rPr>
      </w:pPr>
      <w:r>
        <m:rPr/>
        <w:rPr>
          <w:rFonts w:hint="default" w:hAnsi="Cambria Math"/>
          <w:i w:val="0"/>
          <w:sz w:val="22"/>
        </w:rPr>
        <w:t>场景隐患能力分：</w:t>
      </w:r>
    </w:p>
    <w:p w14:paraId="0FE86360">
      <w:pPr>
        <m:rPr/>
        <w:rPr>
          <w:rFonts w:hint="default" w:hAnsi="Cambria Math"/>
          <w:i w:val="0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base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hazard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=0.25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route</m:t>
          </m:r>
          <m:r>
            <m:rPr/>
            <w:rPr>
              <w:rFonts w:hint="default" w:ascii="Cambria Math" w:hAnsi="Cambria Math"/>
              <w:sz w:val="22"/>
            </w:rPr>
            <m:t>+0.20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collision</m:t>
          </m:r>
          <m:r>
            <m:rPr/>
            <w:rPr>
              <w:rFonts w:hint="default" w:ascii="Cambria Math" w:hAnsi="Cambria Math"/>
              <w:sz w:val="22"/>
            </w:rPr>
            <m:t>+0.20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speed</m:t>
          </m:r>
          <m:r>
            <m:rPr/>
            <w:rPr>
              <w:rFonts w:hint="default" w:ascii="Cambria Math" w:hAnsi="Cambria Math"/>
              <w:sz w:val="22"/>
            </w:rPr>
            <m:t>+0.25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hazar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d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response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+0.10</m:t>
          </m:r>
          <m:r>
            <m:rPr>
              <m:sty m:val="p"/>
            </m:rPr>
            <w:rPr>
              <w:rFonts w:hint="default" w:ascii="Cambria Math" w:hAnsi="Cambria Math"/>
              <w:sz w:val="22"/>
            </w:rPr>
            <m:t>trajectory</m:t>
          </m:r>
        </m:oMath>
      </m:oMathPara>
    </w:p>
    <w:p w14:paraId="0107A3C0">
      <w:pPr>
        <m:rPr/>
        <w:rPr>
          <w:rFonts w:hint="default" w:hAnsi="Cambria Math"/>
          <w:i w:val="0"/>
          <w:sz w:val="22"/>
        </w:rPr>
      </w:pPr>
    </w:p>
    <w:p w14:paraId="0C815A0E">
      <w:pPr>
        <w:spacing w:before="40" w:after="120"/>
        <w:ind w:left="259"/>
        <w:rPr>
          <w:rFonts w:ascii="Consolas" w:hAnsi="Consolas"/>
          <w:sz w:val="19"/>
        </w:rPr>
      </w:pPr>
    </w:p>
    <w:p w14:paraId="65B554DE">
      <w:pPr>
        <w:spacing w:before="40" w:after="120"/>
        <w:ind w:left="259"/>
      </w:pPr>
      <w:bookmarkStart w:id="0" w:name="_GoBack"/>
      <w:bookmarkEnd w:id="0"/>
      <w:r>
        <w:rPr>
          <w:rFonts w:ascii="Consolas" w:hAnsi="Consolas"/>
          <w:sz w:val="19"/>
        </w:rPr>
        <w:t>gate_hazard = 0 if no_hazard_events else 0.35 + 0.65 hazard_response</w:t>
      </w:r>
    </w:p>
    <w:p w14:paraId="726061B9">
      <w:pPr>
        <w:spacing w:before="40" w:after="120"/>
        <w:ind w:left="259"/>
      </w:pPr>
      <w:r>
        <w:rPr>
          <w:rFonts w:ascii="Consolas" w:hAnsi="Consolas"/>
          <w:sz w:val="19"/>
        </w:rPr>
        <w:t>score_hazard_scene = base_hazard * gate_hazard</w:t>
      </w:r>
    </w:p>
    <w:p w14:paraId="1455478E">
      <w:pPr>
        <w:spacing w:before="40" w:after="120"/>
        <w:ind w:left="259"/>
      </w:pPr>
      <w:r>
        <w:rPr>
          <w:rFonts w:ascii="Consolas" w:hAnsi="Consolas"/>
          <w:sz w:val="19"/>
        </w:rPr>
        <w:t>ability_score = mean(behavior_score, hazard_score) when both groups are selected; otherwise selected group score; else 0</w:t>
      </w:r>
    </w:p>
    <w:p w14:paraId="669078AE">
      <w:r>
        <w:t>行为能力候选包括 lane_change、overtaking、bypass_obstacle、car_following、yielding、merge_or_cut_in、intersection_crossing、pedestrian_interaction、emergency_braking 和 low_speed_maneuver。隐患能力候选包括交通标志/标线、道路几何、视距受限、低附着路面、静态障碍、落物/移动障碍、施工或车道阻塞、优先权冲突、恶劣能见度、眩光和低照度。</w:t>
      </w:r>
    </w:p>
    <w:p w14:paraId="214E5963">
      <w:pPr>
        <w:pStyle w:val="3"/>
      </w:pPr>
      <w:r>
        <w:t>6. Default Parameter Summary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1900"/>
        <w:gridCol w:w="2960"/>
      </w:tblGrid>
      <w:tr w14:paraId="54D4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591D">
            <w:r>
              <w:rPr>
                <w:b/>
              </w:rPr>
              <w:t>Metric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25B2">
            <w:r>
              <w:rPr>
                <w:b/>
              </w:rPr>
              <w:t>Parameter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E6BB">
            <w:r>
              <w:rPr>
                <w:b/>
              </w:rPr>
              <w:t>Default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B59F">
            <w:r>
              <w:rPr>
                <w:b/>
              </w:rPr>
              <w:t>Meaning</w:t>
            </w:r>
          </w:p>
        </w:tc>
      </w:tr>
      <w:tr w14:paraId="6A8F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A8E5">
            <w:r>
              <w:t>Route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04BB">
            <w:r>
              <w:t>route_goal_tolerance_m / natural_end_distance_m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3B7D">
            <w:r>
              <w:t>5 m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54EE">
            <w:r>
              <w:t>到终点即完成的距离阈值</w:t>
            </w:r>
          </w:p>
        </w:tc>
      </w:tr>
      <w:tr w14:paraId="7751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B97F">
            <w:r>
              <w:t>Collision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CD63">
            <w:r>
              <w:t>collision_merge_window_s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3E34">
            <w:r>
              <w:t>5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B6D7">
            <w:r>
              <w:t>合并重复碰撞事件的时间窗口</w:t>
            </w:r>
          </w:p>
        </w:tc>
      </w:tr>
      <w:tr w14:paraId="0C4D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37F3">
            <w:r>
              <w:t>Efficiency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1495">
            <w:r>
              <w:t>efficiency_hard_time_ratio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F1A6">
            <w:r>
              <w:t>2.0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C8E8">
            <w:r>
              <w:t>耗时达到期望时间两倍时效率分接近 0</w:t>
            </w:r>
          </w:p>
        </w:tc>
      </w:tr>
      <w:tr w14:paraId="334E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E118">
            <w:r>
              <w:t>Speed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2489">
            <w:r>
              <w:t>speed_limit_tolerance_kmh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1461">
            <w:r>
              <w:t>3 km/h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0CDF">
            <w:r>
              <w:t>普通区域速度上限容差</w:t>
            </w:r>
          </w:p>
        </w:tc>
      </w:tr>
      <w:tr w14:paraId="080F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35AF">
            <w:r>
              <w:t>Speed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BE14">
            <w:r>
              <w:t>hazard_speed_tolerance_ratio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37F6">
            <w:r>
              <w:t>0.25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1FE3">
            <w:r>
              <w:t>隐患参考速度容差比例</w:t>
            </w:r>
          </w:p>
        </w:tc>
      </w:tr>
      <w:tr w14:paraId="3CF3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C82C">
            <w:r>
              <w:t>Trajectory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A821">
            <w:r>
              <w:t>allowed/hard lateral error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7C3C">
            <w:r>
              <w:t>4 / 12 m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D24B">
            <w:r>
              <w:t>空间横向偏差的宽松/硬阈值</w:t>
            </w:r>
          </w:p>
        </w:tc>
      </w:tr>
      <w:tr w14:paraId="13EE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2DE8">
            <w:r>
              <w:t>Trajectory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0984">
            <w:r>
              <w:t>allowed/hard progress error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EF95">
            <w:r>
              <w:t>20 / 60 m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912E">
            <w:r>
              <w:t>路线进度偏差阈值</w:t>
            </w:r>
          </w:p>
        </w:tc>
      </w:tr>
      <w:tr w14:paraId="62BF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9D77">
            <w:r>
              <w:t>Trajectory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EEF8">
            <w:r>
              <w:t>allowed/hard time error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6548">
            <w:r>
              <w:t>3 / 8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908F">
            <w:r>
              <w:t>进度误差折算时间阈值</w:t>
            </w:r>
          </w:p>
        </w:tc>
      </w:tr>
      <w:tr w14:paraId="7638B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B34F">
            <w:r>
              <w:t>Proximity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41EA">
            <w:r>
              <w:t>actor danger/caution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3839">
            <w:r>
              <w:t>3 / 12 m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FDBF">
            <w:r>
              <w:t>动态 actor 距离基础阈值</w:t>
            </w:r>
          </w:p>
        </w:tc>
      </w:tr>
      <w:tr w14:paraId="3171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4346">
            <w:r>
              <w:t>Proximity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1E5C">
            <w:r>
              <w:t>time headway danger/caution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6683">
            <w:r>
              <w:t>0.7 / 1.5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5D68">
            <w:r>
              <w:t>按车速扩展动态距离阈值</w:t>
            </w:r>
          </w:p>
        </w:tc>
      </w:tr>
      <w:tr w14:paraId="3A4B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088B">
            <w:r>
              <w:t>Proximity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0B95">
            <w:r>
              <w:t>TTC danger/caution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9B7F">
            <w:r>
              <w:t>2 / 5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3941">
            <w:r>
              <w:t>纵向闭合风险阈值</w:t>
            </w:r>
          </w:p>
        </w:tc>
      </w:tr>
      <w:tr w14:paraId="3990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8327">
            <w:r>
              <w:t>Proximity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9D56">
            <w:r>
              <w:t>TLC danger/caution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F455">
            <w:r>
              <w:t>1 / 3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F063">
            <w:r>
              <w:t>横向冲突时间阈值</w:t>
            </w:r>
          </w:p>
        </w:tc>
      </w:tr>
      <w:tr w14:paraId="2B11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1D6A">
            <w:r>
              <w:t>Comfort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6294">
            <w:r>
              <w:t>acceleration RMS limits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9804">
            <w:r>
              <w:t>2.5 long, 2.0 lateral m/s^2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D7C2">
            <w:r>
              <w:t>持续加速度舒适性阈值</w:t>
            </w:r>
          </w:p>
        </w:tc>
      </w:tr>
      <w:tr w14:paraId="5DD8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1AB3">
            <w:r>
              <w:t>Comfort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4A2E">
            <w:r>
              <w:t>jerk RMS limit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E8E8">
            <w:r>
              <w:t>3.0 m/s^3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99BD">
            <w:r>
              <w:t>持续 jerk 舒适性阈值</w:t>
            </w:r>
          </w:p>
        </w:tc>
      </w:tr>
      <w:tr w14:paraId="5746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FCD1">
            <w:r>
              <w:t>Control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CD9">
            <w:r>
              <w:t>steer/throttle/brake delta limits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B9C1">
            <w:r>
              <w:t>0.20 / 0.25 / 0.25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5EFB">
            <w:r>
              <w:t>相邻帧控制突变阈值</w:t>
            </w:r>
          </w:p>
        </w:tc>
      </w:tr>
      <w:tr w14:paraId="6D0C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E3A2">
            <w:r>
              <w:t>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DB4B">
            <w:r>
              <w:t>baseline_energy_kwh_per_100km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D06C">
            <w:r>
              <w:t>18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DC3C">
            <w:r>
              <w:t>统一轿车基准能耗</w:t>
            </w:r>
          </w:p>
        </w:tc>
      </w:tr>
      <w:tr w14:paraId="6119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19B7">
            <w:r>
              <w:t>Hazard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5A52">
            <w:r>
              <w:t>response_tau_s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3709">
            <w:r>
              <w:t>2 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65AA">
            <w:r>
              <w:t>反应时间指数衰减常数</w:t>
            </w:r>
          </w:p>
        </w:tc>
      </w:tr>
    </w:tbl>
    <w:p w14:paraId="689DCA1F">
      <w:pPr>
        <w:pStyle w:val="3"/>
      </w:pPr>
      <w:r>
        <w:t>7. Notes on Validity and Limitations</w:t>
      </w:r>
    </w:p>
    <w:p w14:paraId="3EBFCCBD">
      <w:r>
        <w:t>这些指标适用于 RoadTailBench 中固定场景、固定地图和统一 metadata 的相对比较。若 metadata 缺少 reference_trajectory、终点、速度上限或 hazard，相关指标会退化或无法反映预期任务，因此正式评测前应进行 metadata 完整性检查。</w:t>
      </w:r>
    </w:p>
    <w:p w14:paraId="3598D76C">
      <w:r>
        <w:t>近距风险中的环境 raycast 只能近似表达墙体、护栏、障碍物等环境 clearance；复杂关卡蓝图或非标准碰撞体可能造成检测缺失。能耗指标为物理近似模型，不代表真实车辆或 CARLA 底层动力总成标定。舒适性指标采用加速度、jerk 和 yaw rate 的工程阈值，用于算法间一致比较，不应解释为乘员主观舒适度的唯一标准。</w:t>
      </w:r>
    </w:p>
    <w:p w14:paraId="00C5427C">
      <w:pPr>
        <w:pStyle w:val="3"/>
      </w:pPr>
      <w:r>
        <w:t>References</w:t>
      </w:r>
    </w:p>
    <w:p w14:paraId="7318AEDD">
      <w:pPr>
        <w:ind w:left="360" w:hanging="360"/>
      </w:pPr>
      <w:r>
        <w:t>FHWA Surrogate Safety Assessment Model (SSAM): conflict indicators such as time-to-collision and post-encroachment time.</w:t>
      </w:r>
    </w:p>
    <w:p w14:paraId="7A977DB9">
      <w:pPr>
        <w:ind w:left="360" w:hanging="360"/>
      </w:pPr>
      <w:r>
        <w:t>ISO 2631-1: Mechanical vibration and shock - evaluation of human exposure to whole-body vibration.</w:t>
      </w:r>
    </w:p>
    <w:p w14:paraId="56590827">
      <w:pPr>
        <w:ind w:left="360" w:hanging="360"/>
      </w:pPr>
      <w:r>
        <w:t>Lateral safety literature using time-to-lane-crossing or lateral conflict time as a complement to longitudinal TTC.</w:t>
      </w:r>
    </w:p>
    <w:p w14:paraId="28401BC6">
      <w:pPr>
        <w:ind w:left="360" w:hanging="360"/>
      </w:pPr>
      <w:r>
        <w:t>Vehicle longitudinal dynamics models using rolling resistance, aerodynamic drag, grade force, inertial force, drivetrain efficiency, and regenerative braking.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8E66F">
    <w:pPr>
      <w:pStyle w:val="26"/>
      <w:jc w:val="right"/>
    </w:pPr>
    <w:r>
      <w:rPr>
        <w:color w:val="555555"/>
        <w:sz w:val="18"/>
      </w:rPr>
      <w:t>RoadTailBench Metrics Methods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724ED"/>
    <w:rsid w:val="09A73FC7"/>
    <w:rsid w:val="15D01194"/>
    <w:rsid w:val="16A91EF8"/>
    <w:rsid w:val="16EA33C9"/>
    <w:rsid w:val="27CA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4"/>
    <w:link w:val="144"/>
    <w:uiPriority w:val="0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5">
    <w:name w:val="heading 2"/>
    <w:basedOn w:val="1"/>
    <w:next w:val="4"/>
    <w:link w:val="145"/>
    <w:uiPriority w:val="0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6">
    <w:name w:val="heading 3"/>
    <w:basedOn w:val="1"/>
    <w:next w:val="4"/>
    <w:link w:val="146"/>
    <w:uiPriority w:val="0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7">
    <w:name w:val="heading 4"/>
    <w:basedOn w:val="1"/>
    <w:next w:val="4"/>
    <w:link w:val="155"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4"/>
    <w:link w:val="156"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4"/>
    <w:link w:val="157"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4"/>
    <w:link w:val="158"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4"/>
    <w:link w:val="159"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4"/>
    <w:link w:val="160"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uiPriority w:val="0"/>
  </w:style>
  <w:style w:type="table" w:default="1" w:styleId="35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4">
    <w:name w:val="Body Text"/>
    <w:basedOn w:val="1"/>
    <w:link w:val="217"/>
    <w:uiPriority w:val="0"/>
    <w:pPr>
      <w:spacing w:after="120"/>
    </w:pPr>
  </w:style>
  <w:style w:type="paragraph" w:styleId="13">
    <w:name w:val="List 3"/>
    <w:basedOn w:val="1"/>
    <w:uiPriority w:val="0"/>
    <w:pPr>
      <w:ind w:left="1080" w:hanging="360"/>
      <w:contextualSpacing/>
    </w:pPr>
  </w:style>
  <w:style w:type="paragraph" w:styleId="14">
    <w:name w:val="List Number 2"/>
    <w:basedOn w:val="1"/>
    <w:uiPriority w:val="0"/>
    <w:pPr>
      <w:numPr>
        <w:ilvl w:val="0"/>
        <w:numId w:val="1"/>
      </w:numPr>
      <w:contextualSpacing/>
    </w:pPr>
  </w:style>
  <w:style w:type="paragraph" w:styleId="15">
    <w:name w:val="List Number"/>
    <w:basedOn w:val="1"/>
    <w:uiPriority w:val="0"/>
    <w:pPr>
      <w:numPr>
        <w:ilvl w:val="0"/>
        <w:numId w:val="2"/>
      </w:numPr>
      <w:contextualSpacing/>
    </w:pPr>
  </w:style>
  <w:style w:type="paragraph" w:styleId="16">
    <w:name w:val="caption"/>
    <w:basedOn w:val="1"/>
    <w:uiPriority w:val="0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iPriority w:val="0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1"/>
    <w:uiPriority w:val="0"/>
    <w:pPr>
      <w:spacing w:after="120"/>
    </w:pPr>
    <w:rPr>
      <w:sz w:val="16"/>
      <w:szCs w:val="16"/>
    </w:rPr>
  </w:style>
  <w:style w:type="paragraph" w:styleId="19">
    <w:name w:val="List Bullet 3"/>
    <w:basedOn w:val="1"/>
    <w:uiPriority w:val="0"/>
    <w:pPr>
      <w:numPr>
        <w:ilvl w:val="0"/>
        <w:numId w:val="4"/>
      </w:numPr>
      <w:contextualSpacing/>
    </w:pPr>
  </w:style>
  <w:style w:type="paragraph" w:styleId="20">
    <w:name w:val="List Number 3"/>
    <w:basedOn w:val="1"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0"/>
    <w:pPr>
      <w:ind w:left="720" w:hanging="360"/>
      <w:contextualSpacing/>
    </w:pPr>
  </w:style>
  <w:style w:type="paragraph" w:styleId="22">
    <w:name w:val="List Continue"/>
    <w:basedOn w:val="1"/>
    <w:uiPriority w:val="0"/>
    <w:pPr>
      <w:spacing w:after="120"/>
      <w:ind w:left="360"/>
      <w:contextualSpacing/>
    </w:pPr>
  </w:style>
  <w:style w:type="paragraph" w:styleId="23">
    <w:name w:val="Block Text"/>
    <w:basedOn w:val="4"/>
    <w:next w:val="4"/>
    <w:uiPriority w:val="0"/>
    <w:pPr>
      <w:spacing w:before="100" w:after="100" w:line="240" w:lineRule="auto"/>
      <w:ind w:left="480" w:right="480" w:firstLine="0"/>
    </w:pPr>
    <w:rPr>
      <w:rFonts w:asciiTheme="minorHAnsi" w:hAnsiTheme="minorHAnsi" w:eastAsiaTheme="minorHAnsi"/>
      <w:sz w:val="24"/>
      <w:szCs w:val="24"/>
    </w:rPr>
  </w:style>
  <w:style w:type="paragraph" w:styleId="24">
    <w:name w:val="List Bullet 2"/>
    <w:basedOn w:val="1"/>
    <w:uiPriority w:val="0"/>
    <w:pPr>
      <w:numPr>
        <w:ilvl w:val="0"/>
        <w:numId w:val="6"/>
      </w:numPr>
      <w:contextualSpacing/>
    </w:pPr>
  </w:style>
  <w:style w:type="paragraph" w:styleId="25">
    <w:name w:val="Date"/>
    <w:next w:val="4"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6">
    <w:name w:val="footer"/>
    <w:basedOn w:val="1"/>
    <w:link w:val="22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220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Subtitle"/>
    <w:basedOn w:val="29"/>
    <w:next w:val="4"/>
    <w:link w:val="148"/>
    <w:uiPriority w:val="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Title"/>
    <w:basedOn w:val="1"/>
    <w:next w:val="4"/>
    <w:link w:val="147"/>
    <w:uiPriority w:val="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0">
    <w:name w:val="List"/>
    <w:basedOn w:val="1"/>
    <w:uiPriority w:val="0"/>
    <w:pPr>
      <w:ind w:left="360" w:hanging="360"/>
      <w:contextualSpacing/>
    </w:pPr>
  </w:style>
  <w:style w:type="paragraph" w:styleId="31">
    <w:name w:val="footnote text"/>
    <w:basedOn w:val="1"/>
    <w:uiPriority w:val="0"/>
    <w:pPr>
      <w:spacing w:after="200" w:line="240" w:lineRule="auto"/>
    </w:pPr>
    <w:rPr>
      <w:rFonts w:asciiTheme="minorHAnsi" w:hAnsiTheme="minorHAnsi" w:eastAsiaTheme="minorHAnsi"/>
      <w:sz w:val="24"/>
      <w:szCs w:val="24"/>
    </w:rPr>
  </w:style>
  <w:style w:type="paragraph" w:styleId="32">
    <w:name w:val="Body Text 2"/>
    <w:basedOn w:val="1"/>
    <w:link w:val="150"/>
    <w:uiPriority w:val="0"/>
    <w:pPr>
      <w:spacing w:after="120" w:line="480" w:lineRule="auto"/>
    </w:pPr>
  </w:style>
  <w:style w:type="paragraph" w:styleId="33">
    <w:name w:val="List Continue 2"/>
    <w:basedOn w:val="1"/>
    <w:uiPriority w:val="0"/>
    <w:pPr>
      <w:spacing w:after="120"/>
      <w:ind w:left="720"/>
      <w:contextualSpacing/>
    </w:pPr>
  </w:style>
  <w:style w:type="paragraph" w:styleId="34">
    <w:name w:val="List Continue 3"/>
    <w:basedOn w:val="1"/>
    <w:uiPriority w:val="0"/>
    <w:pPr>
      <w:spacing w:after="120"/>
      <w:ind w:left="1080"/>
      <w:contextualSpacing/>
    </w:pPr>
  </w:style>
  <w:style w:type="table" w:styleId="36">
    <w:name w:val="Table Grid"/>
    <w:basedOn w:val="35"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uiPriority w:val="0"/>
    <w:rPr>
      <w:b/>
      <w:bCs/>
    </w:rPr>
  </w:style>
  <w:style w:type="character" w:styleId="137">
    <w:name w:val="Emphasis"/>
    <w:basedOn w:val="135"/>
    <w:uiPriority w:val="0"/>
    <w:rPr>
      <w:i/>
      <w:iCs/>
    </w:rPr>
  </w:style>
  <w:style w:type="character" w:styleId="138">
    <w:name w:val="Hyperlink"/>
    <w:basedOn w:val="139"/>
    <w:uiPriority w:val="0"/>
    <w:rPr>
      <w:rFonts w:asciiTheme="minorHAnsi" w:hAnsiTheme="minorHAnsi" w:eastAsiaTheme="minorHAnsi" w:cstheme="minorBidi"/>
      <w:color w:val="4F81BD" w:themeColor="accent1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39">
    <w:name w:val="Body Text Char"/>
    <w:basedOn w:val="135"/>
    <w:link w:val="4"/>
    <w:qFormat/>
    <w:uiPriority w:val="99"/>
  </w:style>
  <w:style w:type="character" w:styleId="140">
    <w:name w:val="footnote reference"/>
    <w:basedOn w:val="139"/>
    <w:uiPriority w:val="0"/>
    <w:rPr>
      <w:rFonts w:asciiTheme="minorHAnsi" w:hAnsiTheme="minorHAnsi" w:eastAsiaTheme="minorHAnsi" w:cstheme="minorBidi"/>
      <w:sz w:val="24"/>
      <w:szCs w:val="24"/>
      <w:vertAlign w:val="superscript"/>
      <w:lang w:val="en-US" w:eastAsia="en-US" w:bidi="ar-SA"/>
    </w:rPr>
  </w:style>
  <w:style w:type="character" w:customStyle="1" w:styleId="141">
    <w:name w:val="Header Char"/>
    <w:basedOn w:val="135"/>
    <w:link w:val="27"/>
    <w:uiPriority w:val="99"/>
  </w:style>
  <w:style w:type="character" w:customStyle="1" w:styleId="142">
    <w:name w:val="Footer Char"/>
    <w:basedOn w:val="135"/>
    <w:link w:val="26"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5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5"/>
    <w:link w:val="2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2 Char"/>
    <w:basedOn w:val="135"/>
    <w:link w:val="32"/>
    <w:qFormat/>
    <w:uiPriority w:val="99"/>
  </w:style>
  <w:style w:type="character" w:customStyle="1" w:styleId="151">
    <w:name w:val="Body Text 3 Char"/>
    <w:basedOn w:val="135"/>
    <w:link w:val="18"/>
    <w:uiPriority w:val="99"/>
    <w:rPr>
      <w:sz w:val="16"/>
      <w:szCs w:val="16"/>
    </w:rPr>
  </w:style>
  <w:style w:type="character" w:customStyle="1" w:styleId="152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5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5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5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5"/>
    <w:link w:val="11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5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5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4"/>
    <w:semiHidden/>
    <w:unhideWhenUsed/>
    <w:qFormat/>
    <w:uiPriority w:val="39"/>
    <w:pPr>
      <w:outlineLvl w:val="9"/>
    </w:pPr>
  </w:style>
  <w:style w:type="paragraph" w:customStyle="1" w:styleId="169">
    <w:name w:val="First Paragraph"/>
    <w:basedOn w:val="4"/>
    <w:next w:val="4"/>
    <w:qFormat/>
    <w:uiPriority w:val="0"/>
    <w:pPr>
      <w:spacing w:before="180" w:after="180" w:line="240" w:lineRule="auto"/>
    </w:pPr>
    <w:rPr>
      <w:rFonts w:asciiTheme="minorHAnsi" w:hAnsiTheme="minorHAnsi" w:eastAsiaTheme="minorHAnsi"/>
      <w:sz w:val="24"/>
      <w:szCs w:val="24"/>
    </w:rPr>
  </w:style>
  <w:style w:type="paragraph" w:customStyle="1" w:styleId="170">
    <w:name w:val="Compact"/>
    <w:basedOn w:val="4"/>
    <w:qFormat/>
    <w:uiPriority w:val="0"/>
    <w:pPr>
      <w:spacing w:before="36" w:after="36" w:line="240" w:lineRule="auto"/>
    </w:pPr>
    <w:rPr>
      <w:rFonts w:asciiTheme="minorHAnsi" w:hAnsiTheme="minorHAnsi" w:eastAsiaTheme="minorHAnsi"/>
      <w:sz w:val="24"/>
      <w:szCs w:val="24"/>
    </w:rPr>
  </w:style>
  <w:style w:type="paragraph" w:customStyle="1" w:styleId="171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172">
    <w:name w:val="Abstract Title"/>
    <w:basedOn w:val="1"/>
    <w:next w:val="173"/>
    <w:qFormat/>
    <w:uiPriority w:val="0"/>
    <w:pPr>
      <w:keepNext/>
      <w:keepLines/>
      <w:spacing w:before="300" w:after="0" w:line="240" w:lineRule="auto"/>
      <w:jc w:val="center"/>
    </w:pPr>
    <w:rPr>
      <w:rFonts w:asciiTheme="minorHAnsi" w:hAnsiTheme="minorHAnsi" w:eastAsiaTheme="minorHAnsi"/>
      <w:b/>
      <w:sz w:val="20"/>
      <w:szCs w:val="20"/>
    </w:rPr>
  </w:style>
  <w:style w:type="paragraph" w:customStyle="1" w:styleId="173">
    <w:name w:val="Abstract"/>
    <w:basedOn w:val="1"/>
    <w:next w:val="4"/>
    <w:qFormat/>
    <w:uiPriority w:val="0"/>
    <w:pPr>
      <w:keepNext/>
      <w:keepLines/>
      <w:spacing w:before="100" w:after="300" w:line="240" w:lineRule="auto"/>
    </w:pPr>
    <w:rPr>
      <w:rFonts w:asciiTheme="minorHAnsi" w:hAnsiTheme="minorHAnsi" w:eastAsiaTheme="minorHAnsi"/>
      <w:sz w:val="20"/>
      <w:szCs w:val="20"/>
    </w:rPr>
  </w:style>
  <w:style w:type="paragraph" w:customStyle="1" w:styleId="174">
    <w:name w:val="Bibliography"/>
    <w:basedOn w:val="1"/>
    <w:qFormat/>
    <w:uiPriority w:val="0"/>
    <w:pPr>
      <w:spacing w:after="200" w:line="240" w:lineRule="auto"/>
    </w:pPr>
    <w:rPr>
      <w:rFonts w:asciiTheme="minorHAnsi" w:hAnsiTheme="minorHAnsi" w:eastAsiaTheme="minorHAnsi"/>
      <w:sz w:val="24"/>
      <w:szCs w:val="24"/>
    </w:rPr>
  </w:style>
  <w:style w:type="paragraph" w:customStyle="1" w:styleId="175">
    <w:name w:val="Footnote Block Text"/>
    <w:basedOn w:val="31"/>
    <w:next w:val="31"/>
    <w:unhideWhenUsed/>
    <w:qFormat/>
    <w:uiPriority w:val="9"/>
    <w:pPr>
      <w:spacing w:before="100" w:after="100"/>
      <w:ind w:left="480" w:right="480" w:firstLine="0"/>
    </w:pPr>
  </w:style>
  <w:style w:type="table" w:customStyle="1" w:styleId="17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177">
    <w:name w:val="Definition Term"/>
    <w:basedOn w:val="1"/>
    <w:next w:val="178"/>
    <w:qFormat/>
    <w:uiPriority w:val="0"/>
    <w:pPr>
      <w:keepNext/>
      <w:keepLines/>
      <w:spacing w:after="0" w:line="240" w:lineRule="auto"/>
    </w:pPr>
    <w:rPr>
      <w:rFonts w:asciiTheme="minorHAnsi" w:hAnsiTheme="minorHAnsi" w:eastAsiaTheme="minorHAnsi"/>
      <w:b/>
      <w:sz w:val="24"/>
      <w:szCs w:val="24"/>
    </w:rPr>
  </w:style>
  <w:style w:type="paragraph" w:customStyle="1" w:styleId="178">
    <w:name w:val="Definition"/>
    <w:basedOn w:val="1"/>
    <w:qFormat/>
    <w:uiPriority w:val="0"/>
    <w:pPr>
      <w:spacing w:after="200" w:line="240" w:lineRule="auto"/>
    </w:pPr>
    <w:rPr>
      <w:rFonts w:asciiTheme="minorHAnsi" w:hAnsiTheme="minorHAnsi" w:eastAsiaTheme="minorHAnsi"/>
      <w:sz w:val="24"/>
      <w:szCs w:val="24"/>
    </w:rPr>
  </w:style>
  <w:style w:type="paragraph" w:customStyle="1" w:styleId="179">
    <w:name w:val="Table Caption"/>
    <w:basedOn w:val="16"/>
    <w:qFormat/>
    <w:uiPriority w:val="0"/>
    <w:pPr>
      <w:keepNext/>
      <w:spacing w:before="0" w:line="240" w:lineRule="auto"/>
    </w:pPr>
    <w:rPr>
      <w:rFonts w:asciiTheme="minorHAnsi" w:hAnsiTheme="minorHAnsi" w:eastAsiaTheme="minorHAnsi"/>
      <w:b w:val="0"/>
      <w:bCs w:val="0"/>
      <w:i/>
      <w:sz w:val="24"/>
      <w:szCs w:val="24"/>
    </w:rPr>
  </w:style>
  <w:style w:type="paragraph" w:customStyle="1" w:styleId="180">
    <w:name w:val="Image Caption"/>
    <w:basedOn w:val="16"/>
    <w:qFormat/>
    <w:uiPriority w:val="0"/>
    <w:pPr>
      <w:spacing w:before="0" w:line="240" w:lineRule="auto"/>
    </w:pPr>
    <w:rPr>
      <w:rFonts w:asciiTheme="minorHAnsi" w:hAnsiTheme="minorHAnsi" w:eastAsiaTheme="minorHAnsi"/>
      <w:b w:val="0"/>
      <w:bCs w:val="0"/>
      <w:i/>
      <w:sz w:val="24"/>
      <w:szCs w:val="24"/>
    </w:rPr>
  </w:style>
  <w:style w:type="paragraph" w:customStyle="1" w:styleId="181">
    <w:name w:val="Figure"/>
    <w:basedOn w:val="1"/>
    <w:qFormat/>
    <w:uiPriority w:val="0"/>
    <w:pPr>
      <w:spacing w:after="200" w:line="240" w:lineRule="auto"/>
    </w:pPr>
    <w:rPr>
      <w:rFonts w:asciiTheme="minorHAnsi" w:hAnsiTheme="minorHAnsi" w:eastAsiaTheme="minorHAnsi"/>
      <w:sz w:val="24"/>
      <w:szCs w:val="24"/>
    </w:rPr>
  </w:style>
  <w:style w:type="paragraph" w:customStyle="1" w:styleId="182">
    <w:name w:val="Captioned Figure"/>
    <w:basedOn w:val="181"/>
    <w:qFormat/>
    <w:uiPriority w:val="0"/>
    <w:pPr>
      <w:keepNext/>
    </w:pPr>
  </w:style>
  <w:style w:type="character" w:customStyle="1" w:styleId="183">
    <w:name w:val="Verbatim Char"/>
    <w:basedOn w:val="139"/>
    <w:link w:val="184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184">
    <w:name w:val="Source Code"/>
    <w:basedOn w:val="1"/>
    <w:link w:val="183"/>
    <w:qFormat/>
    <w:uiPriority w:val="0"/>
    <w:pPr>
      <w:wordWrap w:val="0"/>
      <w:spacing w:after="200" w:line="240" w:lineRule="auto"/>
    </w:pPr>
    <w:rPr>
      <w:rFonts w:asciiTheme="minorHAnsi" w:hAnsiTheme="minorHAnsi" w:eastAsiaTheme="minorHAnsi"/>
      <w:sz w:val="24"/>
      <w:szCs w:val="24"/>
    </w:rPr>
  </w:style>
  <w:style w:type="character" w:customStyle="1" w:styleId="185">
    <w:name w:val="Section Number"/>
    <w:basedOn w:val="139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customStyle="1" w:styleId="186">
    <w:name w:val="KeywordTok"/>
    <w:basedOn w:val="183"/>
    <w:uiPriority w:val="0"/>
    <w:rPr>
      <w:b/>
      <w:color w:val="007020"/>
    </w:rPr>
  </w:style>
  <w:style w:type="character" w:customStyle="1" w:styleId="187">
    <w:name w:val="DataTypeTok"/>
    <w:basedOn w:val="183"/>
    <w:qFormat/>
    <w:uiPriority w:val="0"/>
    <w:rPr>
      <w:color w:val="902000"/>
    </w:rPr>
  </w:style>
  <w:style w:type="character" w:customStyle="1" w:styleId="188">
    <w:name w:val="DecValTok"/>
    <w:basedOn w:val="183"/>
    <w:qFormat/>
    <w:uiPriority w:val="0"/>
    <w:rPr>
      <w:color w:val="40A070"/>
    </w:rPr>
  </w:style>
  <w:style w:type="character" w:customStyle="1" w:styleId="189">
    <w:name w:val="BaseNTok"/>
    <w:basedOn w:val="183"/>
    <w:qFormat/>
    <w:uiPriority w:val="0"/>
    <w:rPr>
      <w:color w:val="40A070"/>
    </w:rPr>
  </w:style>
  <w:style w:type="character" w:customStyle="1" w:styleId="190">
    <w:name w:val="FloatTok"/>
    <w:basedOn w:val="183"/>
    <w:uiPriority w:val="0"/>
    <w:rPr>
      <w:color w:val="40A070"/>
    </w:rPr>
  </w:style>
  <w:style w:type="character" w:customStyle="1" w:styleId="191">
    <w:name w:val="ConstantTok"/>
    <w:basedOn w:val="183"/>
    <w:qFormat/>
    <w:uiPriority w:val="0"/>
    <w:rPr>
      <w:color w:val="880000"/>
    </w:rPr>
  </w:style>
  <w:style w:type="character" w:customStyle="1" w:styleId="192">
    <w:name w:val="CharTok"/>
    <w:basedOn w:val="183"/>
    <w:qFormat/>
    <w:uiPriority w:val="0"/>
    <w:rPr>
      <w:color w:val="4070A0"/>
    </w:rPr>
  </w:style>
  <w:style w:type="character" w:customStyle="1" w:styleId="193">
    <w:name w:val="SpecialCharTok"/>
    <w:basedOn w:val="183"/>
    <w:qFormat/>
    <w:uiPriority w:val="0"/>
    <w:rPr>
      <w:color w:val="4070A0"/>
    </w:rPr>
  </w:style>
  <w:style w:type="character" w:customStyle="1" w:styleId="194">
    <w:name w:val="StringTok"/>
    <w:basedOn w:val="183"/>
    <w:uiPriority w:val="0"/>
    <w:rPr>
      <w:color w:val="4070A0"/>
    </w:rPr>
  </w:style>
  <w:style w:type="character" w:customStyle="1" w:styleId="195">
    <w:name w:val="VerbatimStringTok"/>
    <w:basedOn w:val="183"/>
    <w:qFormat/>
    <w:uiPriority w:val="0"/>
    <w:rPr>
      <w:color w:val="4070A0"/>
    </w:rPr>
  </w:style>
  <w:style w:type="character" w:customStyle="1" w:styleId="196">
    <w:name w:val="SpecialStringTok"/>
    <w:basedOn w:val="183"/>
    <w:qFormat/>
    <w:uiPriority w:val="0"/>
    <w:rPr>
      <w:color w:val="BB6688"/>
    </w:rPr>
  </w:style>
  <w:style w:type="character" w:customStyle="1" w:styleId="197">
    <w:name w:val="ImportTok"/>
    <w:basedOn w:val="183"/>
    <w:qFormat/>
    <w:uiPriority w:val="0"/>
    <w:rPr>
      <w:b/>
      <w:color w:val="008000"/>
    </w:rPr>
  </w:style>
  <w:style w:type="character" w:customStyle="1" w:styleId="198">
    <w:name w:val="CommentTok"/>
    <w:basedOn w:val="183"/>
    <w:qFormat/>
    <w:uiPriority w:val="0"/>
    <w:rPr>
      <w:i/>
      <w:color w:val="60A0B0"/>
    </w:rPr>
  </w:style>
  <w:style w:type="character" w:customStyle="1" w:styleId="199">
    <w:name w:val="DocumentationTok"/>
    <w:basedOn w:val="183"/>
    <w:qFormat/>
    <w:uiPriority w:val="0"/>
    <w:rPr>
      <w:i/>
      <w:color w:val="BA2121"/>
    </w:rPr>
  </w:style>
  <w:style w:type="character" w:customStyle="1" w:styleId="200">
    <w:name w:val="AnnotationTok"/>
    <w:basedOn w:val="183"/>
    <w:qFormat/>
    <w:uiPriority w:val="0"/>
    <w:rPr>
      <w:b/>
      <w:i/>
      <w:color w:val="60A0B0"/>
    </w:rPr>
  </w:style>
  <w:style w:type="character" w:customStyle="1" w:styleId="201">
    <w:name w:val="CommentVarTok"/>
    <w:basedOn w:val="183"/>
    <w:qFormat/>
    <w:uiPriority w:val="0"/>
    <w:rPr>
      <w:b/>
      <w:i/>
      <w:color w:val="60A0B0"/>
    </w:rPr>
  </w:style>
  <w:style w:type="character" w:customStyle="1" w:styleId="202">
    <w:name w:val="OtherTok"/>
    <w:basedOn w:val="183"/>
    <w:qFormat/>
    <w:uiPriority w:val="0"/>
    <w:rPr>
      <w:color w:val="007020"/>
    </w:rPr>
  </w:style>
  <w:style w:type="character" w:customStyle="1" w:styleId="203">
    <w:name w:val="FunctionTok"/>
    <w:basedOn w:val="183"/>
    <w:qFormat/>
    <w:uiPriority w:val="0"/>
    <w:rPr>
      <w:color w:val="06287E"/>
    </w:rPr>
  </w:style>
  <w:style w:type="character" w:customStyle="1" w:styleId="204">
    <w:name w:val="VariableTok"/>
    <w:basedOn w:val="183"/>
    <w:qFormat/>
    <w:uiPriority w:val="0"/>
    <w:rPr>
      <w:color w:val="19177C"/>
    </w:rPr>
  </w:style>
  <w:style w:type="character" w:customStyle="1" w:styleId="205">
    <w:name w:val="ControlFlowTok"/>
    <w:basedOn w:val="183"/>
    <w:qFormat/>
    <w:uiPriority w:val="0"/>
    <w:rPr>
      <w:b/>
      <w:color w:val="007020"/>
    </w:rPr>
  </w:style>
  <w:style w:type="character" w:customStyle="1" w:styleId="206">
    <w:name w:val="OperatorTok"/>
    <w:basedOn w:val="183"/>
    <w:qFormat/>
    <w:uiPriority w:val="0"/>
    <w:rPr>
      <w:color w:val="666666"/>
    </w:rPr>
  </w:style>
  <w:style w:type="character" w:customStyle="1" w:styleId="207">
    <w:name w:val="BuiltInTok"/>
    <w:basedOn w:val="183"/>
    <w:qFormat/>
    <w:uiPriority w:val="0"/>
    <w:rPr>
      <w:color w:val="008000"/>
    </w:rPr>
  </w:style>
  <w:style w:type="character" w:customStyle="1" w:styleId="208">
    <w:name w:val="ExtensionTok"/>
    <w:basedOn w:val="183"/>
    <w:qFormat/>
    <w:uiPriority w:val="0"/>
  </w:style>
  <w:style w:type="character" w:customStyle="1" w:styleId="209">
    <w:name w:val="PreprocessorTok"/>
    <w:basedOn w:val="183"/>
    <w:qFormat/>
    <w:uiPriority w:val="0"/>
    <w:rPr>
      <w:color w:val="BC7A00"/>
    </w:rPr>
  </w:style>
  <w:style w:type="character" w:customStyle="1" w:styleId="210">
    <w:name w:val="AttributeTok"/>
    <w:basedOn w:val="183"/>
    <w:qFormat/>
    <w:uiPriority w:val="0"/>
    <w:rPr>
      <w:color w:val="7D9029"/>
    </w:rPr>
  </w:style>
  <w:style w:type="character" w:customStyle="1" w:styleId="211">
    <w:name w:val="RegionMarkerTok"/>
    <w:basedOn w:val="183"/>
    <w:uiPriority w:val="0"/>
  </w:style>
  <w:style w:type="character" w:customStyle="1" w:styleId="212">
    <w:name w:val="InformationTok"/>
    <w:basedOn w:val="183"/>
    <w:qFormat/>
    <w:uiPriority w:val="0"/>
    <w:rPr>
      <w:b/>
      <w:i/>
      <w:color w:val="60A0B0"/>
    </w:rPr>
  </w:style>
  <w:style w:type="character" w:customStyle="1" w:styleId="213">
    <w:name w:val="WarningTok"/>
    <w:basedOn w:val="183"/>
    <w:qFormat/>
    <w:uiPriority w:val="0"/>
    <w:rPr>
      <w:b/>
      <w:i/>
      <w:color w:val="60A0B0"/>
    </w:rPr>
  </w:style>
  <w:style w:type="character" w:customStyle="1" w:styleId="214">
    <w:name w:val="AlertTok"/>
    <w:basedOn w:val="183"/>
    <w:uiPriority w:val="0"/>
    <w:rPr>
      <w:b/>
      <w:color w:val="FF0000"/>
    </w:rPr>
  </w:style>
  <w:style w:type="character" w:customStyle="1" w:styleId="215">
    <w:name w:val="ErrorTok"/>
    <w:basedOn w:val="183"/>
    <w:qFormat/>
    <w:uiPriority w:val="0"/>
    <w:rPr>
      <w:b/>
      <w:color w:val="FF0000"/>
    </w:rPr>
  </w:style>
  <w:style w:type="character" w:customStyle="1" w:styleId="216">
    <w:name w:val="NormalTok"/>
    <w:basedOn w:val="183"/>
    <w:qFormat/>
    <w:uiPriority w:val="0"/>
  </w:style>
  <w:style w:type="character" w:customStyle="1" w:styleId="217">
    <w:name w:val="正文文本 字符"/>
    <w:basedOn w:val="135"/>
    <w:link w:val="4"/>
    <w:qFormat/>
    <w:uiPriority w:val="0"/>
    <w:rPr>
      <w:rFonts w:ascii="Times New Roman" w:hAnsi="Times New Roman" w:eastAsia="宋体" w:cstheme="minorBidi"/>
      <w:sz w:val="21"/>
      <w:szCs w:val="24"/>
      <w:lang w:val="en-US" w:eastAsia="en-US" w:bidi="ar-SA"/>
    </w:rPr>
  </w:style>
  <w:style w:type="paragraph" w:customStyle="1" w:styleId="218">
    <w:name w:val="书目1"/>
    <w:basedOn w:val="1"/>
    <w:qFormat/>
    <w:uiPriority w:val="0"/>
    <w:pPr>
      <w:spacing w:after="200" w:line="360" w:lineRule="auto"/>
    </w:pPr>
    <w:rPr>
      <w:rFonts w:ascii="Times New Roman" w:hAnsi="Times New Roman" w:eastAsiaTheme="minorHAnsi"/>
      <w:sz w:val="24"/>
      <w:szCs w:val="24"/>
    </w:rPr>
  </w:style>
  <w:style w:type="paragraph" w:customStyle="1" w:styleId="219">
    <w:name w:val="TOC 标题1"/>
    <w:basedOn w:val="3"/>
    <w:next w:val="4"/>
    <w:unhideWhenUsed/>
    <w:qFormat/>
    <w:uiPriority w:val="39"/>
    <w:pPr>
      <w:spacing w:before="240" w:after="0" w:line="259" w:lineRule="auto"/>
      <w:outlineLvl w:val="9"/>
    </w:pPr>
    <w:rPr>
      <w:b w:val="0"/>
      <w:bCs w:val="0"/>
      <w:color w:val="auto"/>
      <w:szCs w:val="32"/>
    </w:rPr>
  </w:style>
  <w:style w:type="character" w:customStyle="1" w:styleId="220">
    <w:name w:val="页眉 字符"/>
    <w:basedOn w:val="135"/>
    <w:link w:val="27"/>
    <w:uiPriority w:val="0"/>
    <w:rPr>
      <w:rFonts w:asciiTheme="minorHAnsi" w:hAnsiTheme="minorHAnsi" w:eastAsiaTheme="minorHAnsi" w:cstheme="minorBidi"/>
      <w:sz w:val="18"/>
      <w:szCs w:val="18"/>
      <w:lang w:val="en-US" w:eastAsia="en-US" w:bidi="ar-SA"/>
    </w:rPr>
  </w:style>
  <w:style w:type="character" w:customStyle="1" w:styleId="221">
    <w:name w:val="页脚 字符"/>
    <w:basedOn w:val="135"/>
    <w:link w:val="26"/>
    <w:qFormat/>
    <w:uiPriority w:val="0"/>
    <w:rPr>
      <w:rFonts w:asciiTheme="minorHAnsi" w:hAnsiTheme="minorHAnsi" w:eastAsiaTheme="minorHAnsi" w:cstheme="minorBid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3152</Words>
  <Characters>8678</Characters>
  <Lines>0</Lines>
  <Paragraphs>0</Paragraphs>
  <TotalTime>22</TotalTime>
  <ScaleCrop>false</ScaleCrop>
  <LinksUpToDate>false</LinksUpToDate>
  <CharactersWithSpaces>9589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李响</cp:lastModifiedBy>
  <dcterms:modified xsi:type="dcterms:W3CDTF">2026-06-23T08:12:29Z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eyJoZGlkIjoiNDRhMmQ3ZDA2NTE5MTk3MGY5NjA5ODJkMTFhMjA4YTUiLCJ1c2VySWQiOiIxNzkwMDAwNTgyIn0=</vt:lpwstr>
  </property>
  <property fmtid="{D5CDD505-2E9C-101B-9397-08002B2CF9AE}" pid="3" name="KSOProductBuildVer">
    <vt:lpwstr>2052-12.1.0.23542</vt:lpwstr>
  </property>
  <property fmtid="{D5CDD505-2E9C-101B-9397-08002B2CF9AE}" pid="4" name="ICV">
    <vt:lpwstr>BB1564DBE6574452918A9AE69D4031A6_12</vt:lpwstr>
  </property>
</Properties>
</file>