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proofErr w:type="spellStart"/>
      <w:r w:rsidR="00543615">
        <w:rPr>
          <w:b/>
          <w:sz w:val="28"/>
          <w:szCs w:val="28"/>
        </w:rPr>
        <w:t>Asmcodes</w:t>
      </w:r>
      <w:proofErr w:type="spellEnd"/>
      <w:r w:rsidR="00543615">
        <w:rPr>
          <w:b/>
          <w:sz w:val="28"/>
          <w:szCs w:val="28"/>
        </w:rPr>
        <w:t xml:space="preserve">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1637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</w:t>
      </w:r>
      <w:r w:rsidR="00D71637">
        <w:rPr>
          <w:sz w:val="24"/>
          <w:szCs w:val="24"/>
        </w:rPr>
        <w:t>March</w:t>
      </w:r>
      <w:r w:rsidR="00B65D77">
        <w:rPr>
          <w:sz w:val="24"/>
          <w:szCs w:val="24"/>
        </w:rPr>
        <w:t xml:space="preserve"> 201</w:t>
      </w:r>
      <w:r w:rsidR="00D71637">
        <w:rPr>
          <w:sz w:val="24"/>
          <w:szCs w:val="24"/>
        </w:rPr>
        <w:t>7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proofErr w:type="gramStart"/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proofErr w:type="gramEnd"/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</w:t>
      </w:r>
    </w:p>
    <w:p w:rsidR="00EF6D33" w:rsidRDefault="00F1538E">
      <w:pPr>
        <w:rPr>
          <w:sz w:val="24"/>
          <w:szCs w:val="24"/>
        </w:rPr>
      </w:pPr>
      <w:r>
        <w:rPr>
          <w:sz w:val="24"/>
          <w:szCs w:val="24"/>
        </w:rPr>
        <w:t xml:space="preserve">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543615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</w:t>
      </w:r>
      <w:proofErr w:type="gramStart"/>
      <w:r w:rsidR="006753AF">
        <w:rPr>
          <w:sz w:val="24"/>
          <w:szCs w:val="24"/>
        </w:rPr>
        <w:t xml:space="preserve">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 think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</w:t>
      </w:r>
      <w:r w:rsidR="00D71637">
        <w:rPr>
          <w:sz w:val="24"/>
          <w:szCs w:val="24"/>
        </w:rPr>
        <w:t xml:space="preserve">environments. </w:t>
      </w:r>
      <w:r w:rsidR="00E86AD5"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</w:t>
      </w:r>
      <w:proofErr w:type="spellStart"/>
      <w:r w:rsidR="005A7359">
        <w:rPr>
          <w:sz w:val="24"/>
          <w:szCs w:val="24"/>
        </w:rPr>
        <w:t>Ferrie</w:t>
      </w:r>
      <w:proofErr w:type="spellEnd"/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criterion for selection was</w:t>
      </w:r>
      <w:r w:rsidR="0076176D">
        <w:rPr>
          <w:sz w:val="24"/>
          <w:szCs w:val="24"/>
        </w:rPr>
        <w:t xml:space="preserve"> very simple: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  <w:r w:rsidR="00E2706C">
        <w:rPr>
          <w:sz w:val="24"/>
          <w:szCs w:val="24"/>
        </w:rPr>
        <w:t xml:space="preserve"> The same is true for ciphers such as MARS, Camellia, CAST and cryptographi</w:t>
      </w:r>
      <w:r w:rsidR="00B9420D">
        <w:rPr>
          <w:sz w:val="24"/>
          <w:szCs w:val="24"/>
        </w:rPr>
        <w:t xml:space="preserve">c hash algorithms like </w:t>
      </w:r>
      <w:proofErr w:type="spellStart"/>
      <w:r w:rsidR="00B9420D">
        <w:rPr>
          <w:sz w:val="24"/>
          <w:szCs w:val="24"/>
        </w:rPr>
        <w:t>Streebog</w:t>
      </w:r>
      <w:proofErr w:type="spellEnd"/>
      <w:r w:rsidR="00B9420D">
        <w:rPr>
          <w:sz w:val="24"/>
          <w:szCs w:val="24"/>
        </w:rPr>
        <w:t xml:space="preserve"> or Whirlpool.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for generating key stream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t>MARS also uses large lookup tables and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2A4A02">
        <w:rPr>
          <w:sz w:val="24"/>
          <w:szCs w:val="24"/>
        </w:rPr>
        <w:t xml:space="preserve"> is</w:t>
      </w:r>
      <w:r w:rsidR="000D0428">
        <w:rPr>
          <w:sz w:val="24"/>
          <w:szCs w:val="24"/>
        </w:rPr>
        <w:t xml:space="preserve"> a list of block and stream ciphers that were examined for implementation.</w:t>
      </w:r>
      <w:r w:rsidR="008963CD">
        <w:rPr>
          <w:sz w:val="24"/>
          <w:szCs w:val="24"/>
        </w:rPr>
        <w:t xml:space="preserve"> The algorithm rows highlighted in grey were implemented but due to patents will not be made available in final library.</w:t>
      </w:r>
      <w:r w:rsidR="002A4A02">
        <w:rPr>
          <w:sz w:val="24"/>
          <w:szCs w:val="24"/>
        </w:rPr>
        <w:t xml:space="preserve"> Those in red are considered obsolete.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Noekeon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Kalyna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Kuznyechik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A4A02" w:rsidTr="0090743F">
        <w:trPr>
          <w:jc w:val="center"/>
        </w:trPr>
        <w:tc>
          <w:tcPr>
            <w:tcW w:w="1796" w:type="dxa"/>
          </w:tcPr>
          <w:p w:rsidR="002A4A02" w:rsidRDefault="002A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372" w:type="dxa"/>
            <w:shd w:val="clear" w:color="auto" w:fill="FFFFFF" w:themeFill="background1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A545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CubeHash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2A5D72" w:rsidRDefault="002A5D72">
      <w:pPr>
        <w:rPr>
          <w:sz w:val="24"/>
          <w:szCs w:val="24"/>
        </w:rPr>
      </w:pPr>
    </w:p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Based on the results, AES-256 is favourable as block cipher with Salsa20 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</w:t>
      </w:r>
      <w:proofErr w:type="spellStart"/>
      <w:r w:rsidR="00FE459C">
        <w:rPr>
          <w:sz w:val="24"/>
          <w:szCs w:val="24"/>
        </w:rPr>
        <w:t>eSTREAM</w:t>
      </w:r>
      <w:proofErr w:type="spellEnd"/>
      <w:r w:rsidR="00FE459C">
        <w:rPr>
          <w:sz w:val="24"/>
          <w:szCs w:val="24"/>
        </w:rPr>
        <w:t xml:space="preserve">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A761D0" w:rsidRDefault="00A761D0">
      <w:pPr>
        <w:rPr>
          <w:sz w:val="24"/>
          <w:szCs w:val="24"/>
        </w:rPr>
      </w:pPr>
    </w:p>
    <w:p w:rsidR="00A761D0" w:rsidRDefault="00A761D0">
      <w:pPr>
        <w:rPr>
          <w:sz w:val="24"/>
          <w:szCs w:val="24"/>
        </w:rPr>
      </w:pP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6B13F1" w:rsidTr="00123742">
        <w:trPr>
          <w:jc w:val="center"/>
        </w:trPr>
        <w:tc>
          <w:tcPr>
            <w:tcW w:w="1822" w:type="dxa"/>
            <w:shd w:val="clear" w:color="auto" w:fill="92D050"/>
          </w:tcPr>
          <w:p w:rsidR="006B13F1" w:rsidRDefault="006B13F1" w:rsidP="001237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042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1639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 xml:space="preserve">Hash is incredibly compact but also slow unless using a </w:t>
      </w:r>
      <w:proofErr w:type="spellStart"/>
      <w:r w:rsidR="00F836BB">
        <w:rPr>
          <w:sz w:val="24"/>
          <w:szCs w:val="24"/>
        </w:rPr>
        <w:t>vectorized</w:t>
      </w:r>
      <w:proofErr w:type="spellEnd"/>
      <w:r w:rsidR="00F836BB">
        <w:rPr>
          <w:sz w:val="24"/>
          <w:szCs w:val="24"/>
        </w:rPr>
        <w:t xml:space="preserve">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lastRenderedPageBreak/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893588">
        <w:rPr>
          <w:sz w:val="24"/>
          <w:szCs w:val="24"/>
        </w:rPr>
        <w:t>factoring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</w:t>
      </w:r>
      <w:proofErr w:type="spellStart"/>
      <w:r w:rsidR="002C4914">
        <w:rPr>
          <w:sz w:val="24"/>
          <w:szCs w:val="24"/>
        </w:rPr>
        <w:t>Diffie</w:t>
      </w:r>
      <w:proofErr w:type="spellEnd"/>
      <w:r w:rsidR="002C4914">
        <w:rPr>
          <w:sz w:val="24"/>
          <w:szCs w:val="24"/>
        </w:rPr>
        <w:t>-Hellman-</w:t>
      </w:r>
      <w:proofErr w:type="spellStart"/>
      <w:r w:rsidR="002C4914">
        <w:rPr>
          <w:sz w:val="24"/>
          <w:szCs w:val="24"/>
        </w:rPr>
        <w:t>Merkle</w:t>
      </w:r>
      <w:proofErr w:type="spellEnd"/>
      <w:r w:rsidR="002C4914">
        <w:rPr>
          <w:sz w:val="24"/>
          <w:szCs w:val="24"/>
        </w:rPr>
        <w:t xml:space="preserve">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>e considered as an alternative if space isn’t important.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9E7A41" w:rsidRPr="00527BE3" w:rsidRDefault="00B977EA">
      <w:pPr>
        <w:rPr>
          <w:sz w:val="24"/>
          <w:szCs w:val="24"/>
        </w:rPr>
      </w:pPr>
      <w:r w:rsidRPr="00B977EA">
        <w:rPr>
          <w:b/>
          <w:sz w:val="28"/>
          <w:szCs w:val="28"/>
        </w:rPr>
        <w:lastRenderedPageBreak/>
        <w:t>Final Results</w:t>
      </w:r>
    </w:p>
    <w:p w:rsidR="00B977EA" w:rsidRPr="00B977EA" w:rsidRDefault="005652A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B3C16">
        <w:rPr>
          <w:sz w:val="24"/>
          <w:szCs w:val="24"/>
        </w:rPr>
        <w:t>hree</w:t>
      </w:r>
      <w:r>
        <w:rPr>
          <w:sz w:val="24"/>
          <w:szCs w:val="24"/>
        </w:rPr>
        <w:t xml:space="preserve"> configurations </w:t>
      </w:r>
      <w:r w:rsidR="005B3C16">
        <w:rPr>
          <w:sz w:val="24"/>
          <w:szCs w:val="24"/>
        </w:rPr>
        <w:t>could be</w:t>
      </w:r>
      <w:r>
        <w:rPr>
          <w:sz w:val="24"/>
          <w:szCs w:val="24"/>
        </w:rPr>
        <w:t xml:space="preserve"> </w:t>
      </w:r>
      <w:r w:rsidR="005B3C16">
        <w:rPr>
          <w:sz w:val="24"/>
          <w:szCs w:val="24"/>
        </w:rPr>
        <w:t>considered.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08"/>
        <w:gridCol w:w="1744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08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44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AES-256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760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7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822214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0C571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SHA3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744" w:type="dxa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460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:rsidR="002305FD" w:rsidRPr="00C053DC" w:rsidRDefault="002305FD" w:rsidP="008D1009">
            <w:pPr>
              <w:jc w:val="right"/>
              <w:rPr>
                <w:b/>
                <w:sz w:val="24"/>
                <w:szCs w:val="24"/>
              </w:rPr>
            </w:pPr>
            <w:r w:rsidRPr="005E4A2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483</w:t>
            </w:r>
          </w:p>
        </w:tc>
        <w:tc>
          <w:tcPr>
            <w:tcW w:w="1744" w:type="dxa"/>
          </w:tcPr>
          <w:p w:rsidR="002305FD" w:rsidRPr="006E05CB" w:rsidRDefault="002305FD" w:rsidP="00D376B3">
            <w:pPr>
              <w:jc w:val="right"/>
              <w:rPr>
                <w:b/>
                <w:sz w:val="24"/>
                <w:szCs w:val="24"/>
              </w:rPr>
            </w:pPr>
            <w:r w:rsidRPr="006E05C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75</w:t>
            </w:r>
          </w:p>
        </w:tc>
      </w:tr>
    </w:tbl>
    <w:p w:rsidR="0034177A" w:rsidRDefault="0034177A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70"/>
        <w:gridCol w:w="171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BF6E8C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BF6E8C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7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1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Salsa20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867</w:t>
            </w:r>
          </w:p>
        </w:tc>
        <w:tc>
          <w:tcPr>
            <w:tcW w:w="1710" w:type="dxa"/>
          </w:tcPr>
          <w:p w:rsidR="002305FD" w:rsidRPr="00FA0159" w:rsidRDefault="002305FD" w:rsidP="00B8004E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 Hash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</w:tcPr>
          <w:p w:rsidR="002305FD" w:rsidRPr="00C053DC" w:rsidRDefault="002305FD" w:rsidP="00BF6E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1751</w:t>
            </w:r>
          </w:p>
        </w:tc>
        <w:tc>
          <w:tcPr>
            <w:tcW w:w="1710" w:type="dxa"/>
          </w:tcPr>
          <w:p w:rsidR="002305FD" w:rsidRPr="006E05CB" w:rsidRDefault="002305FD" w:rsidP="008B344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584</w:t>
            </w:r>
          </w:p>
        </w:tc>
      </w:tr>
    </w:tbl>
    <w:p w:rsidR="00F165DD" w:rsidRDefault="00F165DD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57"/>
        <w:gridCol w:w="172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F14086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57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20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ChaCha20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DB5265" w:rsidP="00DB5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737" w:type="dxa"/>
            <w:gridSpan w:val="2"/>
          </w:tcPr>
          <w:p w:rsidR="002305FD" w:rsidRPr="00FA0159" w:rsidRDefault="00DB5265" w:rsidP="00B51C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720" w:type="dxa"/>
          </w:tcPr>
          <w:p w:rsidR="002305FD" w:rsidRPr="00FA0159" w:rsidRDefault="00DB5265" w:rsidP="002809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gridSpan w:val="2"/>
          </w:tcPr>
          <w:p w:rsidR="002305FD" w:rsidRPr="00C053DC" w:rsidRDefault="002305FD" w:rsidP="00541D0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41D0A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720" w:type="dxa"/>
          </w:tcPr>
          <w:p w:rsidR="002305FD" w:rsidRPr="006E05CB" w:rsidRDefault="00B1499B" w:rsidP="003F14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575</w:t>
            </w:r>
          </w:p>
        </w:tc>
      </w:tr>
    </w:tbl>
    <w:p w:rsidR="003D191B" w:rsidRDefault="003D191B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 xml:space="preserve">Homepage of Peter </w:t>
      </w:r>
      <w:proofErr w:type="spellStart"/>
      <w:r>
        <w:t>Ferrie</w:t>
      </w:r>
      <w:proofErr w:type="spellEnd"/>
    </w:p>
    <w:p w:rsidR="005519D9" w:rsidRDefault="003A089F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3A089F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proofErr w:type="spellStart"/>
      <w:r w:rsidRPr="008524CA">
        <w:t>eSTREAM</w:t>
      </w:r>
      <w:proofErr w:type="spellEnd"/>
      <w:r w:rsidRPr="008524CA">
        <w:t>: the ECRYPT Stream Cipher Project</w:t>
      </w:r>
    </w:p>
    <w:p w:rsidR="008524CA" w:rsidRDefault="003A089F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3A089F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3A089F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7927"/>
    <w:rsid w:val="00072AC0"/>
    <w:rsid w:val="00075994"/>
    <w:rsid w:val="00075CC6"/>
    <w:rsid w:val="000773D9"/>
    <w:rsid w:val="000774B5"/>
    <w:rsid w:val="00080287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4A02"/>
    <w:rsid w:val="002A5D72"/>
    <w:rsid w:val="002B54E9"/>
    <w:rsid w:val="002C4914"/>
    <w:rsid w:val="002C6A5B"/>
    <w:rsid w:val="002E0EF4"/>
    <w:rsid w:val="002E4CBB"/>
    <w:rsid w:val="002F6134"/>
    <w:rsid w:val="003037F6"/>
    <w:rsid w:val="0030772F"/>
    <w:rsid w:val="00312064"/>
    <w:rsid w:val="00320310"/>
    <w:rsid w:val="00321627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089F"/>
    <w:rsid w:val="003A6243"/>
    <w:rsid w:val="003A6B3C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51968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D92"/>
    <w:rsid w:val="00503AA1"/>
    <w:rsid w:val="0051099A"/>
    <w:rsid w:val="0051650A"/>
    <w:rsid w:val="00527BE3"/>
    <w:rsid w:val="00541D0A"/>
    <w:rsid w:val="00543615"/>
    <w:rsid w:val="00543AF2"/>
    <w:rsid w:val="005519D9"/>
    <w:rsid w:val="00553C42"/>
    <w:rsid w:val="005555AB"/>
    <w:rsid w:val="00556B85"/>
    <w:rsid w:val="005652AD"/>
    <w:rsid w:val="0058031E"/>
    <w:rsid w:val="00585B33"/>
    <w:rsid w:val="00593ABB"/>
    <w:rsid w:val="005A7359"/>
    <w:rsid w:val="005B3C16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7605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13F1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1363"/>
    <w:rsid w:val="00A437DA"/>
    <w:rsid w:val="00A45BA2"/>
    <w:rsid w:val="00A47E19"/>
    <w:rsid w:val="00A52EC7"/>
    <w:rsid w:val="00A5458B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D0205F"/>
    <w:rsid w:val="00D227D6"/>
    <w:rsid w:val="00D376B3"/>
    <w:rsid w:val="00D52B4E"/>
    <w:rsid w:val="00D54834"/>
    <w:rsid w:val="00D62FF1"/>
    <w:rsid w:val="00D64330"/>
    <w:rsid w:val="00D71637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64659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F6A0D-5449-492C-8E8D-25F0950A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217</cp:revision>
  <cp:lastPrinted>2017-01-05T17:36:00Z</cp:lastPrinted>
  <dcterms:created xsi:type="dcterms:W3CDTF">2016-12-07T20:07:00Z</dcterms:created>
  <dcterms:modified xsi:type="dcterms:W3CDTF">2017-02-16T06:01:00Z</dcterms:modified>
</cp:coreProperties>
</file>