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风电场布局优化</w:t>
      </w:r>
    </w:p>
    <w:p>
      <w:pPr>
        <w:pStyle w:val="Title"/>
      </w:pPr>
      <w:r>
        <w:t>课题成员工作说明</w:t>
      </w:r>
    </w:p>
    <w:p>
      <w:r>
        <w:t>考虑位置禁布约束的大规模多目标风电场布局优化</w:t>
      </w:r>
    </w:p>
    <w:p>
      <w:r>
        <w:t>2026年10月27日</w:t>
      </w:r>
    </w:p>
    <w:p>
      <w:pPr>
        <w:pStyle w:val="Heading2"/>
      </w:pPr>
      <w:r>
        <w:t>这项课题完成了什么</w:t>
      </w:r>
    </w:p>
    <w:p>
      <w:r>
        <w:t>课题解决的是固定场址和装机容量下的风机选址问题：从800或1600个候选位置中选出400个机位，满足禁布区域、坡度和机间距要求，同时考虑年发电量、度电成本和有效开发面积。最终成果包括统一数学模型、三种基线及对应改进算法、180次正式对比运行，以及可以复核的布局和统计结果。</w:t>
      </w:r>
    </w:p>
    <w:p>
      <w:r>
        <w:t>课堂汇报由钟磊统一完成。本说明按课题分工解释各模块已经完成的工作，帮助每位成员了解自己的工作范围、采用这些方法的原因、解决的具体问题，以及最后取得的结果。</w:t>
      </w:r>
    </w:p>
    <w:p>
      <w:pPr>
        <w:pStyle w:val="Heading2"/>
      </w:pPr>
      <w:r>
        <w:t>各成员对应的研究模块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7370"/>
        <w:gridCol w:w="1191"/>
      </w:tblGrid>
      <w:tr>
        <w:trPr>
          <w:cantSplit/>
          <w:tblHeader/>
        </w:trPr>
        <w:tc>
          <w:tcPr>
            <w:tcW w:type="dxa" w:w="1247"/>
            <w:vAlign w:val="center"/>
            <w:tcMar>
              <w:top w:w="70" w:type="dxa"/>
              <w:bottom w:w="70" w:type="dxa"/>
              <w:left w:w="90" w:type="dxa"/>
              <w:right w:w="90" w:type="dxa"/>
            </w:tcMar>
            <w:shd w:fill="DCE6F1"/>
          </w:tcPr>
          <w:p>
            <w:pPr>
              <w:spacing w:after="0" w:line="276" w:lineRule="auto"/>
              <w:jc w:val="center"/>
            </w:pPr>
            <w:r>
              <w:rPr>
                <w:b/>
                <w:sz w:val="20"/>
              </w:rPr>
              <w:t>成员</w:t>
            </w:r>
          </w:p>
        </w:tc>
        <w:tc>
          <w:tcPr>
            <w:tcW w:type="dxa" w:w="7370"/>
            <w:vAlign w:val="center"/>
            <w:tcMar>
              <w:top w:w="70" w:type="dxa"/>
              <w:bottom w:w="70" w:type="dxa"/>
              <w:left w:w="90" w:type="dxa"/>
              <w:right w:w="90" w:type="dxa"/>
            </w:tcMar>
            <w:shd w:fill="DCE6F1"/>
          </w:tcPr>
          <w:p>
            <w:pPr>
              <w:spacing w:after="0" w:line="276" w:lineRule="auto"/>
              <w:jc w:val="center"/>
            </w:pPr>
            <w:r>
              <w:rPr>
                <w:b/>
                <w:sz w:val="20"/>
              </w:rPr>
              <w:t>分工对应的工作</w:t>
            </w:r>
          </w:p>
        </w:tc>
        <w:tc>
          <w:tcPr>
            <w:tcW w:type="dxa" w:w="1191"/>
            <w:vAlign w:val="center"/>
            <w:tcMar>
              <w:top w:w="70" w:type="dxa"/>
              <w:bottom w:w="70" w:type="dxa"/>
              <w:left w:w="90" w:type="dxa"/>
              <w:right w:w="90" w:type="dxa"/>
            </w:tcMar>
            <w:shd w:fill="DCE6F1"/>
          </w:tcPr>
          <w:p>
            <w:pPr>
              <w:spacing w:after="0" w:line="276" w:lineRule="auto"/>
              <w:jc w:val="center"/>
            </w:pPr>
            <w:r>
              <w:rPr>
                <w:b/>
                <w:sz w:val="20"/>
              </w:rPr>
              <w:t>阅读页</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钟磊</w:t>
            </w:r>
          </w:p>
        </w:tc>
        <w:tc>
          <w:tcPr>
            <w:tcW w:type="dxa" w:w="7370"/>
            <w:vAlign w:val="center"/>
            <w:tcMar>
              <w:top w:w="70" w:type="dxa"/>
              <w:bottom w:w="70" w:type="dxa"/>
              <w:left w:w="90" w:type="dxa"/>
              <w:right w:w="90" w:type="dxa"/>
            </w:tcMar>
          </w:tcPr>
          <w:p>
            <w:pPr>
              <w:spacing w:after="0" w:line="276" w:lineRule="auto"/>
              <w:jc w:val="left"/>
            </w:pPr>
            <w:r>
              <w:rPr>
                <w:b w:val="0"/>
                <w:sz w:val="20"/>
              </w:rPr>
              <w:t>确定研究路线 组织模型算法和实验形成完整成果</w:t>
            </w:r>
          </w:p>
        </w:tc>
        <w:tc>
          <w:tcPr>
            <w:tcW w:type="dxa" w:w="1191"/>
            <w:vAlign w:val="center"/>
            <w:tcMar>
              <w:top w:w="70" w:type="dxa"/>
              <w:bottom w:w="70" w:type="dxa"/>
              <w:left w:w="90" w:type="dxa"/>
              <w:right w:w="90" w:type="dxa"/>
            </w:tcMar>
          </w:tcPr>
          <w:p>
            <w:pPr>
              <w:spacing w:after="0" w:line="276" w:lineRule="auto"/>
              <w:jc w:val="center"/>
            </w:pPr>
            <w:r>
              <w:rPr>
                <w:b w:val="0"/>
                <w:sz w:val="20"/>
              </w:rPr>
              <w:t>3</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吕明杰</w:t>
            </w:r>
          </w:p>
        </w:tc>
        <w:tc>
          <w:tcPr>
            <w:tcW w:type="dxa" w:w="7370"/>
            <w:vAlign w:val="center"/>
            <w:tcMar>
              <w:top w:w="70" w:type="dxa"/>
              <w:bottom w:w="70" w:type="dxa"/>
              <w:left w:w="90" w:type="dxa"/>
              <w:right w:w="90" w:type="dxa"/>
            </w:tcMar>
          </w:tcPr>
          <w:p>
            <w:pPr>
              <w:spacing w:after="0" w:line="276" w:lineRule="auto"/>
              <w:jc w:val="left"/>
            </w:pPr>
            <w:r>
              <w:rPr>
                <w:b w:val="0"/>
                <w:sz w:val="20"/>
              </w:rPr>
              <w:t>整理场景 生成候选点 建立位置和间距约束</w:t>
            </w:r>
          </w:p>
        </w:tc>
        <w:tc>
          <w:tcPr>
            <w:tcW w:type="dxa" w:w="1191"/>
            <w:vAlign w:val="center"/>
            <w:tcMar>
              <w:top w:w="70" w:type="dxa"/>
              <w:bottom w:w="70" w:type="dxa"/>
              <w:left w:w="90" w:type="dxa"/>
              <w:right w:w="90" w:type="dxa"/>
            </w:tcMar>
          </w:tcPr>
          <w:p>
            <w:pPr>
              <w:spacing w:after="0" w:line="276" w:lineRule="auto"/>
              <w:jc w:val="center"/>
            </w:pPr>
            <w:r>
              <w:rPr>
                <w:b w:val="0"/>
                <w:sz w:val="20"/>
              </w:rPr>
              <w:t>4</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杨霁铭</w:t>
            </w:r>
          </w:p>
        </w:tc>
        <w:tc>
          <w:tcPr>
            <w:tcW w:type="dxa" w:w="7370"/>
            <w:vAlign w:val="center"/>
            <w:tcMar>
              <w:top w:w="70" w:type="dxa"/>
              <w:bottom w:w="70" w:type="dxa"/>
              <w:left w:w="90" w:type="dxa"/>
              <w:right w:w="90" w:type="dxa"/>
            </w:tcMar>
          </w:tcPr>
          <w:p>
            <w:pPr>
              <w:spacing w:after="0" w:line="276" w:lineRule="auto"/>
              <w:jc w:val="left"/>
            </w:pPr>
            <w:r>
              <w:rPr>
                <w:b w:val="0"/>
                <w:sz w:val="20"/>
              </w:rPr>
              <w:t>计算尾流与发电量 建立成本和有效面积模型</w:t>
            </w:r>
          </w:p>
        </w:tc>
        <w:tc>
          <w:tcPr>
            <w:tcW w:type="dxa" w:w="1191"/>
            <w:vAlign w:val="center"/>
            <w:tcMar>
              <w:top w:w="70" w:type="dxa"/>
              <w:bottom w:w="70" w:type="dxa"/>
              <w:left w:w="90" w:type="dxa"/>
              <w:right w:w="90" w:type="dxa"/>
            </w:tcMar>
          </w:tcPr>
          <w:p>
            <w:pPr>
              <w:spacing w:after="0" w:line="276" w:lineRule="auto"/>
              <w:jc w:val="center"/>
            </w:pPr>
            <w:r>
              <w:rPr>
                <w:b w:val="0"/>
                <w:sz w:val="20"/>
              </w:rPr>
              <w:t>5</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金凡竣</w:t>
            </w:r>
          </w:p>
        </w:tc>
        <w:tc>
          <w:tcPr>
            <w:tcW w:type="dxa" w:w="7370"/>
            <w:vAlign w:val="center"/>
            <w:tcMar>
              <w:top w:w="70" w:type="dxa"/>
              <w:bottom w:w="70" w:type="dxa"/>
              <w:left w:w="90" w:type="dxa"/>
              <w:right w:w="90" w:type="dxa"/>
            </w:tcMar>
          </w:tcPr>
          <w:p>
            <w:pPr>
              <w:spacing w:after="0" w:line="276" w:lineRule="auto"/>
              <w:jc w:val="left"/>
            </w:pPr>
            <w:r>
              <w:rPr>
                <w:b w:val="0"/>
                <w:sz w:val="20"/>
              </w:rPr>
              <w:t>改进CCGDE3的可行协作和局部评价效率</w:t>
            </w:r>
          </w:p>
        </w:tc>
        <w:tc>
          <w:tcPr>
            <w:tcW w:type="dxa" w:w="1191"/>
            <w:vAlign w:val="center"/>
            <w:tcMar>
              <w:top w:w="70" w:type="dxa"/>
              <w:bottom w:w="70" w:type="dxa"/>
              <w:left w:w="90" w:type="dxa"/>
              <w:right w:w="90" w:type="dxa"/>
            </w:tcMar>
          </w:tcPr>
          <w:p>
            <w:pPr>
              <w:spacing w:after="0" w:line="276" w:lineRule="auto"/>
              <w:jc w:val="center"/>
            </w:pPr>
            <w:r>
              <w:rPr>
                <w:b w:val="0"/>
                <w:sz w:val="20"/>
              </w:rPr>
              <w:t>6</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李传震</w:t>
            </w:r>
          </w:p>
        </w:tc>
        <w:tc>
          <w:tcPr>
            <w:tcW w:type="dxa" w:w="7370"/>
            <w:vAlign w:val="center"/>
            <w:tcMar>
              <w:top w:w="70" w:type="dxa"/>
              <w:bottom w:w="70" w:type="dxa"/>
              <w:left w:w="90" w:type="dxa"/>
              <w:right w:w="90" w:type="dxa"/>
            </w:tcMar>
          </w:tcPr>
          <w:p>
            <w:pPr>
              <w:spacing w:after="0" w:line="276" w:lineRule="auto"/>
              <w:jc w:val="left"/>
            </w:pPr>
            <w:r>
              <w:rPr>
                <w:b w:val="0"/>
                <w:sz w:val="20"/>
              </w:rPr>
              <w:t>改进LMOCSO的状态回写和有效种群保留</w:t>
            </w:r>
          </w:p>
        </w:tc>
        <w:tc>
          <w:tcPr>
            <w:tcW w:type="dxa" w:w="1191"/>
            <w:vAlign w:val="center"/>
            <w:tcMar>
              <w:top w:w="70" w:type="dxa"/>
              <w:bottom w:w="70" w:type="dxa"/>
              <w:left w:w="90" w:type="dxa"/>
              <w:right w:w="90" w:type="dxa"/>
            </w:tcMar>
          </w:tcPr>
          <w:p>
            <w:pPr>
              <w:spacing w:after="0" w:line="276" w:lineRule="auto"/>
              <w:jc w:val="center"/>
            </w:pPr>
            <w:r>
              <w:rPr>
                <w:b w:val="0"/>
                <w:sz w:val="20"/>
              </w:rPr>
              <w:t>7</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文子晗</w:t>
            </w:r>
          </w:p>
        </w:tc>
        <w:tc>
          <w:tcPr>
            <w:tcW w:type="dxa" w:w="7370"/>
            <w:vAlign w:val="center"/>
            <w:tcMar>
              <w:top w:w="70" w:type="dxa"/>
              <w:bottom w:w="70" w:type="dxa"/>
              <w:left w:w="90" w:type="dxa"/>
              <w:right w:w="90" w:type="dxa"/>
            </w:tcMar>
          </w:tcPr>
          <w:p>
            <w:pPr>
              <w:spacing w:after="0" w:line="276" w:lineRule="auto"/>
              <w:jc w:val="left"/>
            </w:pPr>
            <w:r>
              <w:rPr>
                <w:b w:val="0"/>
                <w:sz w:val="20"/>
              </w:rPr>
              <w:t>改进DGEA的方向保持和物理局部细化</w:t>
            </w:r>
          </w:p>
        </w:tc>
        <w:tc>
          <w:tcPr>
            <w:tcW w:type="dxa" w:w="1191"/>
            <w:vAlign w:val="center"/>
            <w:tcMar>
              <w:top w:w="70" w:type="dxa"/>
              <w:bottom w:w="70" w:type="dxa"/>
              <w:left w:w="90" w:type="dxa"/>
              <w:right w:w="90" w:type="dxa"/>
            </w:tcMar>
          </w:tcPr>
          <w:p>
            <w:pPr>
              <w:spacing w:after="0" w:line="276" w:lineRule="auto"/>
              <w:jc w:val="center"/>
            </w:pPr>
            <w:r>
              <w:rPr>
                <w:b w:val="0"/>
                <w:sz w:val="20"/>
              </w:rPr>
              <w:t>8</w:t>
            </w:r>
          </w:p>
        </w:tc>
      </w:tr>
      <w:tr>
        <w:trPr>
          <w:cantSplit/>
        </w:trPr>
        <w:tc>
          <w:tcPr>
            <w:tcW w:type="dxa" w:w="1247"/>
            <w:vAlign w:val="center"/>
            <w:tcMar>
              <w:top w:w="70" w:type="dxa"/>
              <w:bottom w:w="70" w:type="dxa"/>
              <w:left w:w="90" w:type="dxa"/>
              <w:right w:w="90" w:type="dxa"/>
            </w:tcMar>
          </w:tcPr>
          <w:p>
            <w:pPr>
              <w:spacing w:after="0" w:line="276" w:lineRule="auto"/>
              <w:jc w:val="center"/>
            </w:pPr>
            <w:r>
              <w:rPr>
                <w:b w:val="0"/>
                <w:sz w:val="20"/>
              </w:rPr>
              <w:t>唐林枫</w:t>
            </w:r>
          </w:p>
        </w:tc>
        <w:tc>
          <w:tcPr>
            <w:tcW w:type="dxa" w:w="7370"/>
            <w:vAlign w:val="center"/>
            <w:tcMar>
              <w:top w:w="70" w:type="dxa"/>
              <w:bottom w:w="70" w:type="dxa"/>
              <w:left w:w="90" w:type="dxa"/>
              <w:right w:w="90" w:type="dxa"/>
            </w:tcMar>
          </w:tcPr>
          <w:p>
            <w:pPr>
              <w:spacing w:after="0" w:line="276" w:lineRule="auto"/>
              <w:jc w:val="left"/>
            </w:pPr>
            <w:r>
              <w:rPr>
                <w:b w:val="0"/>
                <w:sz w:val="20"/>
              </w:rPr>
              <w:t>组织配对实验 完成指标统计和独立核查</w:t>
            </w:r>
          </w:p>
        </w:tc>
        <w:tc>
          <w:tcPr>
            <w:tcW w:type="dxa" w:w="1191"/>
            <w:vAlign w:val="center"/>
            <w:tcMar>
              <w:top w:w="70" w:type="dxa"/>
              <w:bottom w:w="70" w:type="dxa"/>
              <w:left w:w="90" w:type="dxa"/>
              <w:right w:w="90" w:type="dxa"/>
            </w:tcMar>
          </w:tcPr>
          <w:p>
            <w:pPr>
              <w:spacing w:after="0" w:line="276" w:lineRule="auto"/>
              <w:jc w:val="center"/>
            </w:pPr>
            <w:r>
              <w:rPr>
                <w:b w:val="0"/>
                <w:sz w:val="20"/>
              </w:rPr>
              <w:t>9</w:t>
            </w:r>
          </w:p>
        </w:tc>
      </w:tr>
    </w:tbl>
    <w:p>
      <w:pPr>
        <w:spacing w:after="20" w:before="0" w:line="240" w:lineRule="auto"/>
      </w:pPr>
      <w:r>
        <w:rPr>
          <w:sz w:val="2"/>
        </w:rPr>
      </w:r>
    </w:p>
    <w:p>
      <w:pPr>
        <w:pStyle w:val="Heading2"/>
      </w:pPr>
      <w:r>
        <w:t>阅读后应理解的四件事</w:t>
      </w:r>
    </w:p>
    <w:p>
      <w:r>
        <w:t>自己的模块接收什么输入，完成了哪些具体操作，输出什么成果；原有做法遇到了什么问题；当前方法为什么有助于解决这个问题；结果中的哪些数字能够说明作用。第2页解释全组共用的概念，第10页说明各模块的衔接和成果位置。</w:t>
      </w:r>
    </w:p>
    <w:p>
      <w:r>
        <w:t>研究的主要结论是：LMOCSO和DGEA改进版扩大了三目标解集的取舍范围，CCGDE3改进版降低了计算时间。各模块的工作共同支撑这些结论。</w:t>
      </w:r>
    </w:p>
    <w:p>
      <w:pPr>
        <w:pStyle w:val="Heading1"/>
        <w:pageBreakBefore/>
      </w:pPr>
      <w:r>
        <w:t>先理解整个项目怎样运行</w:t>
      </w:r>
    </w:p>
    <w:p>
      <w:pPr>
        <w:pStyle w:val="Heading2"/>
      </w:pPr>
      <w:r>
        <w:t>数据 模型 算法与实验各做一件事</w:t>
      </w:r>
    </w:p>
    <w:p>
      <w:r>
        <w:t>数据与约束限定可用机位；模型计算布局的三个目标；算法据此产生新候选；实验在共同条件下比较改进效果。CCGDE3、LMOCSO、DGEA简称CC、LM、DG，加号表示对应改进版。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6123"/>
        <w:gridCol w:w="1757"/>
      </w:tblGrid>
      <w:tr>
        <w:trPr>
          <w:cantSplit/>
          <w:tblHeader/>
        </w:trPr>
        <w:tc>
          <w:tcPr>
            <w:tcW w:type="dxa" w:w="1928"/>
            <w:vAlign w:val="center"/>
            <w:tcMar>
              <w:top w:w="70" w:type="dxa"/>
              <w:bottom w:w="70" w:type="dxa"/>
              <w:left w:w="90" w:type="dxa"/>
              <w:right w:w="90" w:type="dxa"/>
            </w:tcMar>
            <w:shd w:fill="DCE6F1"/>
          </w:tcPr>
          <w:p>
            <w:pPr>
              <w:spacing w:after="0" w:line="276" w:lineRule="auto"/>
              <w:jc w:val="center"/>
            </w:pPr>
            <w:r>
              <w:rPr>
                <w:b/>
                <w:sz w:val="20"/>
              </w:rPr>
              <w:t>目标</w:t>
            </w:r>
          </w:p>
        </w:tc>
        <w:tc>
          <w:tcPr>
            <w:tcW w:type="dxa" w:w="6123"/>
            <w:vAlign w:val="center"/>
            <w:tcMar>
              <w:top w:w="70" w:type="dxa"/>
              <w:bottom w:w="70" w:type="dxa"/>
              <w:left w:w="90" w:type="dxa"/>
              <w:right w:w="90" w:type="dxa"/>
            </w:tcMar>
            <w:shd w:fill="DCE6F1"/>
          </w:tcPr>
          <w:p>
            <w:pPr>
              <w:spacing w:after="0" w:line="276" w:lineRule="auto"/>
              <w:jc w:val="center"/>
            </w:pPr>
            <w:r>
              <w:rPr>
                <w:b/>
                <w:sz w:val="20"/>
              </w:rPr>
              <w:t>计算的含义</w:t>
            </w:r>
          </w:p>
        </w:tc>
        <w:tc>
          <w:tcPr>
            <w:tcW w:type="dxa" w:w="1757"/>
            <w:vAlign w:val="center"/>
            <w:tcMar>
              <w:top w:w="70" w:type="dxa"/>
              <w:bottom w:w="70" w:type="dxa"/>
              <w:left w:w="90" w:type="dxa"/>
              <w:right w:w="90" w:type="dxa"/>
            </w:tcMar>
            <w:shd w:fill="DCE6F1"/>
          </w:tcPr>
          <w:p>
            <w:pPr>
              <w:spacing w:after="0" w:line="276" w:lineRule="auto"/>
              <w:jc w:val="center"/>
            </w:pPr>
            <w:r>
              <w:rPr>
                <w:b/>
                <w:sz w:val="20"/>
              </w:rPr>
              <w:t>希望达到的方向</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AEP 年发电量</w:t>
            </w:r>
          </w:p>
        </w:tc>
        <w:tc>
          <w:tcPr>
            <w:tcW w:type="dxa" w:w="6123"/>
            <w:vAlign w:val="center"/>
            <w:tcMar>
              <w:top w:w="70" w:type="dxa"/>
              <w:bottom w:w="70" w:type="dxa"/>
              <w:left w:w="90" w:type="dxa"/>
              <w:right w:w="90" w:type="dxa"/>
            </w:tcMar>
          </w:tcPr>
          <w:p>
            <w:pPr>
              <w:spacing w:after="0" w:line="276" w:lineRule="auto"/>
              <w:jc w:val="left"/>
            </w:pPr>
            <w:r>
              <w:rPr>
                <w:b w:val="0"/>
                <w:sz w:val="20"/>
              </w:rPr>
              <w:t>结合风况 尾流与功率曲线估计全年产能 单位GWh/年</w:t>
            </w:r>
          </w:p>
        </w:tc>
        <w:tc>
          <w:tcPr>
            <w:tcW w:type="dxa" w:w="1757"/>
            <w:vAlign w:val="center"/>
            <w:tcMar>
              <w:top w:w="70" w:type="dxa"/>
              <w:bottom w:w="70" w:type="dxa"/>
              <w:left w:w="90" w:type="dxa"/>
              <w:right w:w="90" w:type="dxa"/>
            </w:tcMar>
          </w:tcPr>
          <w:p>
            <w:pPr>
              <w:spacing w:after="0" w:line="276" w:lineRule="auto"/>
              <w:jc w:val="center"/>
            </w:pPr>
            <w:r>
              <w:rPr>
                <w:b w:val="0"/>
                <w:sz w:val="20"/>
              </w:rPr>
              <w:t>越大越好</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LCOE 度电成本</w:t>
            </w:r>
          </w:p>
        </w:tc>
        <w:tc>
          <w:tcPr>
            <w:tcW w:type="dxa" w:w="6123"/>
            <w:vAlign w:val="center"/>
            <w:tcMar>
              <w:top w:w="70" w:type="dxa"/>
              <w:bottom w:w="70" w:type="dxa"/>
              <w:left w:w="90" w:type="dxa"/>
              <w:right w:w="90" w:type="dxa"/>
            </w:tcMar>
          </w:tcPr>
          <w:p>
            <w:pPr>
              <w:spacing w:after="0" w:line="276" w:lineRule="auto"/>
              <w:jc w:val="left"/>
            </w:pPr>
            <w:r>
              <w:rPr>
                <w:b w:val="0"/>
                <w:sz w:val="20"/>
              </w:rPr>
              <w:t>年化投资与年度运维费分摊到发电量 单位美元/MWh</w:t>
            </w:r>
          </w:p>
        </w:tc>
        <w:tc>
          <w:tcPr>
            <w:tcW w:type="dxa" w:w="1757"/>
            <w:vAlign w:val="center"/>
            <w:tcMar>
              <w:top w:w="70" w:type="dxa"/>
              <w:bottom w:w="70" w:type="dxa"/>
              <w:left w:w="90" w:type="dxa"/>
              <w:right w:w="90" w:type="dxa"/>
            </w:tcMar>
          </w:tcPr>
          <w:p>
            <w:pPr>
              <w:spacing w:after="0" w:line="276" w:lineRule="auto"/>
              <w:jc w:val="center"/>
            </w:pPr>
            <w:r>
              <w:rPr>
                <w:b w:val="0"/>
                <w:sz w:val="20"/>
              </w:rPr>
              <w:t>越小越好</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有效开发面积</w:t>
            </w:r>
          </w:p>
        </w:tc>
        <w:tc>
          <w:tcPr>
            <w:tcW w:type="dxa" w:w="6123"/>
            <w:vAlign w:val="center"/>
            <w:tcMar>
              <w:top w:w="70" w:type="dxa"/>
              <w:bottom w:w="70" w:type="dxa"/>
              <w:left w:w="90" w:type="dxa"/>
              <w:right w:w="90" w:type="dxa"/>
            </w:tcMar>
          </w:tcPr>
          <w:p>
            <w:pPr>
              <w:spacing w:after="0" w:line="276" w:lineRule="auto"/>
              <w:jc w:val="left"/>
            </w:pPr>
            <w:r>
              <w:rPr>
                <w:b w:val="0"/>
                <w:sz w:val="20"/>
              </w:rPr>
              <w:t>机位凸包与允许区域的交集 单位km²</w:t>
            </w:r>
          </w:p>
        </w:tc>
        <w:tc>
          <w:tcPr>
            <w:tcW w:type="dxa" w:w="1757"/>
            <w:vAlign w:val="center"/>
            <w:tcMar>
              <w:top w:w="70" w:type="dxa"/>
              <w:bottom w:w="70" w:type="dxa"/>
              <w:left w:w="90" w:type="dxa"/>
              <w:right w:w="90" w:type="dxa"/>
            </w:tcMar>
          </w:tcPr>
          <w:p>
            <w:pPr>
              <w:spacing w:after="0" w:line="276" w:lineRule="auto"/>
              <w:jc w:val="center"/>
            </w:pPr>
            <w:r>
              <w:rPr>
                <w:b w:val="0"/>
                <w:sz w:val="20"/>
              </w:rPr>
              <w:t>越小越好</w:t>
            </w:r>
          </w:p>
        </w:tc>
      </w:tr>
    </w:tbl>
    <w:p>
      <w:pPr>
        <w:spacing w:after="20" w:before="0" w:line="240" w:lineRule="auto"/>
      </w:pPr>
      <w:r>
        <w:rPr>
          <w:sz w:val="2"/>
        </w:rPr>
      </w:r>
    </w:p>
    <w:p>
      <w:r>
        <w:t>风机拉开通常能减轻尾流，却可能增加连接长度和用地；布局收紧可能节约空间，又可能损失发电量。因此，输出是一组各有取舍的Pareto布局：没有另一个已找到的方案能在所有目标上都不差、且至少一项更好。</w:t>
      </w:r>
    </w:p>
    <w:p>
      <w:pPr>
        <w:pStyle w:val="Heading2"/>
      </w:pPr>
      <w:r>
        <w:t>为什么需要随机键 修复与回写</w:t>
      </w:r>
    </w:p>
    <w:p>
      <w:r>
        <w:t>三种算法原本操作连续数值。本项目给每个候选点配一个0到1之间的随机键，优先选择键值较小的位置，把连续搜索转成选点。实际机位若发生间距冲突，就修复为合法集合；再把实际选择写回随机键，让搜索状态与刚评价的布局一致。</w:t>
      </w:r>
    </w:p>
    <w:p>
      <w:r>
        <w:t>不同随机键可能选出相同机位。例如演示中从4个点选2个，键值0.1、0.8、0.2、0.9与0.2、0.7、0.3、0.8都会选出点1和点3。这是同一个物理布局，不能仅凭两串数不同就把它当成新方案。</w:t>
      </w:r>
    </w:p>
    <w:p>
      <w:r>
        <w:t>种群是一批同时参与搜索的候选布局；父代指已有布局，后代指由它更新产生的新候选。算法不断产生、评价和选择后代，逐步积累更好的布局。</w:t>
      </w:r>
    </w:p>
    <w:p>
      <w:pPr>
        <w:pStyle w:val="Heading2"/>
      </w:pPr>
      <w:r>
        <w:t>三个实验指标怎样理解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880"/>
      </w:tblGrid>
      <w:tr>
        <w:trPr>
          <w:cantSplit/>
          <w:tblHeader/>
        </w:trPr>
        <w:tc>
          <w:tcPr>
            <w:tcW w:type="dxa" w:w="1928"/>
            <w:vAlign w:val="center"/>
            <w:tcMar>
              <w:top w:w="70" w:type="dxa"/>
              <w:bottom w:w="70" w:type="dxa"/>
              <w:left w:w="90" w:type="dxa"/>
              <w:right w:w="90" w:type="dxa"/>
            </w:tcMar>
            <w:shd w:fill="DCE6F1"/>
          </w:tcPr>
          <w:p>
            <w:pPr>
              <w:spacing w:after="0" w:line="276" w:lineRule="auto"/>
              <w:jc w:val="center"/>
            </w:pPr>
            <w:r>
              <w:rPr>
                <w:b/>
                <w:sz w:val="20"/>
              </w:rPr>
              <w:t>指标</w:t>
            </w:r>
          </w:p>
        </w:tc>
        <w:tc>
          <w:tcPr>
            <w:tcW w:type="dxa" w:w="7880"/>
            <w:vAlign w:val="center"/>
            <w:tcMar>
              <w:top w:w="70" w:type="dxa"/>
              <w:bottom w:w="70" w:type="dxa"/>
              <w:left w:w="90" w:type="dxa"/>
              <w:right w:w="90" w:type="dxa"/>
            </w:tcMar>
            <w:shd w:fill="DCE6F1"/>
          </w:tcPr>
          <w:p>
            <w:pPr>
              <w:spacing w:after="0" w:line="276" w:lineRule="auto"/>
              <w:jc w:val="center"/>
            </w:pPr>
            <w:r>
              <w:rPr>
                <w:b/>
                <w:sz w:val="20"/>
              </w:rPr>
              <w:t>它能说明什么</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可行率</w:t>
            </w:r>
          </w:p>
        </w:tc>
        <w:tc>
          <w:tcPr>
            <w:tcW w:type="dxa" w:w="7880"/>
            <w:vAlign w:val="center"/>
            <w:tcMar>
              <w:top w:w="70" w:type="dxa"/>
              <w:bottom w:w="70" w:type="dxa"/>
              <w:left w:w="90" w:type="dxa"/>
              <w:right w:w="90" w:type="dxa"/>
            </w:tcMar>
          </w:tcPr>
          <w:p>
            <w:pPr>
              <w:spacing w:after="0" w:line="276" w:lineRule="auto"/>
              <w:jc w:val="left"/>
            </w:pPr>
            <w:r>
              <w:rPr>
                <w:b w:val="0"/>
                <w:sz w:val="20"/>
              </w:rPr>
              <w:t>输出布局满足全部硬约束的比例 本次全部为100%</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重复率</w:t>
            </w:r>
          </w:p>
        </w:tc>
        <w:tc>
          <w:tcPr>
            <w:tcW w:type="dxa" w:w="7880"/>
            <w:vAlign w:val="center"/>
            <w:tcMar>
              <w:top w:w="70" w:type="dxa"/>
              <w:bottom w:w="70" w:type="dxa"/>
              <w:left w:w="90" w:type="dxa"/>
              <w:right w:w="90" w:type="dxa"/>
            </w:tcMar>
          </w:tcPr>
          <w:p>
            <w:pPr>
              <w:spacing w:after="0" w:line="276" w:lineRule="auto"/>
              <w:jc w:val="left"/>
            </w:pPr>
            <w:r>
              <w:rPr>
                <w:b w:val="0"/>
                <w:sz w:val="20"/>
              </w:rPr>
              <w:t>评价请求中再次遇到已有机位集合的比例 缓存命中也计入请求</w:t>
            </w:r>
          </w:p>
        </w:tc>
      </w:tr>
      <w:tr>
        <w:trPr>
          <w:cantSplit/>
        </w:trPr>
        <w:tc>
          <w:tcPr>
            <w:tcW w:type="dxa" w:w="1928"/>
            <w:vAlign w:val="center"/>
            <w:tcMar>
              <w:top w:w="70" w:type="dxa"/>
              <w:bottom w:w="70" w:type="dxa"/>
              <w:left w:w="90" w:type="dxa"/>
              <w:right w:w="90" w:type="dxa"/>
            </w:tcMar>
          </w:tcPr>
          <w:p>
            <w:pPr>
              <w:spacing w:after="0" w:line="276" w:lineRule="auto"/>
              <w:jc w:val="center"/>
            </w:pPr>
            <w:r>
              <w:rPr>
                <w:b w:val="0"/>
                <w:sz w:val="20"/>
              </w:rPr>
              <w:t>HV 超体积</w:t>
            </w:r>
          </w:p>
        </w:tc>
        <w:tc>
          <w:tcPr>
            <w:tcW w:type="dxa" w:w="7880"/>
            <w:vAlign w:val="center"/>
            <w:tcMar>
              <w:top w:w="70" w:type="dxa"/>
              <w:bottom w:w="70" w:type="dxa"/>
              <w:left w:w="90" w:type="dxa"/>
              <w:right w:w="90" w:type="dxa"/>
            </w:tcMar>
          </w:tcPr>
          <w:p>
            <w:pPr>
              <w:spacing w:after="0" w:line="276" w:lineRule="auto"/>
              <w:jc w:val="left"/>
            </w:pPr>
            <w:r>
              <w:rPr>
                <w:b w:val="0"/>
                <w:sz w:val="20"/>
              </w:rPr>
              <w:t>同一算例下三目标解集的覆盖质量 越大通常表示解集更好</w:t>
            </w:r>
          </w:p>
        </w:tc>
      </w:tr>
    </w:tbl>
    <w:p>
      <w:pPr>
        <w:spacing w:after="20" w:before="0" w:line="240" w:lineRule="auto"/>
      </w:pPr>
      <w:r>
        <w:rPr>
          <w:sz w:val="2"/>
        </w:rPr>
      </w:r>
    </w:p>
    <w:p>
      <w:r>
        <w:t>各算法页的HV和CPU变化均为改进版均值相对同算例基线均值的变化。HV增幅反映解集质量，具体发电、成本和面积仍要看真实布局。时间比较同时看跑满10000次请求的总CPU和相同CPU预算内的HV。</w:t>
      </w:r>
    </w:p>
    <w:p>
      <w:pPr>
        <w:pStyle w:val="Heading1"/>
        <w:pageBreakBefore/>
      </w:pPr>
      <w:r>
        <w:t>钟磊 课题统筹与成果整合</w:t>
      </w:r>
    </w:p>
    <w:p>
      <w:pPr>
        <w:pStyle w:val="Heading2"/>
      </w:pPr>
      <w:r>
        <w:t>做了什么工作</w:t>
      </w:r>
    </w:p>
    <w:p>
      <w:r>
        <w:t>确定课题的三个研究目标：建立一致的三目标布局模型；改善可行布局的产生和解集覆盖；提高大规模问题的质量与时间效率。将工作组织为场景与约束、统一评价、三条算法改进、正式验证和报告整合，形成从具体问题到实验结论的完整研究路线。</w:t>
      </w:r>
    </w:p>
    <w:p>
      <w:r>
        <w:t>统一固定400台风机、候选域、模型参数、初始布局和计费规则；确定正式比较使用的冻结版本；将公式、算法流程、实验设计、结果和工程取舍整合到研究汇报书，并负责课堂汇报。</w:t>
      </w:r>
    </w:p>
    <w:p>
      <w:pPr>
        <w:pStyle w:val="Heading2"/>
      </w:pPr>
      <w:r>
        <w:t>这些工作要解决什么问题</w:t>
      </w:r>
    </w:p>
    <w:p>
      <w:r>
        <w:t>如果数据、模型和算法各自采用不同设置，即使某个结果更好，也难以判断原因。只列出算法名和性能表，也不能解释改进为什么适合风电场布局。统筹工作的核心是把研究问题、方法设计和验证证据对应起来，使所有模块围绕同一个问题工作。</w:t>
      </w:r>
    </w:p>
    <w:p>
      <w:pPr>
        <w:pStyle w:val="Heading2"/>
      </w:pPr>
      <w:r>
        <w:t>为什么采用这样的研究路线</w:t>
      </w:r>
    </w:p>
    <w:p>
      <w:r>
        <w:t>先把模型定下来，才能知道算法究竟在优化什么；先分析搜索在离散约束下哪里失效，才能设计有针对性的改进；最后冻结代码再换新随机种子验证，才能判断整套方案的效果。三条基线机制不同，分别考察分组协作、粒子状态和方向搜索的适配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200"/>
      </w:tblGrid>
      <w:tr>
        <w:trPr>
          <w:cantSplit/>
          <w:tblHeader/>
        </w:trPr>
        <w:tc>
          <w:tcPr>
            <w:tcW w:type="dxa" w:w="2608"/>
            <w:vAlign w:val="center"/>
            <w:tcMar>
              <w:top w:w="70" w:type="dxa"/>
              <w:bottom w:w="70" w:type="dxa"/>
              <w:left w:w="90" w:type="dxa"/>
              <w:right w:w="90" w:type="dxa"/>
            </w:tcMar>
            <w:shd w:fill="DCE6F1"/>
          </w:tcPr>
          <w:p>
            <w:pPr>
              <w:spacing w:after="0" w:line="276" w:lineRule="auto"/>
              <w:jc w:val="center"/>
            </w:pPr>
            <w:r>
              <w:rPr>
                <w:b/>
                <w:sz w:val="20"/>
              </w:rPr>
              <w:t>研究目标</w:t>
            </w:r>
          </w:p>
        </w:tc>
        <w:tc>
          <w:tcPr>
            <w:tcW w:type="dxa" w:w="7200"/>
            <w:vAlign w:val="center"/>
            <w:tcMar>
              <w:top w:w="70" w:type="dxa"/>
              <w:bottom w:w="70" w:type="dxa"/>
              <w:left w:w="90" w:type="dxa"/>
              <w:right w:w="90" w:type="dxa"/>
            </w:tcMar>
            <w:shd w:fill="DCE6F1"/>
          </w:tcPr>
          <w:p>
            <w:pPr>
              <w:spacing w:after="0" w:line="276" w:lineRule="auto"/>
              <w:jc w:val="center"/>
            </w:pPr>
            <w:r>
              <w:rPr>
                <w:b/>
                <w:sz w:val="20"/>
              </w:rPr>
              <w:t>对应的完成结果</w:t>
            </w:r>
          </w:p>
        </w:tc>
      </w:tr>
      <w:tr>
        <w:trPr>
          <w:cantSplit/>
        </w:trPr>
        <w:tc>
          <w:tcPr>
            <w:tcW w:type="dxa" w:w="2608"/>
            <w:vAlign w:val="center"/>
            <w:tcMar>
              <w:top w:w="70" w:type="dxa"/>
              <w:bottom w:w="70" w:type="dxa"/>
              <w:left w:w="90" w:type="dxa"/>
              <w:right w:w="90" w:type="dxa"/>
            </w:tcMar>
          </w:tcPr>
          <w:p>
            <w:pPr>
              <w:spacing w:after="0" w:line="276" w:lineRule="auto"/>
              <w:jc w:val="center"/>
            </w:pPr>
            <w:r>
              <w:rPr>
                <w:b w:val="0"/>
                <w:sz w:val="20"/>
              </w:rPr>
              <w:t>模型一致且布局合法</w:t>
            </w:r>
          </w:p>
        </w:tc>
        <w:tc>
          <w:tcPr>
            <w:tcW w:type="dxa" w:w="7200"/>
            <w:vAlign w:val="center"/>
            <w:tcMar>
              <w:top w:w="70" w:type="dxa"/>
              <w:bottom w:w="70" w:type="dxa"/>
              <w:left w:w="90" w:type="dxa"/>
              <w:right w:w="90" w:type="dxa"/>
            </w:tcMar>
          </w:tcPr>
          <w:p>
            <w:pPr>
              <w:spacing w:after="0" w:line="276" w:lineRule="auto"/>
              <w:jc w:val="left"/>
            </w:pPr>
            <w:r>
              <w:rPr>
                <w:b w:val="0"/>
                <w:sz w:val="20"/>
              </w:rPr>
              <w:t>统一评价器建立 180万条布局通过硬约束核查</w:t>
            </w:r>
          </w:p>
        </w:tc>
      </w:tr>
      <w:tr>
        <w:trPr>
          <w:cantSplit/>
        </w:trPr>
        <w:tc>
          <w:tcPr>
            <w:tcW w:type="dxa" w:w="2608"/>
            <w:vAlign w:val="center"/>
            <w:tcMar>
              <w:top w:w="70" w:type="dxa"/>
              <w:bottom w:w="70" w:type="dxa"/>
              <w:left w:w="90" w:type="dxa"/>
              <w:right w:w="90" w:type="dxa"/>
            </w:tcMar>
          </w:tcPr>
          <w:p>
            <w:pPr>
              <w:spacing w:after="0" w:line="276" w:lineRule="auto"/>
              <w:jc w:val="center"/>
            </w:pPr>
            <w:r>
              <w:rPr>
                <w:b w:val="0"/>
                <w:sz w:val="20"/>
              </w:rPr>
              <w:t>提高可行域内的搜索质量</w:t>
            </w:r>
          </w:p>
        </w:tc>
        <w:tc>
          <w:tcPr>
            <w:tcW w:type="dxa" w:w="7200"/>
            <w:vAlign w:val="center"/>
            <w:tcMar>
              <w:top w:w="70" w:type="dxa"/>
              <w:bottom w:w="70" w:type="dxa"/>
              <w:left w:w="90" w:type="dxa"/>
              <w:right w:w="90" w:type="dxa"/>
            </w:tcMar>
          </w:tcPr>
          <w:p>
            <w:pPr>
              <w:spacing w:after="0" w:line="276" w:lineRule="auto"/>
              <w:jc w:val="left"/>
            </w:pPr>
            <w:r>
              <w:rPr>
                <w:b w:val="0"/>
                <w:sz w:val="20"/>
              </w:rPr>
              <w:t>LM+和DG+稳定扩大解集覆盖 LM+明显减少重复</w:t>
            </w:r>
          </w:p>
        </w:tc>
      </w:tr>
      <w:tr>
        <w:trPr>
          <w:cantSplit/>
        </w:trPr>
        <w:tc>
          <w:tcPr>
            <w:tcW w:type="dxa" w:w="2608"/>
            <w:vAlign w:val="center"/>
            <w:tcMar>
              <w:top w:w="70" w:type="dxa"/>
              <w:bottom w:w="70" w:type="dxa"/>
              <w:left w:w="90" w:type="dxa"/>
              <w:right w:w="90" w:type="dxa"/>
            </w:tcMar>
          </w:tcPr>
          <w:p>
            <w:pPr>
              <w:spacing w:after="0" w:line="276" w:lineRule="auto"/>
              <w:jc w:val="center"/>
            </w:pPr>
            <w:r>
              <w:rPr>
                <w:b w:val="0"/>
                <w:sz w:val="20"/>
              </w:rPr>
              <w:t>提高大规模求解效率</w:t>
            </w:r>
          </w:p>
        </w:tc>
        <w:tc>
          <w:tcPr>
            <w:tcW w:type="dxa" w:w="7200"/>
            <w:vAlign w:val="center"/>
            <w:tcMar>
              <w:top w:w="70" w:type="dxa"/>
              <w:bottom w:w="70" w:type="dxa"/>
              <w:left w:w="90" w:type="dxa"/>
              <w:right w:w="90" w:type="dxa"/>
            </w:tcMar>
          </w:tcPr>
          <w:p>
            <w:pPr>
              <w:spacing w:after="0" w:line="276" w:lineRule="auto"/>
              <w:jc w:val="left"/>
            </w:pPr>
            <w:r>
              <w:rPr>
                <w:b w:val="0"/>
                <w:sz w:val="20"/>
              </w:rPr>
              <w:t>CC+总CPU降低22.30%至31.15% LM+和DG+同CPU质量提高</w:t>
            </w:r>
          </w:p>
        </w:tc>
      </w:tr>
    </w:tbl>
    <w:p>
      <w:pPr>
        <w:spacing w:after="20" w:before="0" w:line="240" w:lineRule="auto"/>
      </w:pPr>
      <w:r>
        <w:rPr>
          <w:sz w:val="2"/>
        </w:rPr>
      </w:r>
    </w:p>
    <w:p>
      <w:pPr>
        <w:pStyle w:val="Heading2"/>
      </w:pPr>
      <w:r>
        <w:t>最后得到什么成果</w:t>
      </w:r>
    </w:p>
    <w:p>
      <w:r>
        <w:t>形成三种基线与三种改进版、180次正式运行、完整统计图表及20页研究汇报书。结果保留了不同方法的实际侧重：CC+主要省时，LM+和DG+主要扩展解集质量，重复率改善以LM+最明显。</w:t>
      </w:r>
    </w:p>
    <w:p>
      <w:r>
        <w:t>成果还落实到了实际布局。算例B的紧凑优先方案相对发电优先方案减少约25.21%的有效面积，发电量减少约3.39%，度电成本增加约3.20%。这使研究输出能够被理解为工程选择，而不仅是一项指标的变化。</w:t>
      </w:r>
    </w:p>
    <w:p>
      <w:pPr>
        <w:pStyle w:val="Heading1"/>
        <w:pageBreakBefore/>
      </w:pPr>
      <w:r>
        <w:t>吕明杰 场景数据与布局约束</w:t>
      </w:r>
    </w:p>
    <w:p>
      <w:pPr>
        <w:pStyle w:val="Heading2"/>
      </w:pPr>
      <w:r>
        <w:t>做了什么工作</w:t>
      </w:r>
    </w:p>
    <w:p>
      <w:r>
        <w:t>整理WindFLO的场界、风况和禁布区；设置平地及合成山脊场景；生成合法候选点；建立候选点之间的间距冲突关系。输出统一的点位坐标、地形信息、允许区域和冲突图，供模型与全部算法共同使用。</w:t>
      </w:r>
    </w:p>
    <w:p>
      <w:pPr>
        <w:pStyle w:val="Heading2"/>
      </w:pPr>
      <w:r>
        <w:t>这些工作要解决什么问题</w:t>
      </w:r>
    </w:p>
    <w:p>
      <w:r>
        <w:t>禁布区和陡坡使场址中有些位置无法安装风机；两个单独合法的位置也可能距离过近。必须同时解决“单个点能否使用”“哪些点不能一起选”和“最终数量是否足够”，否则发电和成本再好也不能形成合格布局。</w:t>
      </w:r>
    </w:p>
    <w:p>
      <w:pPr>
        <w:pStyle w:val="Heading2"/>
      </w:pPr>
      <w:r>
        <w:t>具体怎么做 为什么这样做</w:t>
      </w:r>
    </w:p>
    <w:p>
      <w:r>
        <w:t>场址为7 km×14 km。使用固定种子的扰动Sobol序列产生候选位置，剔除禁布区域及其边界，山脊场景再排除坡度超过15°的网格单元。地形采用50 m分辨率DEM；固定候选生成规则，使算法在相同输入上比较。</w:t>
      </w:r>
    </w:p>
    <w:p>
      <w:r>
        <w:t>两点水平距离小于308 m就在冲突图中连边，选机位时最多保留其中一个；最终必须恰好选择400个不同点。把间距预先变成冲突关系，可在搜索时直接判断能否加入一个点，避免每次重新解释全部几何约束。</w:t>
      </w:r>
    </w:p>
    <w:p>
      <w:r>
        <w:t>例如演示中只选3个点，排序为A、B、C、D，而A与B相距250 m，则选A后跳过B，再选C和D。若无法凑足数量，就有限次撤销早期选择重新补点。这说明修复既要避开冲突，也要满足固定数量。</w:t>
      </w:r>
    </w:p>
    <w:p>
      <w:pPr>
        <w:pStyle w:val="Heading2"/>
      </w:pPr>
      <w:r>
        <w:t>最后得到什么结果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4025"/>
        <w:gridCol w:w="1701"/>
        <w:gridCol w:w="3402"/>
      </w:tblGrid>
      <w:tr>
        <w:trPr>
          <w:cantSplit/>
          <w:tblHeader/>
        </w:trPr>
        <w:tc>
          <w:tcPr>
            <w:tcW w:type="dxa" w:w="680"/>
            <w:vAlign w:val="center"/>
            <w:tcMar>
              <w:top w:w="70" w:type="dxa"/>
              <w:bottom w:w="70" w:type="dxa"/>
              <w:left w:w="90" w:type="dxa"/>
              <w:right w:w="90" w:type="dxa"/>
            </w:tcMar>
            <w:shd w:fill="DCE6F1"/>
          </w:tcPr>
          <w:p>
            <w:pPr>
              <w:spacing w:after="0" w:line="276" w:lineRule="auto"/>
              <w:jc w:val="center"/>
            </w:pPr>
            <w:r>
              <w:rPr>
                <w:b/>
                <w:sz w:val="20"/>
              </w:rPr>
              <w:t>算例</w:t>
            </w:r>
          </w:p>
        </w:tc>
        <w:tc>
          <w:tcPr>
            <w:tcW w:type="dxa" w:w="4025"/>
            <w:vAlign w:val="center"/>
            <w:tcMar>
              <w:top w:w="70" w:type="dxa"/>
              <w:bottom w:w="70" w:type="dxa"/>
              <w:left w:w="90" w:type="dxa"/>
              <w:right w:w="90" w:type="dxa"/>
            </w:tcMar>
            <w:shd w:fill="DCE6F1"/>
          </w:tcPr>
          <w:p>
            <w:pPr>
              <w:spacing w:after="0" w:line="276" w:lineRule="auto"/>
              <w:jc w:val="center"/>
            </w:pPr>
            <w:r>
              <w:rPr>
                <w:b/>
                <w:sz w:val="20"/>
              </w:rPr>
              <w:t>场景设置</w:t>
            </w:r>
          </w:p>
        </w:tc>
        <w:tc>
          <w:tcPr>
            <w:tcW w:type="dxa" w:w="1701"/>
            <w:vAlign w:val="center"/>
            <w:tcMar>
              <w:top w:w="70" w:type="dxa"/>
              <w:bottom w:w="70" w:type="dxa"/>
              <w:left w:w="90" w:type="dxa"/>
              <w:right w:w="90" w:type="dxa"/>
            </w:tcMar>
            <w:shd w:fill="DCE6F1"/>
          </w:tcPr>
          <w:p>
            <w:pPr>
              <w:spacing w:after="0" w:line="276" w:lineRule="auto"/>
              <w:jc w:val="center"/>
            </w:pPr>
            <w:r>
              <w:rPr>
                <w:b/>
                <w:sz w:val="20"/>
              </w:rPr>
              <w:t>候选点</w:t>
            </w:r>
          </w:p>
        </w:tc>
        <w:tc>
          <w:tcPr>
            <w:tcW w:type="dxa" w:w="3402"/>
            <w:vAlign w:val="center"/>
            <w:tcMar>
              <w:top w:w="70" w:type="dxa"/>
              <w:bottom w:w="70" w:type="dxa"/>
              <w:left w:w="90" w:type="dxa"/>
              <w:right w:w="90" w:type="dxa"/>
            </w:tcMar>
            <w:shd w:fill="DCE6F1"/>
          </w:tcPr>
          <w:p>
            <w:pPr>
              <w:spacing w:after="0" w:line="276" w:lineRule="auto"/>
              <w:jc w:val="center"/>
            </w:pPr>
            <w:r>
              <w:rPr>
                <w:b/>
                <w:sz w:val="20"/>
              </w:rPr>
              <w:t>允许区域</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A</w:t>
            </w:r>
          </w:p>
        </w:tc>
        <w:tc>
          <w:tcPr>
            <w:tcW w:type="dxa" w:w="4025"/>
            <w:vAlign w:val="center"/>
            <w:tcMar>
              <w:top w:w="70" w:type="dxa"/>
              <w:bottom w:w="70" w:type="dxa"/>
              <w:left w:w="90" w:type="dxa"/>
              <w:right w:w="90" w:type="dxa"/>
            </w:tcMar>
          </w:tcPr>
          <w:p>
            <w:pPr>
              <w:spacing w:after="0" w:line="276" w:lineRule="auto"/>
              <w:jc w:val="center"/>
            </w:pPr>
            <w:r>
              <w:rPr>
                <w:b w:val="0"/>
                <w:sz w:val="20"/>
              </w:rPr>
              <w:t>obs_00 平地</w:t>
            </w:r>
          </w:p>
        </w:tc>
        <w:tc>
          <w:tcPr>
            <w:tcW w:type="dxa" w:w="1701"/>
            <w:vAlign w:val="center"/>
            <w:tcMar>
              <w:top w:w="70" w:type="dxa"/>
              <w:bottom w:w="70" w:type="dxa"/>
              <w:left w:w="90" w:type="dxa"/>
              <w:right w:w="90" w:type="dxa"/>
            </w:tcMar>
          </w:tcPr>
          <w:p>
            <w:pPr>
              <w:spacing w:after="0" w:line="276" w:lineRule="auto"/>
              <w:jc w:val="center"/>
            </w:pPr>
            <w:r>
              <w:rPr>
                <w:b w:val="0"/>
                <w:sz w:val="20"/>
              </w:rPr>
              <w:t>800</w:t>
            </w:r>
          </w:p>
        </w:tc>
        <w:tc>
          <w:tcPr>
            <w:tcW w:type="dxa" w:w="3402"/>
            <w:vAlign w:val="center"/>
            <w:tcMar>
              <w:top w:w="70" w:type="dxa"/>
              <w:bottom w:w="70" w:type="dxa"/>
              <w:left w:w="90" w:type="dxa"/>
              <w:right w:w="90" w:type="dxa"/>
            </w:tcMar>
          </w:tcPr>
          <w:p>
            <w:pPr>
              <w:spacing w:after="0" w:line="276" w:lineRule="auto"/>
              <w:jc w:val="center"/>
            </w:pPr>
            <w:r>
              <w:rPr>
                <w:b w:val="0"/>
                <w:sz w:val="20"/>
              </w:rPr>
              <w:t>95.25 km²</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B</w:t>
            </w:r>
          </w:p>
        </w:tc>
        <w:tc>
          <w:tcPr>
            <w:tcW w:type="dxa" w:w="4025"/>
            <w:vAlign w:val="center"/>
            <w:tcMar>
              <w:top w:w="70" w:type="dxa"/>
              <w:bottom w:w="70" w:type="dxa"/>
              <w:left w:w="90" w:type="dxa"/>
              <w:right w:w="90" w:type="dxa"/>
            </w:tcMar>
          </w:tcPr>
          <w:p>
            <w:pPr>
              <w:spacing w:after="0" w:line="276" w:lineRule="auto"/>
              <w:jc w:val="center"/>
            </w:pPr>
            <w:r>
              <w:rPr>
                <w:b w:val="0"/>
                <w:sz w:val="20"/>
              </w:rPr>
              <w:t>obs_00 平地</w:t>
            </w:r>
          </w:p>
        </w:tc>
        <w:tc>
          <w:tcPr>
            <w:tcW w:type="dxa" w:w="1701"/>
            <w:vAlign w:val="center"/>
            <w:tcMar>
              <w:top w:w="70" w:type="dxa"/>
              <w:bottom w:w="70" w:type="dxa"/>
              <w:left w:w="90" w:type="dxa"/>
              <w:right w:w="90" w:type="dxa"/>
            </w:tcMar>
          </w:tcPr>
          <w:p>
            <w:pPr>
              <w:spacing w:after="0" w:line="276" w:lineRule="auto"/>
              <w:jc w:val="center"/>
            </w:pPr>
            <w:r>
              <w:rPr>
                <w:b w:val="0"/>
                <w:sz w:val="20"/>
              </w:rPr>
              <w:t>1600</w:t>
            </w:r>
          </w:p>
        </w:tc>
        <w:tc>
          <w:tcPr>
            <w:tcW w:type="dxa" w:w="3402"/>
            <w:vAlign w:val="center"/>
            <w:tcMar>
              <w:top w:w="70" w:type="dxa"/>
              <w:bottom w:w="70" w:type="dxa"/>
              <w:left w:w="90" w:type="dxa"/>
              <w:right w:w="90" w:type="dxa"/>
            </w:tcMar>
          </w:tcPr>
          <w:p>
            <w:pPr>
              <w:spacing w:after="0" w:line="276" w:lineRule="auto"/>
              <w:jc w:val="center"/>
            </w:pPr>
            <w:r>
              <w:rPr>
                <w:b w:val="0"/>
                <w:sz w:val="20"/>
              </w:rPr>
              <w:t>95.25 km²</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C</w:t>
            </w:r>
          </w:p>
        </w:tc>
        <w:tc>
          <w:tcPr>
            <w:tcW w:type="dxa" w:w="4025"/>
            <w:vAlign w:val="center"/>
            <w:tcMar>
              <w:top w:w="70" w:type="dxa"/>
              <w:bottom w:w="70" w:type="dxa"/>
              <w:left w:w="90" w:type="dxa"/>
              <w:right w:w="90" w:type="dxa"/>
            </w:tcMar>
          </w:tcPr>
          <w:p>
            <w:pPr>
              <w:spacing w:after="0" w:line="276" w:lineRule="auto"/>
              <w:jc w:val="center"/>
            </w:pPr>
            <w:r>
              <w:rPr>
                <w:b w:val="0"/>
                <w:sz w:val="20"/>
              </w:rPr>
              <w:t>obs_01 合成山脊</w:t>
            </w:r>
          </w:p>
        </w:tc>
        <w:tc>
          <w:tcPr>
            <w:tcW w:type="dxa" w:w="1701"/>
            <w:vAlign w:val="center"/>
            <w:tcMar>
              <w:top w:w="70" w:type="dxa"/>
              <w:bottom w:w="70" w:type="dxa"/>
              <w:left w:w="90" w:type="dxa"/>
              <w:right w:w="90" w:type="dxa"/>
            </w:tcMar>
          </w:tcPr>
          <w:p>
            <w:pPr>
              <w:spacing w:after="0" w:line="276" w:lineRule="auto"/>
              <w:jc w:val="center"/>
            </w:pPr>
            <w:r>
              <w:rPr>
                <w:b w:val="0"/>
                <w:sz w:val="20"/>
              </w:rPr>
              <w:t>1600</w:t>
            </w:r>
          </w:p>
        </w:tc>
        <w:tc>
          <w:tcPr>
            <w:tcW w:type="dxa" w:w="3402"/>
            <w:vAlign w:val="center"/>
            <w:tcMar>
              <w:top w:w="70" w:type="dxa"/>
              <w:bottom w:w="70" w:type="dxa"/>
              <w:left w:w="90" w:type="dxa"/>
              <w:right w:w="90" w:type="dxa"/>
            </w:tcMar>
          </w:tcPr>
          <w:p>
            <w:pPr>
              <w:spacing w:after="0" w:line="276" w:lineRule="auto"/>
              <w:jc w:val="center"/>
            </w:pPr>
            <w:r>
              <w:rPr>
                <w:b w:val="0"/>
                <w:sz w:val="20"/>
              </w:rPr>
              <w:t>91.84 km²</w:t>
            </w:r>
          </w:p>
        </w:tc>
      </w:tr>
    </w:tbl>
    <w:p>
      <w:pPr>
        <w:spacing w:after="20" w:before="0" w:line="240" w:lineRule="auto"/>
      </w:pPr>
      <w:r>
        <w:rPr>
          <w:sz w:val="2"/>
        </w:rPr>
      </w:r>
    </w:p>
    <w:p>
      <w:r>
        <w:t>三个算例都固定400台1.5 MW机组，总容量600 MW。全部180万条评价记录通过数量、候选身份、禁布区域和间距核查，可行率100%。候选点更多表示可供选择的位置更多，实际风机数量没有增加。</w:t>
      </w:r>
    </w:p>
    <w:p>
      <w:r>
        <w:t>该模块把不规则场址转成了清楚的离散可行域，算法模块因此可以直接围绕合法机位组合开展搜索。</w:t>
      </w:r>
    </w:p>
    <w:p>
      <w:pPr>
        <w:pStyle w:val="Heading1"/>
        <w:pageBreakBefore/>
      </w:pPr>
      <w:r>
        <w:t>杨霁铭 尾流与三目标评价模型</w:t>
      </w:r>
    </w:p>
    <w:p>
      <w:pPr>
        <w:pStyle w:val="Heading2"/>
      </w:pPr>
      <w:r>
        <w:t>做了什么工作</w:t>
      </w:r>
    </w:p>
    <w:p>
      <w:r>
        <w:t>建立统一评价器，将一个400机位布局转换成年发电量、度电成本和有效开发面积。完成转子重叠尾流、风速分布与功率积分、最小连接网络、布局相关投资和凸包面积计算，并核对单位及数值一致性。</w:t>
      </w:r>
    </w:p>
    <w:p>
      <w:pPr>
        <w:pStyle w:val="Heading2"/>
      </w:pPr>
      <w:r>
        <w:t>这些工作要解决什么问题</w:t>
      </w:r>
    </w:p>
    <w:p>
      <w:r>
        <w:t>上游风机产生的尾流会降低下游风速，机位收益互相影响；只判断轮毂是否落入尾流，会忽略转子部分被覆盖的情况。固定容量下若全部投资都为常数，成本几乎只由发电量决定。面积若只看外包络，也无法区分其中允许开发和禁止开发的部分。</w:t>
      </w:r>
    </w:p>
    <w:p>
      <w:pPr>
        <w:pStyle w:val="Heading2"/>
      </w:pPr>
      <w:r>
        <w:t>具体怎么做 为什么这样做</w:t>
      </w:r>
    </w:p>
    <w:p>
      <w:r>
        <w:t>发电计算采用Jensen尾流，以尾流圆盘和转子圆盘的重叠比例修正单一速度亏损；部分覆盖时作用随位置连续变化。多个尾流亏损按平方和开根号叠加，再由有效风速计算功率。结合24个风向的概率和各扇区Weibull风速分布求期望，乘8760小时并换算为GWh/年。使用不完全伽马函数计算风速积分，减少随机采样噪声。</w:t>
      </w:r>
    </w:p>
    <w:p>
      <w:r>
        <w:t>成本计算把选中机位与固定变电站组成完整距离图，用精确最小生成树估计连接长度，按长度比例调整电气投资。总投资年化后加年度运维费，再分摊到发电量，得到美元/MWh的LCOE。这样，相同发电量下连接更长的布局也能体现额外成本。</w:t>
      </w:r>
    </w:p>
    <w:p>
      <w:r>
        <w:t>面积计算使用机位凸包与允许区域的交集，并同时保存总包络面积。凸包可理解为橡皮筋套住最外侧机位形成的轮廓；两项面积一起看，能够区分实际布局收紧和禁布区扣除带来的变化。</w:t>
      </w:r>
    </w:p>
    <w:p>
      <w:pPr>
        <w:pStyle w:val="Heading2"/>
      </w:pPr>
      <w:r>
        <w:t>最后得到什么结果</w:t>
      </w:r>
    </w:p>
    <w:p>
      <w:r>
        <w:t>六种方法共享同一评价规则。对44个代表布局重新计算完整尾流与独立最小生成树，最大目标相对误差约6.23×10⁻¹²，说明加速计算与完整计算在数值上保持一致。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154"/>
        <w:gridCol w:w="2721"/>
        <w:gridCol w:w="1984"/>
      </w:tblGrid>
      <w:tr>
        <w:trPr>
          <w:cantSplit/>
          <w:tblHeader/>
        </w:trPr>
        <w:tc>
          <w:tcPr>
            <w:tcW w:type="dxa" w:w="2948"/>
            <w:vAlign w:val="center"/>
            <w:tcMar>
              <w:top w:w="70" w:type="dxa"/>
              <w:bottom w:w="70" w:type="dxa"/>
              <w:left w:w="90" w:type="dxa"/>
              <w:right w:w="90" w:type="dxa"/>
            </w:tcMar>
            <w:shd w:fill="DCE6F1"/>
          </w:tcPr>
          <w:p>
            <w:pPr>
              <w:spacing w:after="0" w:line="276" w:lineRule="auto"/>
              <w:jc w:val="center"/>
            </w:pPr>
            <w:r>
              <w:rPr>
                <w:b/>
                <w:sz w:val="20"/>
              </w:rPr>
              <w:t>算例B的实际布局</w:t>
            </w:r>
          </w:p>
        </w:tc>
        <w:tc>
          <w:tcPr>
            <w:tcW w:type="dxa" w:w="2154"/>
            <w:vAlign w:val="center"/>
            <w:tcMar>
              <w:top w:w="70" w:type="dxa"/>
              <w:bottom w:w="70" w:type="dxa"/>
              <w:left w:w="90" w:type="dxa"/>
              <w:right w:w="90" w:type="dxa"/>
            </w:tcMar>
            <w:shd w:fill="DCE6F1"/>
          </w:tcPr>
          <w:p>
            <w:pPr>
              <w:spacing w:after="0" w:line="276" w:lineRule="auto"/>
              <w:jc w:val="center"/>
            </w:pPr>
            <w:r>
              <w:rPr>
                <w:b/>
                <w:sz w:val="20"/>
              </w:rPr>
              <w:t>年发电量</w:t>
            </w:r>
          </w:p>
        </w:tc>
        <w:tc>
          <w:tcPr>
            <w:tcW w:type="dxa" w:w="2721"/>
            <w:vAlign w:val="center"/>
            <w:tcMar>
              <w:top w:w="70" w:type="dxa"/>
              <w:bottom w:w="70" w:type="dxa"/>
              <w:left w:w="90" w:type="dxa"/>
              <w:right w:w="90" w:type="dxa"/>
            </w:tcMar>
            <w:shd w:fill="DCE6F1"/>
          </w:tcPr>
          <w:p>
            <w:pPr>
              <w:spacing w:after="0" w:line="276" w:lineRule="auto"/>
              <w:jc w:val="center"/>
            </w:pPr>
            <w:r>
              <w:rPr>
                <w:b/>
                <w:sz w:val="20"/>
              </w:rPr>
              <w:t>度电成本</w:t>
            </w:r>
          </w:p>
        </w:tc>
        <w:tc>
          <w:tcPr>
            <w:tcW w:type="dxa" w:w="1984"/>
            <w:vAlign w:val="center"/>
            <w:tcMar>
              <w:top w:w="70" w:type="dxa"/>
              <w:bottom w:w="70" w:type="dxa"/>
              <w:left w:w="90" w:type="dxa"/>
              <w:right w:w="90" w:type="dxa"/>
            </w:tcMar>
            <w:shd w:fill="DCE6F1"/>
          </w:tcPr>
          <w:p>
            <w:pPr>
              <w:spacing w:after="0" w:line="276" w:lineRule="auto"/>
              <w:jc w:val="center"/>
            </w:pPr>
            <w:r>
              <w:rPr>
                <w:b/>
                <w:sz w:val="20"/>
              </w:rPr>
              <w:t>有效面积</w:t>
            </w:r>
          </w:p>
        </w:tc>
      </w:tr>
      <w:tr>
        <w:trPr>
          <w:cantSplit/>
        </w:trPr>
        <w:tc>
          <w:tcPr>
            <w:tcW w:type="dxa" w:w="2948"/>
            <w:vAlign w:val="center"/>
            <w:tcMar>
              <w:top w:w="70" w:type="dxa"/>
              <w:bottom w:w="70" w:type="dxa"/>
              <w:left w:w="90" w:type="dxa"/>
              <w:right w:w="90" w:type="dxa"/>
            </w:tcMar>
          </w:tcPr>
          <w:p>
            <w:pPr>
              <w:spacing w:after="0" w:line="276" w:lineRule="auto"/>
              <w:jc w:val="center"/>
            </w:pPr>
            <w:r>
              <w:rPr>
                <w:b w:val="0"/>
                <w:sz w:val="20"/>
              </w:rPr>
              <w:t>发电优先 DG+</w:t>
            </w:r>
          </w:p>
        </w:tc>
        <w:tc>
          <w:tcPr>
            <w:tcW w:type="dxa" w:w="2154"/>
            <w:vAlign w:val="center"/>
            <w:tcMar>
              <w:top w:w="70" w:type="dxa"/>
              <w:bottom w:w="70" w:type="dxa"/>
              <w:left w:w="90" w:type="dxa"/>
              <w:right w:w="90" w:type="dxa"/>
            </w:tcMar>
          </w:tcPr>
          <w:p>
            <w:pPr>
              <w:spacing w:after="0" w:line="276" w:lineRule="auto"/>
              <w:jc w:val="center"/>
            </w:pPr>
            <w:r>
              <w:rPr>
                <w:b w:val="0"/>
                <w:sz w:val="20"/>
              </w:rPr>
              <w:t>1522.53 GWh</w:t>
            </w:r>
          </w:p>
        </w:tc>
        <w:tc>
          <w:tcPr>
            <w:tcW w:type="dxa" w:w="2721"/>
            <w:vAlign w:val="center"/>
            <w:tcMar>
              <w:top w:w="70" w:type="dxa"/>
              <w:bottom w:w="70" w:type="dxa"/>
              <w:left w:w="90" w:type="dxa"/>
              <w:right w:w="90" w:type="dxa"/>
            </w:tcMar>
          </w:tcPr>
          <w:p>
            <w:pPr>
              <w:spacing w:after="0" w:line="276" w:lineRule="auto"/>
              <w:jc w:val="center"/>
            </w:pPr>
            <w:r>
              <w:rPr>
                <w:b w:val="0"/>
                <w:sz w:val="20"/>
              </w:rPr>
              <w:t>62.545 美元/MWh</w:t>
            </w:r>
          </w:p>
        </w:tc>
        <w:tc>
          <w:tcPr>
            <w:tcW w:type="dxa" w:w="1984"/>
            <w:vAlign w:val="center"/>
            <w:tcMar>
              <w:top w:w="70" w:type="dxa"/>
              <w:bottom w:w="70" w:type="dxa"/>
              <w:left w:w="90" w:type="dxa"/>
              <w:right w:w="90" w:type="dxa"/>
            </w:tcMar>
          </w:tcPr>
          <w:p>
            <w:pPr>
              <w:spacing w:after="0" w:line="276" w:lineRule="auto"/>
              <w:jc w:val="center"/>
            </w:pPr>
            <w:r>
              <w:rPr>
                <w:b w:val="0"/>
                <w:sz w:val="20"/>
              </w:rPr>
              <w:t>93.84 km²</w:t>
            </w:r>
          </w:p>
        </w:tc>
      </w:tr>
      <w:tr>
        <w:trPr>
          <w:cantSplit/>
        </w:trPr>
        <w:tc>
          <w:tcPr>
            <w:tcW w:type="dxa" w:w="2948"/>
            <w:vAlign w:val="center"/>
            <w:tcMar>
              <w:top w:w="70" w:type="dxa"/>
              <w:bottom w:w="70" w:type="dxa"/>
              <w:left w:w="90" w:type="dxa"/>
              <w:right w:w="90" w:type="dxa"/>
            </w:tcMar>
          </w:tcPr>
          <w:p>
            <w:pPr>
              <w:spacing w:after="0" w:line="276" w:lineRule="auto"/>
              <w:jc w:val="center"/>
            </w:pPr>
            <w:r>
              <w:rPr>
                <w:b w:val="0"/>
                <w:sz w:val="20"/>
              </w:rPr>
              <w:t>紧凑优先 LM+</w:t>
            </w:r>
          </w:p>
        </w:tc>
        <w:tc>
          <w:tcPr>
            <w:tcW w:type="dxa" w:w="2154"/>
            <w:vAlign w:val="center"/>
            <w:tcMar>
              <w:top w:w="70" w:type="dxa"/>
              <w:bottom w:w="70" w:type="dxa"/>
              <w:left w:w="90" w:type="dxa"/>
              <w:right w:w="90" w:type="dxa"/>
            </w:tcMar>
          </w:tcPr>
          <w:p>
            <w:pPr>
              <w:spacing w:after="0" w:line="276" w:lineRule="auto"/>
              <w:jc w:val="center"/>
            </w:pPr>
            <w:r>
              <w:rPr>
                <w:b w:val="0"/>
                <w:sz w:val="20"/>
              </w:rPr>
              <w:t>1470.90 GWh</w:t>
            </w:r>
          </w:p>
        </w:tc>
        <w:tc>
          <w:tcPr>
            <w:tcW w:type="dxa" w:w="2721"/>
            <w:vAlign w:val="center"/>
            <w:tcMar>
              <w:top w:w="70" w:type="dxa"/>
              <w:bottom w:w="70" w:type="dxa"/>
              <w:left w:w="90" w:type="dxa"/>
              <w:right w:w="90" w:type="dxa"/>
            </w:tcMar>
          </w:tcPr>
          <w:p>
            <w:pPr>
              <w:spacing w:after="0" w:line="276" w:lineRule="auto"/>
              <w:jc w:val="center"/>
            </w:pPr>
            <w:r>
              <w:rPr>
                <w:b w:val="0"/>
                <w:sz w:val="20"/>
              </w:rPr>
              <w:t>64.544 美元/MWh</w:t>
            </w:r>
          </w:p>
        </w:tc>
        <w:tc>
          <w:tcPr>
            <w:tcW w:type="dxa" w:w="1984"/>
            <w:vAlign w:val="center"/>
            <w:tcMar>
              <w:top w:w="70" w:type="dxa"/>
              <w:bottom w:w="70" w:type="dxa"/>
              <w:left w:w="90" w:type="dxa"/>
              <w:right w:w="90" w:type="dxa"/>
            </w:tcMar>
          </w:tcPr>
          <w:p>
            <w:pPr>
              <w:spacing w:after="0" w:line="276" w:lineRule="auto"/>
              <w:jc w:val="center"/>
            </w:pPr>
            <w:r>
              <w:rPr>
                <w:b w:val="0"/>
                <w:sz w:val="20"/>
              </w:rPr>
              <w:t>70.18 km²</w:t>
            </w:r>
          </w:p>
        </w:tc>
      </w:tr>
    </w:tbl>
    <w:p>
      <w:pPr>
        <w:spacing w:after="20" w:before="0" w:line="240" w:lineRule="auto"/>
      </w:pPr>
      <w:r>
        <w:rPr>
          <w:sz w:val="2"/>
        </w:rPr>
      </w:r>
    </w:p>
    <w:p>
      <w:r>
        <w:t>模型由此能够表达发电、成本和用地的真实取舍。本次地形通过高程差、坡度禁布与地表连接长度进入计算，环境风况由场景给定。</w:t>
      </w:r>
    </w:p>
    <w:p>
      <w:pPr>
        <w:pStyle w:val="Heading1"/>
        <w:pageBreakBefore/>
      </w:pPr>
      <w:r>
        <w:t>金凡竣 CCGDE3的可行协作改进</w:t>
      </w:r>
    </w:p>
    <w:p>
      <w:pPr>
        <w:pStyle w:val="Heading2"/>
      </w:pPr>
      <w:r>
        <w:t>做了什么工作</w:t>
      </w:r>
    </w:p>
    <w:p>
      <w:r>
        <w:t>保留CCGDE3分组协同差分进化框架，增加可行协作上下文、组外机位固定、有界投影和跨组交换，并利用小范围换点实现精确增量尾流评价。选择阶段同时考虑目标表现和真实机位差异。</w:t>
      </w:r>
    </w:p>
    <w:p>
      <w:pPr>
        <w:pStyle w:val="Heading2"/>
      </w:pPr>
      <w:r>
        <w:t>这些工作要解决什么问题</w:t>
      </w:r>
    </w:p>
    <w:p>
      <w:r>
        <w:t>CCGDE3每次只搜索一组变量，再与其他组组成完整布局。风机间距却会跨组产生冲突：若组内换点后进行全局修复，组外机位也可能被改掉。父子布局的比较背景发生变化，难以判断当前组更新的效果，也不利于复用父布局计算。</w:t>
      </w:r>
    </w:p>
    <w:p>
      <w:pPr>
        <w:pStyle w:val="Heading2"/>
      </w:pPr>
      <w:r>
        <w:t>具体怎么做 为什么这样做</w:t>
      </w:r>
    </w:p>
    <w:p>
      <w:r>
        <w:t>先取一个完整可行布局作为上下文，当前组更新时固定组外已选点。组内补点必须避开它们的冲突，父代和后代在相同组外条件下比较。每个后代最多尝试24次投影，常规更新最多替换8个机位；失败就保留真实父布局并计入请求。</w:t>
      </w:r>
    </w:p>
    <w:p>
      <w:r>
        <w:t>例如组内候选A与组外已选B间距不足，此次组内更新不能为了选A而删除B，只能寻找其他可行位置。完成一轮分组循环后，再用跨组交换协调单组无法调整的组合。这样既保持协作条件，也保留跨组改变的机会。</w:t>
      </w:r>
    </w:p>
    <w:p>
      <w:r>
        <w:t>只换少数机位时，对保留的风机减去移出点的尾流贡献、加上移入点的贡献；新增风机再完整累计。它计算的仍是同一个物理模型，但减少了重复累加。连接网络等其他开销仍计入总CPU时间。</w:t>
      </w:r>
    </w:p>
    <w:p>
      <w:pPr>
        <w:pStyle w:val="Heading2"/>
      </w:pPr>
      <w:r>
        <w:t>最后得到什么结果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118"/>
        <w:gridCol w:w="3005"/>
        <w:gridCol w:w="3005"/>
      </w:tblGrid>
      <w:tr>
        <w:trPr>
          <w:cantSplit/>
          <w:tblHeader/>
        </w:trPr>
        <w:tc>
          <w:tcPr>
            <w:tcW w:type="dxa" w:w="680"/>
            <w:vAlign w:val="center"/>
            <w:tcMar>
              <w:top w:w="70" w:type="dxa"/>
              <w:bottom w:w="70" w:type="dxa"/>
              <w:left w:w="90" w:type="dxa"/>
              <w:right w:w="90" w:type="dxa"/>
            </w:tcMar>
            <w:shd w:fill="DCE6F1"/>
          </w:tcPr>
          <w:p>
            <w:pPr>
              <w:spacing w:after="0" w:line="276" w:lineRule="auto"/>
              <w:jc w:val="center"/>
            </w:pPr>
            <w:r>
              <w:rPr>
                <w:b/>
                <w:sz w:val="20"/>
              </w:rPr>
              <w:t>算例</w:t>
            </w:r>
          </w:p>
        </w:tc>
        <w:tc>
          <w:tcPr>
            <w:tcW w:type="dxa" w:w="3118"/>
            <w:vAlign w:val="center"/>
            <w:tcMar>
              <w:top w:w="70" w:type="dxa"/>
              <w:bottom w:w="70" w:type="dxa"/>
              <w:left w:w="90" w:type="dxa"/>
              <w:right w:w="90" w:type="dxa"/>
            </w:tcMar>
            <w:shd w:fill="DCE6F1"/>
          </w:tcPr>
          <w:p>
            <w:pPr>
              <w:spacing w:after="0" w:line="276" w:lineRule="auto"/>
              <w:jc w:val="center"/>
            </w:pPr>
            <w:r>
              <w:rPr>
                <w:b/>
                <w:sz w:val="20"/>
              </w:rPr>
              <w:t>最终HV提升</w:t>
            </w:r>
          </w:p>
        </w:tc>
        <w:tc>
          <w:tcPr>
            <w:tcW w:type="dxa" w:w="3005"/>
            <w:vAlign w:val="center"/>
            <w:tcMar>
              <w:top w:w="70" w:type="dxa"/>
              <w:bottom w:w="70" w:type="dxa"/>
              <w:left w:w="90" w:type="dxa"/>
              <w:right w:w="90" w:type="dxa"/>
            </w:tcMar>
            <w:shd w:fill="DCE6F1"/>
          </w:tcPr>
          <w:p>
            <w:pPr>
              <w:spacing w:after="0" w:line="276" w:lineRule="auto"/>
              <w:jc w:val="center"/>
            </w:pPr>
            <w:r>
              <w:rPr>
                <w:b/>
                <w:sz w:val="20"/>
              </w:rPr>
              <w:t>CPU变化</w:t>
            </w:r>
          </w:p>
        </w:tc>
        <w:tc>
          <w:tcPr>
            <w:tcW w:type="dxa" w:w="3005"/>
            <w:vAlign w:val="center"/>
            <w:tcMar>
              <w:top w:w="70" w:type="dxa"/>
              <w:bottom w:w="70" w:type="dxa"/>
              <w:left w:w="90" w:type="dxa"/>
              <w:right w:w="90" w:type="dxa"/>
            </w:tcMar>
            <w:shd w:fill="DCE6F1"/>
          </w:tcPr>
          <w:p>
            <w:pPr>
              <w:spacing w:after="0" w:line="276" w:lineRule="auto"/>
              <w:jc w:val="center"/>
            </w:pPr>
            <w:r>
              <w:rPr>
                <w:b/>
                <w:sz w:val="20"/>
              </w:rPr>
              <w:t>配对胜出</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A</w:t>
            </w:r>
          </w:p>
        </w:tc>
        <w:tc>
          <w:tcPr>
            <w:tcW w:type="dxa" w:w="3118"/>
            <w:vAlign w:val="center"/>
            <w:tcMar>
              <w:top w:w="70" w:type="dxa"/>
              <w:bottom w:w="70" w:type="dxa"/>
              <w:left w:w="90" w:type="dxa"/>
              <w:right w:w="90" w:type="dxa"/>
            </w:tcMar>
          </w:tcPr>
          <w:p>
            <w:pPr>
              <w:spacing w:after="0" w:line="276" w:lineRule="auto"/>
              <w:jc w:val="center"/>
            </w:pPr>
            <w:r>
              <w:rPr>
                <w:b w:val="0"/>
                <w:sz w:val="20"/>
              </w:rPr>
              <w:t>+15.71%</w:t>
            </w:r>
          </w:p>
        </w:tc>
        <w:tc>
          <w:tcPr>
            <w:tcW w:type="dxa" w:w="3005"/>
            <w:vAlign w:val="center"/>
            <w:tcMar>
              <w:top w:w="70" w:type="dxa"/>
              <w:bottom w:w="70" w:type="dxa"/>
              <w:left w:w="90" w:type="dxa"/>
              <w:right w:w="90" w:type="dxa"/>
            </w:tcMar>
          </w:tcPr>
          <w:p>
            <w:pPr>
              <w:spacing w:after="0" w:line="276" w:lineRule="auto"/>
              <w:jc w:val="center"/>
            </w:pPr>
            <w:r>
              <w:rPr>
                <w:b w:val="0"/>
                <w:sz w:val="20"/>
              </w:rPr>
              <w:t>-31.15%</w:t>
            </w:r>
          </w:p>
        </w:tc>
        <w:tc>
          <w:tcPr>
            <w:tcW w:type="dxa" w:w="3005"/>
            <w:vAlign w:val="center"/>
            <w:tcMar>
              <w:top w:w="70" w:type="dxa"/>
              <w:bottom w:w="70" w:type="dxa"/>
              <w:left w:w="90" w:type="dxa"/>
              <w:right w:w="90" w:type="dxa"/>
            </w:tcMar>
          </w:tcPr>
          <w:p>
            <w:pPr>
              <w:spacing w:after="0" w:line="276" w:lineRule="auto"/>
              <w:jc w:val="center"/>
            </w:pPr>
            <w:r>
              <w:rPr>
                <w:b w:val="0"/>
                <w:sz w:val="20"/>
              </w:rPr>
              <w:t>9/10</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B</w:t>
            </w:r>
          </w:p>
        </w:tc>
        <w:tc>
          <w:tcPr>
            <w:tcW w:type="dxa" w:w="3118"/>
            <w:vAlign w:val="center"/>
            <w:tcMar>
              <w:top w:w="70" w:type="dxa"/>
              <w:bottom w:w="70" w:type="dxa"/>
              <w:left w:w="90" w:type="dxa"/>
              <w:right w:w="90" w:type="dxa"/>
            </w:tcMar>
          </w:tcPr>
          <w:p>
            <w:pPr>
              <w:spacing w:after="0" w:line="276" w:lineRule="auto"/>
              <w:jc w:val="center"/>
            </w:pPr>
            <w:r>
              <w:rPr>
                <w:b w:val="0"/>
                <w:sz w:val="20"/>
              </w:rPr>
              <w:t>+4.75%</w:t>
            </w:r>
          </w:p>
        </w:tc>
        <w:tc>
          <w:tcPr>
            <w:tcW w:type="dxa" w:w="3005"/>
            <w:vAlign w:val="center"/>
            <w:tcMar>
              <w:top w:w="70" w:type="dxa"/>
              <w:bottom w:w="70" w:type="dxa"/>
              <w:left w:w="90" w:type="dxa"/>
              <w:right w:w="90" w:type="dxa"/>
            </w:tcMar>
          </w:tcPr>
          <w:p>
            <w:pPr>
              <w:spacing w:after="0" w:line="276" w:lineRule="auto"/>
              <w:jc w:val="center"/>
            </w:pPr>
            <w:r>
              <w:rPr>
                <w:b w:val="0"/>
                <w:sz w:val="20"/>
              </w:rPr>
              <w:t>-22.30%</w:t>
            </w:r>
          </w:p>
        </w:tc>
        <w:tc>
          <w:tcPr>
            <w:tcW w:type="dxa" w:w="3005"/>
            <w:vAlign w:val="center"/>
            <w:tcMar>
              <w:top w:w="70" w:type="dxa"/>
              <w:bottom w:w="70" w:type="dxa"/>
              <w:left w:w="90" w:type="dxa"/>
              <w:right w:w="90" w:type="dxa"/>
            </w:tcMar>
          </w:tcPr>
          <w:p>
            <w:pPr>
              <w:spacing w:after="0" w:line="276" w:lineRule="auto"/>
              <w:jc w:val="center"/>
            </w:pPr>
            <w:r>
              <w:rPr>
                <w:b w:val="0"/>
                <w:sz w:val="20"/>
              </w:rPr>
              <w:t>8/10</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C</w:t>
            </w:r>
          </w:p>
        </w:tc>
        <w:tc>
          <w:tcPr>
            <w:tcW w:type="dxa" w:w="3118"/>
            <w:vAlign w:val="center"/>
            <w:tcMar>
              <w:top w:w="70" w:type="dxa"/>
              <w:bottom w:w="70" w:type="dxa"/>
              <w:left w:w="90" w:type="dxa"/>
              <w:right w:w="90" w:type="dxa"/>
            </w:tcMar>
          </w:tcPr>
          <w:p>
            <w:pPr>
              <w:spacing w:after="0" w:line="276" w:lineRule="auto"/>
              <w:jc w:val="center"/>
            </w:pPr>
            <w:r>
              <w:rPr>
                <w:b w:val="0"/>
                <w:sz w:val="20"/>
              </w:rPr>
              <w:t>+4.02%</w:t>
            </w:r>
          </w:p>
        </w:tc>
        <w:tc>
          <w:tcPr>
            <w:tcW w:type="dxa" w:w="3005"/>
            <w:vAlign w:val="center"/>
            <w:tcMar>
              <w:top w:w="70" w:type="dxa"/>
              <w:bottom w:w="70" w:type="dxa"/>
              <w:left w:w="90" w:type="dxa"/>
              <w:right w:w="90" w:type="dxa"/>
            </w:tcMar>
          </w:tcPr>
          <w:p>
            <w:pPr>
              <w:spacing w:after="0" w:line="276" w:lineRule="auto"/>
              <w:jc w:val="center"/>
            </w:pPr>
            <w:r>
              <w:rPr>
                <w:b w:val="0"/>
                <w:sz w:val="20"/>
              </w:rPr>
              <w:t>-26.45%</w:t>
            </w:r>
          </w:p>
        </w:tc>
        <w:tc>
          <w:tcPr>
            <w:tcW w:type="dxa" w:w="3005"/>
            <w:vAlign w:val="center"/>
            <w:tcMar>
              <w:top w:w="70" w:type="dxa"/>
              <w:bottom w:w="70" w:type="dxa"/>
              <w:left w:w="90" w:type="dxa"/>
              <w:right w:w="90" w:type="dxa"/>
            </w:tcMar>
          </w:tcPr>
          <w:p>
            <w:pPr>
              <w:spacing w:after="0" w:line="276" w:lineRule="auto"/>
              <w:jc w:val="center"/>
            </w:pPr>
            <w:r>
              <w:rPr>
                <w:b w:val="0"/>
                <w:sz w:val="20"/>
              </w:rPr>
              <w:t>6/10</w:t>
            </w:r>
          </w:p>
        </w:tc>
      </w:tr>
    </w:tbl>
    <w:p>
      <w:pPr>
        <w:spacing w:after="20" w:before="0" w:line="240" w:lineRule="auto"/>
      </w:pPr>
      <w:r>
        <w:rPr>
          <w:sz w:val="2"/>
        </w:rPr>
      </w:r>
    </w:p>
    <w:p>
      <w:r>
        <w:t>A、B、C分别是800点平地、1600点平地和1600点山脊算例。CC+总CPU降低22.30%至31.15%；A的质量提升通过Holm校正检验，B和C的校正p值为0.1484和0.4414，质量收益较弱。</w:t>
      </w:r>
    </w:p>
    <w:p>
      <w:r>
        <w:t>固定上下文也收紧了搜索范围，重复率由基线的3.63%、1.35%、1.49%升至17.55%、9.70%、9.19%。每次运行平均约6231至6878个新布局可用增量尾流，支撑了省时效果。该模块最终形成了一条计算开销较低的可行协同搜索路线。</w:t>
      </w:r>
    </w:p>
    <w:p>
      <w:pPr>
        <w:pStyle w:val="Heading1"/>
        <w:pageBreakBefore/>
      </w:pPr>
      <w:r>
        <w:t>李传震 LMOCSO的搜索状态保留</w:t>
      </w:r>
    </w:p>
    <w:p>
      <w:pPr>
        <w:pStyle w:val="Heading2"/>
      </w:pPr>
      <w:r>
        <w:t>做了什么工作</w:t>
      </w:r>
    </w:p>
    <w:p>
      <w:r>
        <w:t>在竞争群优化基线上设计稀疏回写、速度保留和有效种群补足，配合能量、面积、成本三种物理局部交换。核心工作是让连续粒子的搜索状态在转换为离散机位后仍能发挥作用。</w:t>
      </w:r>
    </w:p>
    <w:p>
      <w:pPr>
        <w:pStyle w:val="Heading2"/>
      </w:pPr>
      <w:r>
        <w:t>这些工作要解决什么问题</w:t>
      </w:r>
    </w:p>
    <w:p>
      <w:r>
        <w:t>LMOCSO依靠位置和速度积累搜索方向。如果布局只换了少数机位，修复却给全部随机键重新赋值，许多有效的速度信息就被破坏。基线的工作种群还可能过早缩小，本批实验平均规模约3到5个布局，许多请求反复落到已有机位集合。</w:t>
      </w:r>
    </w:p>
    <w:p>
      <w:pPr>
        <w:pStyle w:val="Heading2"/>
      </w:pPr>
      <w:r>
        <w:t>具体怎么做 为什么这样做</w:t>
      </w:r>
    </w:p>
    <w:p>
      <w:r>
        <w:t>稀疏回写主要调整进入和退出选中集合的坐标，只把真正被修复移动的坐标速度清零，保留其余状态。例如修复把A换成B，其余399个点不变，就主要调整A、B对应的键值，保留其他坐标和速度。布局不变时也保留数值状态，让后续移动有机会跨过选点边界。</w:t>
      </w:r>
    </w:p>
    <w:p>
      <w:r>
        <w:t>种群选择先保留原机制的优胜者，不足20个不同布局时，从已评价候选中按质量补足，避免只剩少数搜索方向。合法的大步移动直接保留，不统一压缩为8个以内的换点。</w:t>
      </w:r>
    </w:p>
    <w:p>
      <w:r>
        <w:t>物理局部交换轮换三个方向：替换尾流耦合强的机位、把影响包络的边界点移向内部、调整连接较远的点。先用较便宜的信息筛选，再完整计算三个目标并计费，使全局搜索与有针对性的局部细化配合。</w:t>
      </w:r>
    </w:p>
    <w:p>
      <w:pPr>
        <w:pStyle w:val="Heading2"/>
      </w:pPr>
      <w:r>
        <w:t>最后得到什么结果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268"/>
        <w:gridCol w:w="2211"/>
        <w:gridCol w:w="4649"/>
      </w:tblGrid>
      <w:tr>
        <w:trPr>
          <w:cantSplit/>
          <w:tblHeader/>
        </w:trPr>
        <w:tc>
          <w:tcPr>
            <w:tcW w:type="dxa" w:w="680"/>
            <w:vAlign w:val="center"/>
            <w:tcMar>
              <w:top w:w="70" w:type="dxa"/>
              <w:bottom w:w="70" w:type="dxa"/>
              <w:left w:w="90" w:type="dxa"/>
              <w:right w:w="90" w:type="dxa"/>
            </w:tcMar>
            <w:shd w:fill="DCE6F1"/>
          </w:tcPr>
          <w:p>
            <w:pPr>
              <w:spacing w:after="0" w:line="276" w:lineRule="auto"/>
              <w:jc w:val="center"/>
            </w:pPr>
            <w:r>
              <w:rPr>
                <w:b/>
                <w:sz w:val="20"/>
              </w:rPr>
              <w:t>算例</w:t>
            </w:r>
          </w:p>
        </w:tc>
        <w:tc>
          <w:tcPr>
            <w:tcW w:type="dxa" w:w="2268"/>
            <w:vAlign w:val="center"/>
            <w:tcMar>
              <w:top w:w="70" w:type="dxa"/>
              <w:bottom w:w="70" w:type="dxa"/>
              <w:left w:w="90" w:type="dxa"/>
              <w:right w:w="90" w:type="dxa"/>
            </w:tcMar>
            <w:shd w:fill="DCE6F1"/>
          </w:tcPr>
          <w:p>
            <w:pPr>
              <w:spacing w:after="0" w:line="276" w:lineRule="auto"/>
              <w:jc w:val="center"/>
            </w:pPr>
            <w:r>
              <w:rPr>
                <w:b/>
                <w:sz w:val="20"/>
              </w:rPr>
              <w:t>最终HV提升</w:t>
            </w:r>
          </w:p>
        </w:tc>
        <w:tc>
          <w:tcPr>
            <w:tcW w:type="dxa" w:w="2211"/>
            <w:vAlign w:val="center"/>
            <w:tcMar>
              <w:top w:w="70" w:type="dxa"/>
              <w:bottom w:w="70" w:type="dxa"/>
              <w:left w:w="90" w:type="dxa"/>
              <w:right w:w="90" w:type="dxa"/>
            </w:tcMar>
            <w:shd w:fill="DCE6F1"/>
          </w:tcPr>
          <w:p>
            <w:pPr>
              <w:spacing w:after="0" w:line="276" w:lineRule="auto"/>
              <w:jc w:val="center"/>
            </w:pPr>
            <w:r>
              <w:rPr>
                <w:b/>
                <w:sz w:val="20"/>
              </w:rPr>
              <w:t>CPU变化</w:t>
            </w:r>
          </w:p>
        </w:tc>
        <w:tc>
          <w:tcPr>
            <w:tcW w:type="dxa" w:w="4649"/>
            <w:vAlign w:val="center"/>
            <w:tcMar>
              <w:top w:w="70" w:type="dxa"/>
              <w:bottom w:w="70" w:type="dxa"/>
              <w:left w:w="90" w:type="dxa"/>
              <w:right w:w="90" w:type="dxa"/>
            </w:tcMar>
            <w:shd w:fill="DCE6F1"/>
          </w:tcPr>
          <w:p>
            <w:pPr>
              <w:spacing w:after="0" w:line="276" w:lineRule="auto"/>
              <w:jc w:val="center"/>
            </w:pPr>
            <w:r>
              <w:rPr>
                <w:b/>
                <w:sz w:val="20"/>
              </w:rPr>
              <w:t>重复率 基线到改进版</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A</w:t>
            </w:r>
          </w:p>
        </w:tc>
        <w:tc>
          <w:tcPr>
            <w:tcW w:type="dxa" w:w="2268"/>
            <w:vAlign w:val="center"/>
            <w:tcMar>
              <w:top w:w="70" w:type="dxa"/>
              <w:bottom w:w="70" w:type="dxa"/>
              <w:left w:w="90" w:type="dxa"/>
              <w:right w:w="90" w:type="dxa"/>
            </w:tcMar>
          </w:tcPr>
          <w:p>
            <w:pPr>
              <w:spacing w:after="0" w:line="276" w:lineRule="auto"/>
              <w:jc w:val="center"/>
            </w:pPr>
            <w:r>
              <w:rPr>
                <w:b w:val="0"/>
                <w:sz w:val="20"/>
              </w:rPr>
              <w:t>+108.11%</w:t>
            </w:r>
          </w:p>
        </w:tc>
        <w:tc>
          <w:tcPr>
            <w:tcW w:type="dxa" w:w="2211"/>
            <w:vAlign w:val="center"/>
            <w:tcMar>
              <w:top w:w="70" w:type="dxa"/>
              <w:bottom w:w="70" w:type="dxa"/>
              <w:left w:w="90" w:type="dxa"/>
              <w:right w:w="90" w:type="dxa"/>
            </w:tcMar>
          </w:tcPr>
          <w:p>
            <w:pPr>
              <w:spacing w:after="0" w:line="276" w:lineRule="auto"/>
              <w:jc w:val="center"/>
            </w:pPr>
            <w:r>
              <w:rPr>
                <w:b w:val="0"/>
                <w:sz w:val="20"/>
              </w:rPr>
              <w:t>+80.88%</w:t>
            </w:r>
          </w:p>
        </w:tc>
        <w:tc>
          <w:tcPr>
            <w:tcW w:type="dxa" w:w="4649"/>
            <w:vAlign w:val="center"/>
            <w:tcMar>
              <w:top w:w="70" w:type="dxa"/>
              <w:bottom w:w="70" w:type="dxa"/>
              <w:left w:w="90" w:type="dxa"/>
              <w:right w:w="90" w:type="dxa"/>
            </w:tcMar>
          </w:tcPr>
          <w:p>
            <w:pPr>
              <w:spacing w:after="0" w:line="276" w:lineRule="auto"/>
              <w:jc w:val="center"/>
            </w:pPr>
            <w:r>
              <w:rPr>
                <w:b w:val="0"/>
                <w:sz w:val="20"/>
              </w:rPr>
              <w:t>81.47% → 51.57%</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B</w:t>
            </w:r>
          </w:p>
        </w:tc>
        <w:tc>
          <w:tcPr>
            <w:tcW w:type="dxa" w:w="2268"/>
            <w:vAlign w:val="center"/>
            <w:tcMar>
              <w:top w:w="70" w:type="dxa"/>
              <w:bottom w:w="70" w:type="dxa"/>
              <w:left w:w="90" w:type="dxa"/>
              <w:right w:w="90" w:type="dxa"/>
            </w:tcMar>
          </w:tcPr>
          <w:p>
            <w:pPr>
              <w:spacing w:after="0" w:line="276" w:lineRule="auto"/>
              <w:jc w:val="center"/>
            </w:pPr>
            <w:r>
              <w:rPr>
                <w:b w:val="0"/>
                <w:sz w:val="20"/>
              </w:rPr>
              <w:t>+210.65%</w:t>
            </w:r>
          </w:p>
        </w:tc>
        <w:tc>
          <w:tcPr>
            <w:tcW w:type="dxa" w:w="2211"/>
            <w:vAlign w:val="center"/>
            <w:tcMar>
              <w:top w:w="70" w:type="dxa"/>
              <w:bottom w:w="70" w:type="dxa"/>
              <w:left w:w="90" w:type="dxa"/>
              <w:right w:w="90" w:type="dxa"/>
            </w:tcMar>
          </w:tcPr>
          <w:p>
            <w:pPr>
              <w:spacing w:after="0" w:line="276" w:lineRule="auto"/>
              <w:jc w:val="center"/>
            </w:pPr>
            <w:r>
              <w:rPr>
                <w:b w:val="0"/>
                <w:sz w:val="20"/>
              </w:rPr>
              <w:t>+105.88%</w:t>
            </w:r>
          </w:p>
        </w:tc>
        <w:tc>
          <w:tcPr>
            <w:tcW w:type="dxa" w:w="4649"/>
            <w:vAlign w:val="center"/>
            <w:tcMar>
              <w:top w:w="70" w:type="dxa"/>
              <w:bottom w:w="70" w:type="dxa"/>
              <w:left w:w="90" w:type="dxa"/>
              <w:right w:w="90" w:type="dxa"/>
            </w:tcMar>
          </w:tcPr>
          <w:p>
            <w:pPr>
              <w:spacing w:after="0" w:line="276" w:lineRule="auto"/>
              <w:jc w:val="center"/>
            </w:pPr>
            <w:r>
              <w:rPr>
                <w:b w:val="0"/>
                <w:sz w:val="20"/>
              </w:rPr>
              <w:t>78.08% → 47.06%</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C</w:t>
            </w:r>
          </w:p>
        </w:tc>
        <w:tc>
          <w:tcPr>
            <w:tcW w:type="dxa" w:w="2268"/>
            <w:vAlign w:val="center"/>
            <w:tcMar>
              <w:top w:w="70" w:type="dxa"/>
              <w:bottom w:w="70" w:type="dxa"/>
              <w:left w:w="90" w:type="dxa"/>
              <w:right w:w="90" w:type="dxa"/>
            </w:tcMar>
          </w:tcPr>
          <w:p>
            <w:pPr>
              <w:spacing w:after="0" w:line="276" w:lineRule="auto"/>
              <w:jc w:val="center"/>
            </w:pPr>
            <w:r>
              <w:rPr>
                <w:b w:val="0"/>
                <w:sz w:val="20"/>
              </w:rPr>
              <w:t>+401.93%</w:t>
            </w:r>
          </w:p>
        </w:tc>
        <w:tc>
          <w:tcPr>
            <w:tcW w:type="dxa" w:w="2211"/>
            <w:vAlign w:val="center"/>
            <w:tcMar>
              <w:top w:w="70" w:type="dxa"/>
              <w:bottom w:w="70" w:type="dxa"/>
              <w:left w:w="90" w:type="dxa"/>
              <w:right w:w="90" w:type="dxa"/>
            </w:tcMar>
          </w:tcPr>
          <w:p>
            <w:pPr>
              <w:spacing w:after="0" w:line="276" w:lineRule="auto"/>
              <w:jc w:val="center"/>
            </w:pPr>
            <w:r>
              <w:rPr>
                <w:b w:val="0"/>
                <w:sz w:val="20"/>
              </w:rPr>
              <w:t>+132.38%</w:t>
            </w:r>
          </w:p>
        </w:tc>
        <w:tc>
          <w:tcPr>
            <w:tcW w:type="dxa" w:w="4649"/>
            <w:vAlign w:val="center"/>
            <w:tcMar>
              <w:top w:w="70" w:type="dxa"/>
              <w:bottom w:w="70" w:type="dxa"/>
              <w:left w:w="90" w:type="dxa"/>
              <w:right w:w="90" w:type="dxa"/>
            </w:tcMar>
          </w:tcPr>
          <w:p>
            <w:pPr>
              <w:spacing w:after="0" w:line="276" w:lineRule="auto"/>
              <w:jc w:val="center"/>
            </w:pPr>
            <w:r>
              <w:rPr>
                <w:b w:val="0"/>
                <w:sz w:val="20"/>
              </w:rPr>
              <w:t>82.04% → 47.91%</w:t>
            </w:r>
          </w:p>
        </w:tc>
      </w:tr>
    </w:tbl>
    <w:p>
      <w:pPr>
        <w:spacing w:after="20" w:before="0" w:line="240" w:lineRule="auto"/>
      </w:pPr>
      <w:r>
        <w:rPr>
          <w:sz w:val="2"/>
        </w:rPr>
      </w:r>
    </w:p>
    <w:p>
      <w:r>
        <w:t>重复率明显下降，同样10000次请求的新布局数从约1853、2192、1796增至4843、5294、5209。三个算例在同请求数和同CPU时间两种口径下均10次配对全胜，Holm校正p均为0.0352。</w:t>
      </w:r>
    </w:p>
    <w:p>
      <w:r>
        <w:t>评价更多新布局使跑满预算更耗时，但相同CPU时间的HV仍提高102.91%、190.38%、369.65%。结果说明保留状态与物理细化构成的整体方案提高了预算利用效果；这些增幅表示解集质量变化。</w:t>
      </w:r>
    </w:p>
    <w:p>
      <w:pPr>
        <w:pStyle w:val="Heading1"/>
        <w:pageBreakBefore/>
      </w:pPr>
      <w:r>
        <w:t>文子晗 DGEA的方向保持与细化</w:t>
      </w:r>
    </w:p>
    <w:p>
      <w:pPr>
        <w:pStyle w:val="Heading2"/>
      </w:pPr>
      <w:r>
        <w:t>做了什么工作</w:t>
      </w:r>
    </w:p>
    <w:p>
      <w:r>
        <w:t>在DGEA方向引导框架下，保留预选择得到的父代集合和等级，记录后代的真实起点，使用稀疏回写和可行修复，并将物理局部交换产生的候选加入后代集合与外部档案。</w:t>
      </w:r>
    </w:p>
    <w:p>
      <w:pPr>
        <w:pStyle w:val="Heading2"/>
      </w:pPr>
      <w:r>
        <w:t>这些工作要解决什么问题</w:t>
      </w:r>
    </w:p>
    <w:p>
      <w:r>
        <w:t>DGEA通过父代之间的关系组织搜索方向。若在离散适配中把刚淘汰的个体重新无差别合回父代，预选择的作用会被稀释；若修复时对应错误的父布局，后代与原搜索方向的关系也会被破坏。仅按随机键方向移动，还可能错过有价值的物理取舍区域。</w:t>
      </w:r>
    </w:p>
    <w:p>
      <w:pPr>
        <w:pStyle w:val="Heading2"/>
      </w:pPr>
      <w:r>
        <w:t>具体怎么做 为什么这样做</w:t>
      </w:r>
    </w:p>
    <w:p>
      <w:r>
        <w:t>预选择相当于从已有布局中挑出适合引导下一轮搜索的一组，再保留等级关系。后代方向直接根据这组父代生成，并记录实际起点；修复和回写围绕这个起点对应的布局进行。合法的大步候选保留，以维持多个变量联合变化的能力。</w:t>
      </w:r>
    </w:p>
    <w:p>
      <w:r>
        <w:t>原生方向搜索后轮换进行能量、面积和成本局部交换。以面积模式为例，尝试移除对凸包影响较大的边界点，再从内部补入满足间距的机位，保持400台数量不变；随后重算完整三目标，交给选择机制判断去留。外部档案保存得到的候选好布局，供后续选择和细化使用。</w:t>
      </w:r>
    </w:p>
    <w:p>
      <w:r>
        <w:t>DGEA与LMOCSO共用物理细化，但全局机制不同：这里维护的是父代预选择、等级和搜索起点，LMOCSO维护的是位置、速度与有效种群。两条路线分别保留了原算法最重要的搜索信息。</w:t>
      </w:r>
    </w:p>
    <w:p>
      <w:pPr>
        <w:pStyle w:val="Heading2"/>
      </w:pPr>
      <w:r>
        <w:t>最后得到什么结果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2268"/>
        <w:gridCol w:w="2211"/>
        <w:gridCol w:w="4649"/>
      </w:tblGrid>
      <w:tr>
        <w:trPr>
          <w:cantSplit/>
          <w:tblHeader/>
        </w:trPr>
        <w:tc>
          <w:tcPr>
            <w:tcW w:type="dxa" w:w="680"/>
            <w:vAlign w:val="center"/>
            <w:tcMar>
              <w:top w:w="70" w:type="dxa"/>
              <w:bottom w:w="70" w:type="dxa"/>
              <w:left w:w="90" w:type="dxa"/>
              <w:right w:w="90" w:type="dxa"/>
            </w:tcMar>
            <w:shd w:fill="DCE6F1"/>
          </w:tcPr>
          <w:p>
            <w:pPr>
              <w:spacing w:after="0" w:line="276" w:lineRule="auto"/>
              <w:jc w:val="center"/>
            </w:pPr>
            <w:r>
              <w:rPr>
                <w:b/>
                <w:sz w:val="20"/>
              </w:rPr>
              <w:t>算例</w:t>
            </w:r>
          </w:p>
        </w:tc>
        <w:tc>
          <w:tcPr>
            <w:tcW w:type="dxa" w:w="2268"/>
            <w:vAlign w:val="center"/>
            <w:tcMar>
              <w:top w:w="70" w:type="dxa"/>
              <w:bottom w:w="70" w:type="dxa"/>
              <w:left w:w="90" w:type="dxa"/>
              <w:right w:w="90" w:type="dxa"/>
            </w:tcMar>
            <w:shd w:fill="DCE6F1"/>
          </w:tcPr>
          <w:p>
            <w:pPr>
              <w:spacing w:after="0" w:line="276" w:lineRule="auto"/>
              <w:jc w:val="center"/>
            </w:pPr>
            <w:r>
              <w:rPr>
                <w:b/>
                <w:sz w:val="20"/>
              </w:rPr>
              <w:t>最终HV提升</w:t>
            </w:r>
          </w:p>
        </w:tc>
        <w:tc>
          <w:tcPr>
            <w:tcW w:type="dxa" w:w="2211"/>
            <w:vAlign w:val="center"/>
            <w:tcMar>
              <w:top w:w="70" w:type="dxa"/>
              <w:bottom w:w="70" w:type="dxa"/>
              <w:left w:w="90" w:type="dxa"/>
              <w:right w:w="90" w:type="dxa"/>
            </w:tcMar>
            <w:shd w:fill="DCE6F1"/>
          </w:tcPr>
          <w:p>
            <w:pPr>
              <w:spacing w:after="0" w:line="276" w:lineRule="auto"/>
              <w:jc w:val="center"/>
            </w:pPr>
            <w:r>
              <w:rPr>
                <w:b/>
                <w:sz w:val="20"/>
              </w:rPr>
              <w:t>CPU变化</w:t>
            </w:r>
          </w:p>
        </w:tc>
        <w:tc>
          <w:tcPr>
            <w:tcW w:type="dxa" w:w="4649"/>
            <w:vAlign w:val="center"/>
            <w:tcMar>
              <w:top w:w="70" w:type="dxa"/>
              <w:bottom w:w="70" w:type="dxa"/>
              <w:left w:w="90" w:type="dxa"/>
              <w:right w:w="90" w:type="dxa"/>
            </w:tcMar>
            <w:shd w:fill="DCE6F1"/>
          </w:tcPr>
          <w:p>
            <w:pPr>
              <w:spacing w:after="0" w:line="276" w:lineRule="auto"/>
              <w:jc w:val="center"/>
            </w:pPr>
            <w:r>
              <w:rPr>
                <w:b/>
                <w:sz w:val="20"/>
              </w:rPr>
              <w:t>重复率 基线到改进版</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A</w:t>
            </w:r>
          </w:p>
        </w:tc>
        <w:tc>
          <w:tcPr>
            <w:tcW w:type="dxa" w:w="2268"/>
            <w:vAlign w:val="center"/>
            <w:tcMar>
              <w:top w:w="70" w:type="dxa"/>
              <w:bottom w:w="70" w:type="dxa"/>
              <w:left w:w="90" w:type="dxa"/>
              <w:right w:w="90" w:type="dxa"/>
            </w:tcMar>
          </w:tcPr>
          <w:p>
            <w:pPr>
              <w:spacing w:after="0" w:line="276" w:lineRule="auto"/>
              <w:jc w:val="center"/>
            </w:pPr>
            <w:r>
              <w:rPr>
                <w:b w:val="0"/>
                <w:sz w:val="20"/>
              </w:rPr>
              <w:t>+93.37%</w:t>
            </w:r>
          </w:p>
        </w:tc>
        <w:tc>
          <w:tcPr>
            <w:tcW w:type="dxa" w:w="2211"/>
            <w:vAlign w:val="center"/>
            <w:tcMar>
              <w:top w:w="70" w:type="dxa"/>
              <w:bottom w:w="70" w:type="dxa"/>
              <w:left w:w="90" w:type="dxa"/>
              <w:right w:w="90" w:type="dxa"/>
            </w:tcMar>
          </w:tcPr>
          <w:p>
            <w:pPr>
              <w:spacing w:after="0" w:line="276" w:lineRule="auto"/>
              <w:jc w:val="center"/>
            </w:pPr>
            <w:r>
              <w:rPr>
                <w:b w:val="0"/>
                <w:sz w:val="20"/>
              </w:rPr>
              <w:t>+5.56%</w:t>
            </w:r>
          </w:p>
        </w:tc>
        <w:tc>
          <w:tcPr>
            <w:tcW w:type="dxa" w:w="4649"/>
            <w:vAlign w:val="center"/>
            <w:tcMar>
              <w:top w:w="70" w:type="dxa"/>
              <w:bottom w:w="70" w:type="dxa"/>
              <w:left w:w="90" w:type="dxa"/>
              <w:right w:w="90" w:type="dxa"/>
            </w:tcMar>
          </w:tcPr>
          <w:p>
            <w:pPr>
              <w:spacing w:after="0" w:line="276" w:lineRule="auto"/>
              <w:jc w:val="center"/>
            </w:pPr>
            <w:r>
              <w:rPr>
                <w:b w:val="0"/>
                <w:sz w:val="20"/>
              </w:rPr>
              <w:t>41.51% → 40.77%</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B</w:t>
            </w:r>
          </w:p>
        </w:tc>
        <w:tc>
          <w:tcPr>
            <w:tcW w:type="dxa" w:w="2268"/>
            <w:vAlign w:val="center"/>
            <w:tcMar>
              <w:top w:w="70" w:type="dxa"/>
              <w:bottom w:w="70" w:type="dxa"/>
              <w:left w:w="90" w:type="dxa"/>
              <w:right w:w="90" w:type="dxa"/>
            </w:tcMar>
          </w:tcPr>
          <w:p>
            <w:pPr>
              <w:spacing w:after="0" w:line="276" w:lineRule="auto"/>
              <w:jc w:val="center"/>
            </w:pPr>
            <w:r>
              <w:rPr>
                <w:b w:val="0"/>
                <w:sz w:val="20"/>
              </w:rPr>
              <w:t>+169.93%</w:t>
            </w:r>
          </w:p>
        </w:tc>
        <w:tc>
          <w:tcPr>
            <w:tcW w:type="dxa" w:w="2211"/>
            <w:vAlign w:val="center"/>
            <w:tcMar>
              <w:top w:w="70" w:type="dxa"/>
              <w:bottom w:w="70" w:type="dxa"/>
              <w:left w:w="90" w:type="dxa"/>
              <w:right w:w="90" w:type="dxa"/>
            </w:tcMar>
          </w:tcPr>
          <w:p>
            <w:pPr>
              <w:spacing w:after="0" w:line="276" w:lineRule="auto"/>
              <w:jc w:val="center"/>
            </w:pPr>
            <w:r>
              <w:rPr>
                <w:b w:val="0"/>
                <w:sz w:val="20"/>
              </w:rPr>
              <w:t>+9.94%</w:t>
            </w:r>
          </w:p>
        </w:tc>
        <w:tc>
          <w:tcPr>
            <w:tcW w:type="dxa" w:w="4649"/>
            <w:vAlign w:val="center"/>
            <w:tcMar>
              <w:top w:w="70" w:type="dxa"/>
              <w:bottom w:w="70" w:type="dxa"/>
              <w:left w:w="90" w:type="dxa"/>
              <w:right w:w="90" w:type="dxa"/>
            </w:tcMar>
          </w:tcPr>
          <w:p>
            <w:pPr>
              <w:spacing w:after="0" w:line="276" w:lineRule="auto"/>
              <w:jc w:val="center"/>
            </w:pPr>
            <w:r>
              <w:rPr>
                <w:b w:val="0"/>
                <w:sz w:val="20"/>
              </w:rPr>
              <w:t>26.33% → 31.12%</w:t>
            </w:r>
          </w:p>
        </w:tc>
      </w:tr>
      <w:tr>
        <w:trPr>
          <w:cantSplit/>
        </w:trPr>
        <w:tc>
          <w:tcPr>
            <w:tcW w:type="dxa" w:w="680"/>
            <w:vAlign w:val="center"/>
            <w:tcMar>
              <w:top w:w="70" w:type="dxa"/>
              <w:bottom w:w="70" w:type="dxa"/>
              <w:left w:w="90" w:type="dxa"/>
              <w:right w:w="90" w:type="dxa"/>
            </w:tcMar>
          </w:tcPr>
          <w:p>
            <w:pPr>
              <w:spacing w:after="0" w:line="276" w:lineRule="auto"/>
              <w:jc w:val="center"/>
            </w:pPr>
            <w:r>
              <w:rPr>
                <w:b w:val="0"/>
                <w:sz w:val="20"/>
              </w:rPr>
              <w:t>C</w:t>
            </w:r>
          </w:p>
        </w:tc>
        <w:tc>
          <w:tcPr>
            <w:tcW w:type="dxa" w:w="2268"/>
            <w:vAlign w:val="center"/>
            <w:tcMar>
              <w:top w:w="70" w:type="dxa"/>
              <w:bottom w:w="70" w:type="dxa"/>
              <w:left w:w="90" w:type="dxa"/>
              <w:right w:w="90" w:type="dxa"/>
            </w:tcMar>
          </w:tcPr>
          <w:p>
            <w:pPr>
              <w:spacing w:after="0" w:line="276" w:lineRule="auto"/>
              <w:jc w:val="center"/>
            </w:pPr>
            <w:r>
              <w:rPr>
                <w:b w:val="0"/>
                <w:sz w:val="20"/>
              </w:rPr>
              <w:t>+282.35%</w:t>
            </w:r>
          </w:p>
        </w:tc>
        <w:tc>
          <w:tcPr>
            <w:tcW w:type="dxa" w:w="2211"/>
            <w:vAlign w:val="center"/>
            <w:tcMar>
              <w:top w:w="70" w:type="dxa"/>
              <w:bottom w:w="70" w:type="dxa"/>
              <w:left w:w="90" w:type="dxa"/>
              <w:right w:w="90" w:type="dxa"/>
            </w:tcMar>
          </w:tcPr>
          <w:p>
            <w:pPr>
              <w:spacing w:after="0" w:line="276" w:lineRule="auto"/>
              <w:jc w:val="center"/>
            </w:pPr>
            <w:r>
              <w:rPr>
                <w:b w:val="0"/>
                <w:sz w:val="20"/>
              </w:rPr>
              <w:t>+10.31%</w:t>
            </w:r>
          </w:p>
        </w:tc>
        <w:tc>
          <w:tcPr>
            <w:tcW w:type="dxa" w:w="4649"/>
            <w:vAlign w:val="center"/>
            <w:tcMar>
              <w:top w:w="70" w:type="dxa"/>
              <w:bottom w:w="70" w:type="dxa"/>
              <w:left w:w="90" w:type="dxa"/>
              <w:right w:w="90" w:type="dxa"/>
            </w:tcMar>
          </w:tcPr>
          <w:p>
            <w:pPr>
              <w:spacing w:after="0" w:line="276" w:lineRule="auto"/>
              <w:jc w:val="center"/>
            </w:pPr>
            <w:r>
              <w:rPr>
                <w:b w:val="0"/>
                <w:sz w:val="20"/>
              </w:rPr>
              <w:t>27.76% → 30.85%</w:t>
            </w:r>
          </w:p>
        </w:tc>
      </w:tr>
    </w:tbl>
    <w:p>
      <w:pPr>
        <w:spacing w:after="20" w:before="0" w:line="240" w:lineRule="auto"/>
      </w:pPr>
      <w:r>
        <w:rPr>
          <w:sz w:val="2"/>
        </w:rPr>
      </w:r>
    </w:p>
    <w:p>
      <w:r>
        <w:t>三个算例在同请求数与同CPU时间下均10次配对全胜，校正p均为0.0352。总CPU增加5.56%至10.31%，相同CPU时间的HV仍提高92.53%、168.94%、281.34%，说明额外筛选开销带来了明确质量收益。</w:t>
      </w:r>
    </w:p>
    <w:p>
      <w:r>
        <w:t>A的重复率略降，B和C升高，但解集质量仍改善。该模块的主要作用是提高搜索方向与候选布局的价值。原生请求平均约4866至5307次接受超过8个机位的变化，全局搜索仍保持较大活动范围。</w:t>
      </w:r>
    </w:p>
    <w:p>
      <w:pPr>
        <w:pStyle w:val="Heading1"/>
        <w:pageBreakBefore/>
      </w:pPr>
      <w:r>
        <w:t>唐林枫 配对实验与独立核查</w:t>
      </w:r>
    </w:p>
    <w:p>
      <w:pPr>
        <w:pStyle w:val="Heading2"/>
      </w:pPr>
      <w:r>
        <w:t>做了什么工作</w:t>
      </w:r>
    </w:p>
    <w:p>
      <w:r>
        <w:t>组织六种方法在三个算例上的配对比较，每组使用1101至1110共10个随机种子，完成180次运行。整理每次运行的目标值、布局、搜索轨迹和CPU时间，计算HV、可行率、重复率、均值与标准差，完成配对检验、图表和独立结果核查。</w:t>
      </w:r>
    </w:p>
    <w:p>
      <w:pPr>
        <w:pStyle w:val="Heading2"/>
      </w:pPr>
      <w:r>
        <w:t>这些工作要解决什么问题</w:t>
      </w:r>
    </w:p>
    <w:p>
      <w:r>
        <w:t>演化搜索带有随机性，最好一次结果不能代表稳定性能；不同初始布局、不同模型或不计费的额外评价会干扰公平比较。只看最终HV也不能判断额外开销是否值得，因此要同时考察相同请求数和相同CPU时间。</w:t>
      </w:r>
    </w:p>
    <w:p>
      <w:pPr>
        <w:pStyle w:val="Heading2"/>
      </w:pPr>
      <w:r>
        <w:t>具体怎么做 为什么这样做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2"/>
        <w:gridCol w:w="4706"/>
      </w:tblGrid>
      <w:tr>
        <w:trPr>
          <w:cantSplit/>
          <w:tblHeader/>
        </w:trPr>
        <w:tc>
          <w:tcPr>
            <w:tcW w:type="dxa" w:w="5102"/>
            <w:vAlign w:val="center"/>
            <w:tcMar>
              <w:top w:w="70" w:type="dxa"/>
              <w:bottom w:w="70" w:type="dxa"/>
              <w:left w:w="90" w:type="dxa"/>
              <w:right w:w="90" w:type="dxa"/>
            </w:tcMar>
            <w:shd w:fill="DCE6F1"/>
          </w:tcPr>
          <w:p>
            <w:pPr>
              <w:spacing w:after="0" w:line="276" w:lineRule="auto"/>
              <w:jc w:val="center"/>
            </w:pPr>
            <w:r>
              <w:rPr>
                <w:b/>
                <w:sz w:val="20"/>
              </w:rPr>
              <w:t>实验规则</w:t>
            </w:r>
          </w:p>
        </w:tc>
        <w:tc>
          <w:tcPr>
            <w:tcW w:type="dxa" w:w="4706"/>
            <w:vAlign w:val="center"/>
            <w:tcMar>
              <w:top w:w="70" w:type="dxa"/>
              <w:bottom w:w="70" w:type="dxa"/>
              <w:left w:w="90" w:type="dxa"/>
              <w:right w:w="90" w:type="dxa"/>
            </w:tcMar>
            <w:shd w:fill="DCE6F1"/>
          </w:tcPr>
          <w:p>
            <w:pPr>
              <w:spacing w:after="0" w:line="276" w:lineRule="auto"/>
              <w:jc w:val="center"/>
            </w:pPr>
            <w:r>
              <w:rPr>
                <w:b/>
                <w:sz w:val="20"/>
              </w:rPr>
              <w:t>作用</w:t>
            </w:r>
          </w:p>
        </w:tc>
      </w:tr>
      <w:tr>
        <w:trPr>
          <w:cantSplit/>
        </w:trPr>
        <w:tc>
          <w:tcPr>
            <w:tcW w:type="dxa" w:w="5102"/>
            <w:vAlign w:val="center"/>
            <w:tcMar>
              <w:top w:w="70" w:type="dxa"/>
              <w:bottom w:w="70" w:type="dxa"/>
              <w:left w:w="90" w:type="dxa"/>
              <w:right w:w="90" w:type="dxa"/>
            </w:tcMar>
          </w:tcPr>
          <w:p>
            <w:pPr>
              <w:spacing w:after="0" w:line="276" w:lineRule="auto"/>
              <w:jc w:val="center"/>
            </w:pPr>
            <w:r>
              <w:rPr>
                <w:b w:val="0"/>
                <w:sz w:val="20"/>
              </w:rPr>
              <w:t>相同算例和种子共用前100个布局</w:t>
            </w:r>
          </w:p>
        </w:tc>
        <w:tc>
          <w:tcPr>
            <w:tcW w:type="dxa" w:w="4706"/>
            <w:vAlign w:val="center"/>
            <w:tcMar>
              <w:top w:w="70" w:type="dxa"/>
              <w:bottom w:w="70" w:type="dxa"/>
              <w:left w:w="90" w:type="dxa"/>
              <w:right w:w="90" w:type="dxa"/>
            </w:tcMar>
          </w:tcPr>
          <w:p>
            <w:pPr>
              <w:spacing w:after="0" w:line="276" w:lineRule="auto"/>
              <w:jc w:val="center"/>
            </w:pPr>
            <w:r>
              <w:rPr>
                <w:b w:val="0"/>
                <w:sz w:val="20"/>
              </w:rPr>
              <w:t>减少初始条件造成的差别</w:t>
            </w:r>
          </w:p>
        </w:tc>
      </w:tr>
      <w:tr>
        <w:trPr>
          <w:cantSplit/>
        </w:trPr>
        <w:tc>
          <w:tcPr>
            <w:tcW w:type="dxa" w:w="5102"/>
            <w:vAlign w:val="center"/>
            <w:tcMar>
              <w:top w:w="70" w:type="dxa"/>
              <w:bottom w:w="70" w:type="dxa"/>
              <w:left w:w="90" w:type="dxa"/>
              <w:right w:w="90" w:type="dxa"/>
            </w:tcMar>
          </w:tcPr>
          <w:p>
            <w:pPr>
              <w:spacing w:after="0" w:line="276" w:lineRule="auto"/>
              <w:jc w:val="center"/>
            </w:pPr>
            <w:r>
              <w:rPr>
                <w:b w:val="0"/>
                <w:sz w:val="20"/>
              </w:rPr>
              <w:t>每次10000次请求 包含缓存重复与局部精确评价</w:t>
            </w:r>
          </w:p>
        </w:tc>
        <w:tc>
          <w:tcPr>
            <w:tcW w:type="dxa" w:w="4706"/>
            <w:vAlign w:val="center"/>
            <w:tcMar>
              <w:top w:w="70" w:type="dxa"/>
              <w:bottom w:w="70" w:type="dxa"/>
              <w:left w:w="90" w:type="dxa"/>
              <w:right w:w="90" w:type="dxa"/>
            </w:tcMar>
          </w:tcPr>
          <w:p>
            <w:pPr>
              <w:spacing w:after="0" w:line="276" w:lineRule="auto"/>
              <w:jc w:val="center"/>
            </w:pPr>
            <w:r>
              <w:rPr>
                <w:b w:val="0"/>
                <w:sz w:val="20"/>
              </w:rPr>
              <w:t>让总尝试次数保持一致</w:t>
            </w:r>
          </w:p>
        </w:tc>
      </w:tr>
      <w:tr>
        <w:trPr>
          <w:cantSplit/>
        </w:trPr>
        <w:tc>
          <w:tcPr>
            <w:tcW w:type="dxa" w:w="5102"/>
            <w:vAlign w:val="center"/>
            <w:tcMar>
              <w:top w:w="70" w:type="dxa"/>
              <w:bottom w:w="70" w:type="dxa"/>
              <w:left w:w="90" w:type="dxa"/>
              <w:right w:w="90" w:type="dxa"/>
            </w:tcMar>
          </w:tcPr>
          <w:p>
            <w:pPr>
              <w:spacing w:after="0" w:line="276" w:lineRule="auto"/>
              <w:jc w:val="center"/>
            </w:pPr>
            <w:r>
              <w:rPr>
                <w:b w:val="0"/>
                <w:sz w:val="20"/>
              </w:rPr>
              <w:t>单工作进程 单数值计算线程</w:t>
            </w:r>
          </w:p>
        </w:tc>
        <w:tc>
          <w:tcPr>
            <w:tcW w:type="dxa" w:w="4706"/>
            <w:vAlign w:val="center"/>
            <w:tcMar>
              <w:top w:w="70" w:type="dxa"/>
              <w:bottom w:w="70" w:type="dxa"/>
              <w:left w:w="90" w:type="dxa"/>
              <w:right w:w="90" w:type="dxa"/>
            </w:tcMar>
          </w:tcPr>
          <w:p>
            <w:pPr>
              <w:spacing w:after="0" w:line="276" w:lineRule="auto"/>
              <w:jc w:val="center"/>
            </w:pPr>
            <w:r>
              <w:rPr>
                <w:b w:val="0"/>
                <w:sz w:val="20"/>
              </w:rPr>
              <w:t>减少并发争抢对时间比较的干扰</w:t>
            </w:r>
          </w:p>
        </w:tc>
      </w:tr>
      <w:tr>
        <w:trPr>
          <w:cantSplit/>
        </w:trPr>
        <w:tc>
          <w:tcPr>
            <w:tcW w:type="dxa" w:w="5102"/>
            <w:vAlign w:val="center"/>
            <w:tcMar>
              <w:top w:w="70" w:type="dxa"/>
              <w:bottom w:w="70" w:type="dxa"/>
              <w:left w:w="90" w:type="dxa"/>
              <w:right w:w="90" w:type="dxa"/>
            </w:tcMar>
          </w:tcPr>
          <w:p>
            <w:pPr>
              <w:spacing w:after="0" w:line="276" w:lineRule="auto"/>
              <w:jc w:val="center"/>
            </w:pPr>
            <w:r>
              <w:rPr>
                <w:b w:val="0"/>
                <w:sz w:val="20"/>
              </w:rPr>
              <w:t>从全部已访问可行布局重建前沿</w:t>
            </w:r>
          </w:p>
        </w:tc>
        <w:tc>
          <w:tcPr>
            <w:tcW w:type="dxa" w:w="4706"/>
            <w:vAlign w:val="center"/>
            <w:tcMar>
              <w:top w:w="70" w:type="dxa"/>
              <w:bottom w:w="70" w:type="dxa"/>
              <w:left w:w="90" w:type="dxa"/>
              <w:right w:w="90" w:type="dxa"/>
            </w:tcMar>
          </w:tcPr>
          <w:p>
            <w:pPr>
              <w:spacing w:after="0" w:line="276" w:lineRule="auto"/>
              <w:jc w:val="center"/>
            </w:pPr>
            <w:r>
              <w:rPr>
                <w:b w:val="0"/>
                <w:sz w:val="20"/>
              </w:rPr>
              <w:t>避免内部档案大小影响最终质量比较</w:t>
            </w:r>
          </w:p>
        </w:tc>
      </w:tr>
    </w:tbl>
    <w:p>
      <w:pPr>
        <w:spacing w:after="20" w:before="0" w:line="240" w:lineRule="auto"/>
      </w:pPr>
      <w:r>
        <w:rPr>
          <w:sz w:val="2"/>
        </w:rPr>
      </w:r>
    </w:p>
    <w:p>
      <w:r>
        <w:t>同CPU比较以配对基线跑满预算的时间为截止点，取改进版此前最后记录的解集，提前完成则保持最终质量。同一算例的60次运行使用共同HV归一化范围，参考点为1.1、1.1、1.1。</w:t>
      </w:r>
    </w:p>
    <w:p>
      <w:r>
        <w:t>每组10个配对差值使用精确双侧符号翻转检验，枚举1024种符号组合；对三种算法、三个算例、两种口径的18项检验统一进行Holm校正。均值和提升幅度描述效果，标准差与配对胜负描述稳定性，校正p值衡量统计证据。</w:t>
      </w:r>
    </w:p>
    <w:p>
      <w:pPr>
        <w:pStyle w:val="Heading2"/>
      </w:pPr>
      <w:r>
        <w:t>最后得到什么结果</w:t>
      </w:r>
    </w:p>
    <w:p>
      <w:r>
        <w:t>180次运行于2026年10月25日完成，累计约11.00 CPU小时。LM+和DG+在两个主要口径下均取得三个算例各10次全胜，校正p均为0.0352；CC+质量提升在A通过校正检验，三个算例都更省时。</w:t>
      </w:r>
    </w:p>
    <w:p>
      <w:r>
        <w:t>独立核查覆盖180万条记录的几何约束与成本恒等式，重新构建前沿并复算HV；另对44个代表布局重算完整尾流与独立最小生成树，最大相对误差约6.23×10⁻¹²。全部核查通过，最终结论能够追溯到保存的运行记录。</w:t>
      </w:r>
    </w:p>
    <w:p>
      <w:pPr>
        <w:pStyle w:val="Heading1"/>
        <w:pageBreakBefore/>
      </w:pPr>
      <w:r>
        <w:t>模块怎样衔接 成果在哪里</w:t>
      </w:r>
    </w:p>
    <w:p>
      <w:pPr>
        <w:pStyle w:val="Heading2"/>
      </w:pPr>
      <w:r>
        <w:t>每一项工作怎样进入最终结果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309"/>
        <w:gridCol w:w="3798"/>
      </w:tblGrid>
      <w:tr>
        <w:trPr>
          <w:cantSplit/>
          <w:tblHeader/>
        </w:trPr>
        <w:tc>
          <w:tcPr>
            <w:tcW w:type="dxa" w:w="1701"/>
            <w:vAlign w:val="center"/>
            <w:tcMar>
              <w:top w:w="70" w:type="dxa"/>
              <w:bottom w:w="70" w:type="dxa"/>
              <w:left w:w="90" w:type="dxa"/>
              <w:right w:w="90" w:type="dxa"/>
            </w:tcMar>
            <w:shd w:fill="DCE6F1"/>
          </w:tcPr>
          <w:p>
            <w:pPr>
              <w:spacing w:after="0" w:line="276" w:lineRule="auto"/>
              <w:jc w:val="center"/>
            </w:pPr>
            <w:r>
              <w:rPr>
                <w:b/>
                <w:sz w:val="20"/>
              </w:rPr>
              <w:t>模块</w:t>
            </w:r>
          </w:p>
        </w:tc>
        <w:tc>
          <w:tcPr>
            <w:tcW w:type="dxa" w:w="4309"/>
            <w:vAlign w:val="center"/>
            <w:tcMar>
              <w:top w:w="70" w:type="dxa"/>
              <w:bottom w:w="70" w:type="dxa"/>
              <w:left w:w="90" w:type="dxa"/>
              <w:right w:w="90" w:type="dxa"/>
            </w:tcMar>
            <w:shd w:fill="DCE6F1"/>
          </w:tcPr>
          <w:p>
            <w:pPr>
              <w:spacing w:after="0" w:line="276" w:lineRule="auto"/>
              <w:jc w:val="center"/>
            </w:pPr>
            <w:r>
              <w:rPr>
                <w:b/>
                <w:sz w:val="20"/>
              </w:rPr>
              <w:t>交出的成果</w:t>
            </w:r>
          </w:p>
        </w:tc>
        <w:tc>
          <w:tcPr>
            <w:tcW w:type="dxa" w:w="3798"/>
            <w:vAlign w:val="center"/>
            <w:tcMar>
              <w:top w:w="70" w:type="dxa"/>
              <w:bottom w:w="70" w:type="dxa"/>
              <w:left w:w="90" w:type="dxa"/>
              <w:right w:w="90" w:type="dxa"/>
            </w:tcMar>
            <w:shd w:fill="DCE6F1"/>
          </w:tcPr>
          <w:p>
            <w:pPr>
              <w:spacing w:after="0" w:line="276" w:lineRule="auto"/>
              <w:jc w:val="center"/>
            </w:pPr>
            <w:r>
              <w:rPr>
                <w:b/>
                <w:sz w:val="20"/>
              </w:rPr>
              <w:t>后续怎样使用</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统筹与整合</w:t>
            </w:r>
          </w:p>
        </w:tc>
        <w:tc>
          <w:tcPr>
            <w:tcW w:type="dxa" w:w="4309"/>
            <w:vAlign w:val="center"/>
            <w:tcMar>
              <w:top w:w="70" w:type="dxa"/>
              <w:bottom w:w="70" w:type="dxa"/>
              <w:left w:w="90" w:type="dxa"/>
              <w:right w:w="90" w:type="dxa"/>
            </w:tcMar>
          </w:tcPr>
          <w:p>
            <w:pPr>
              <w:spacing w:after="0" w:line="276" w:lineRule="auto"/>
              <w:jc w:val="left"/>
            </w:pPr>
            <w:r>
              <w:rPr>
                <w:b w:val="0"/>
                <w:sz w:val="20"/>
              </w:rPr>
              <w:t>研究目标 共同设置 冻结方案 研究汇报书</w:t>
            </w:r>
          </w:p>
        </w:tc>
        <w:tc>
          <w:tcPr>
            <w:tcW w:type="dxa" w:w="3798"/>
            <w:vAlign w:val="center"/>
            <w:tcMar>
              <w:top w:w="70" w:type="dxa"/>
              <w:bottom w:w="70" w:type="dxa"/>
              <w:left w:w="90" w:type="dxa"/>
              <w:right w:w="90" w:type="dxa"/>
            </w:tcMar>
          </w:tcPr>
          <w:p>
            <w:pPr>
              <w:spacing w:after="0" w:line="276" w:lineRule="auto"/>
              <w:jc w:val="left"/>
            </w:pPr>
            <w:r>
              <w:rPr>
                <w:b w:val="0"/>
                <w:sz w:val="20"/>
              </w:rPr>
              <w:t>将模型 算法和验证组织成同一研究过程</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数据与约束</w:t>
            </w:r>
          </w:p>
        </w:tc>
        <w:tc>
          <w:tcPr>
            <w:tcW w:type="dxa" w:w="4309"/>
            <w:vAlign w:val="center"/>
            <w:tcMar>
              <w:top w:w="70" w:type="dxa"/>
              <w:bottom w:w="70" w:type="dxa"/>
              <w:left w:w="90" w:type="dxa"/>
              <w:right w:w="90" w:type="dxa"/>
            </w:tcMar>
          </w:tcPr>
          <w:p>
            <w:pPr>
              <w:spacing w:after="0" w:line="276" w:lineRule="auto"/>
              <w:jc w:val="center"/>
            </w:pPr>
            <w:r>
              <w:rPr>
                <w:b w:val="0"/>
                <w:sz w:val="20"/>
              </w:rPr>
              <w:t>合法候选点 地形信息 冲突图</w:t>
            </w:r>
          </w:p>
        </w:tc>
        <w:tc>
          <w:tcPr>
            <w:tcW w:type="dxa" w:w="3798"/>
            <w:vAlign w:val="center"/>
            <w:tcMar>
              <w:top w:w="70" w:type="dxa"/>
              <w:bottom w:w="70" w:type="dxa"/>
              <w:left w:w="90" w:type="dxa"/>
              <w:right w:w="90" w:type="dxa"/>
            </w:tcMar>
          </w:tcPr>
          <w:p>
            <w:pPr>
              <w:spacing w:after="0" w:line="276" w:lineRule="auto"/>
              <w:jc w:val="left"/>
            </w:pPr>
            <w:r>
              <w:rPr>
                <w:b w:val="0"/>
                <w:sz w:val="20"/>
              </w:rPr>
              <w:t>限定算法搜索范围并检查布局是否合格</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三目标模型</w:t>
            </w:r>
          </w:p>
        </w:tc>
        <w:tc>
          <w:tcPr>
            <w:tcW w:type="dxa" w:w="4309"/>
            <w:vAlign w:val="center"/>
            <w:tcMar>
              <w:top w:w="70" w:type="dxa"/>
              <w:bottom w:w="70" w:type="dxa"/>
              <w:left w:w="90" w:type="dxa"/>
              <w:right w:w="90" w:type="dxa"/>
            </w:tcMar>
          </w:tcPr>
          <w:p>
            <w:pPr>
              <w:spacing w:after="0" w:line="276" w:lineRule="auto"/>
              <w:jc w:val="center"/>
            </w:pPr>
            <w:r>
              <w:rPr>
                <w:b w:val="0"/>
                <w:sz w:val="20"/>
              </w:rPr>
              <w:t>统一评价器与目标数值</w:t>
            </w:r>
          </w:p>
        </w:tc>
        <w:tc>
          <w:tcPr>
            <w:tcW w:type="dxa" w:w="3798"/>
            <w:vAlign w:val="center"/>
            <w:tcMar>
              <w:top w:w="70" w:type="dxa"/>
              <w:bottom w:w="70" w:type="dxa"/>
              <w:left w:w="90" w:type="dxa"/>
              <w:right w:w="90" w:type="dxa"/>
            </w:tcMar>
          </w:tcPr>
          <w:p>
            <w:pPr>
              <w:spacing w:after="0" w:line="276" w:lineRule="auto"/>
              <w:jc w:val="center"/>
            </w:pPr>
            <w:r>
              <w:rPr>
                <w:b w:val="0"/>
                <w:sz w:val="20"/>
              </w:rPr>
              <w:t>让六种方法使用同一标准判断布局</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CCGDE3改进</w:t>
            </w:r>
          </w:p>
        </w:tc>
        <w:tc>
          <w:tcPr>
            <w:tcW w:type="dxa" w:w="4309"/>
            <w:vAlign w:val="center"/>
            <w:tcMar>
              <w:top w:w="70" w:type="dxa"/>
              <w:bottom w:w="70" w:type="dxa"/>
              <w:left w:w="90" w:type="dxa"/>
              <w:right w:w="90" w:type="dxa"/>
            </w:tcMar>
          </w:tcPr>
          <w:p>
            <w:pPr>
              <w:spacing w:after="0" w:line="276" w:lineRule="auto"/>
              <w:jc w:val="left"/>
            </w:pPr>
            <w:r>
              <w:rPr>
                <w:b w:val="0"/>
                <w:sz w:val="20"/>
              </w:rPr>
              <w:t>可行协作上下文 跨组交换 增量评价</w:t>
            </w:r>
          </w:p>
        </w:tc>
        <w:tc>
          <w:tcPr>
            <w:tcW w:type="dxa" w:w="3798"/>
            <w:vAlign w:val="center"/>
            <w:tcMar>
              <w:top w:w="70" w:type="dxa"/>
              <w:bottom w:w="70" w:type="dxa"/>
              <w:left w:w="90" w:type="dxa"/>
              <w:right w:w="90" w:type="dxa"/>
            </w:tcMar>
          </w:tcPr>
          <w:p>
            <w:pPr>
              <w:spacing w:after="0" w:line="276" w:lineRule="auto"/>
              <w:jc w:val="center"/>
            </w:pPr>
            <w:r>
              <w:rPr>
                <w:b w:val="0"/>
                <w:sz w:val="20"/>
              </w:rPr>
              <w:t>保持协作条件并减少计算开销</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LMOCSO改进</w:t>
            </w:r>
          </w:p>
        </w:tc>
        <w:tc>
          <w:tcPr>
            <w:tcW w:type="dxa" w:w="4309"/>
            <w:vAlign w:val="center"/>
            <w:tcMar>
              <w:top w:w="70" w:type="dxa"/>
              <w:bottom w:w="70" w:type="dxa"/>
              <w:left w:w="90" w:type="dxa"/>
              <w:right w:w="90" w:type="dxa"/>
            </w:tcMar>
          </w:tcPr>
          <w:p>
            <w:pPr>
              <w:spacing w:after="0" w:line="276" w:lineRule="auto"/>
              <w:jc w:val="left"/>
            </w:pPr>
            <w:r>
              <w:rPr>
                <w:b w:val="0"/>
                <w:sz w:val="20"/>
              </w:rPr>
              <w:t>稀疏回写 速度保留 有效种群 物理细化</w:t>
            </w:r>
          </w:p>
        </w:tc>
        <w:tc>
          <w:tcPr>
            <w:tcW w:type="dxa" w:w="3798"/>
            <w:vAlign w:val="center"/>
            <w:tcMar>
              <w:top w:w="70" w:type="dxa"/>
              <w:bottom w:w="70" w:type="dxa"/>
              <w:left w:w="90" w:type="dxa"/>
              <w:right w:w="90" w:type="dxa"/>
            </w:tcMar>
          </w:tcPr>
          <w:p>
            <w:pPr>
              <w:spacing w:after="0" w:line="276" w:lineRule="auto"/>
              <w:jc w:val="center"/>
            </w:pPr>
            <w:r>
              <w:rPr>
                <w:b w:val="0"/>
                <w:sz w:val="20"/>
              </w:rPr>
              <w:t>保留方向积累并减少无效重复</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DGEA改进</w:t>
            </w:r>
          </w:p>
        </w:tc>
        <w:tc>
          <w:tcPr>
            <w:tcW w:type="dxa" w:w="4309"/>
            <w:vAlign w:val="center"/>
            <w:tcMar>
              <w:top w:w="70" w:type="dxa"/>
              <w:bottom w:w="70" w:type="dxa"/>
              <w:left w:w="90" w:type="dxa"/>
              <w:right w:w="90" w:type="dxa"/>
            </w:tcMar>
          </w:tcPr>
          <w:p>
            <w:pPr>
              <w:spacing w:after="0" w:line="276" w:lineRule="auto"/>
              <w:jc w:val="center"/>
            </w:pPr>
            <w:r>
              <w:rPr>
                <w:b w:val="0"/>
                <w:sz w:val="20"/>
              </w:rPr>
              <w:t>预选择与等级 真实起点 物理细化</w:t>
            </w:r>
          </w:p>
        </w:tc>
        <w:tc>
          <w:tcPr>
            <w:tcW w:type="dxa" w:w="3798"/>
            <w:vAlign w:val="center"/>
            <w:tcMar>
              <w:top w:w="70" w:type="dxa"/>
              <w:bottom w:w="70" w:type="dxa"/>
              <w:left w:w="90" w:type="dxa"/>
              <w:right w:w="90" w:type="dxa"/>
            </w:tcMar>
          </w:tcPr>
          <w:p>
            <w:pPr>
              <w:spacing w:after="0" w:line="276" w:lineRule="auto"/>
              <w:jc w:val="center"/>
            </w:pPr>
            <w:r>
              <w:rPr>
                <w:b w:val="0"/>
                <w:sz w:val="20"/>
              </w:rPr>
              <w:t>保持方向结构并提高候选质量</w:t>
            </w:r>
          </w:p>
        </w:tc>
      </w:tr>
      <w:tr>
        <w:trPr>
          <w:cantSplit/>
        </w:trPr>
        <w:tc>
          <w:tcPr>
            <w:tcW w:type="dxa" w:w="1701"/>
            <w:vAlign w:val="center"/>
            <w:tcMar>
              <w:top w:w="70" w:type="dxa"/>
              <w:bottom w:w="70" w:type="dxa"/>
              <w:left w:w="90" w:type="dxa"/>
              <w:right w:w="90" w:type="dxa"/>
            </w:tcMar>
          </w:tcPr>
          <w:p>
            <w:pPr>
              <w:spacing w:after="0" w:line="276" w:lineRule="auto"/>
              <w:jc w:val="center"/>
            </w:pPr>
            <w:r>
              <w:rPr>
                <w:b w:val="0"/>
                <w:sz w:val="20"/>
              </w:rPr>
              <w:t>实验与核查</w:t>
            </w:r>
          </w:p>
        </w:tc>
        <w:tc>
          <w:tcPr>
            <w:tcW w:type="dxa" w:w="4309"/>
            <w:vAlign w:val="center"/>
            <w:tcMar>
              <w:top w:w="70" w:type="dxa"/>
              <w:bottom w:w="70" w:type="dxa"/>
              <w:left w:w="90" w:type="dxa"/>
              <w:right w:w="90" w:type="dxa"/>
            </w:tcMar>
          </w:tcPr>
          <w:p>
            <w:pPr>
              <w:spacing w:after="0" w:line="276" w:lineRule="auto"/>
              <w:jc w:val="left"/>
            </w:pPr>
            <w:r>
              <w:rPr>
                <w:b w:val="0"/>
                <w:sz w:val="20"/>
              </w:rPr>
              <w:t>180次记录 统计 图表 可行布局 核查结果</w:t>
            </w:r>
          </w:p>
        </w:tc>
        <w:tc>
          <w:tcPr>
            <w:tcW w:type="dxa" w:w="3798"/>
            <w:vAlign w:val="center"/>
            <w:tcMar>
              <w:top w:w="70" w:type="dxa"/>
              <w:bottom w:w="70" w:type="dxa"/>
              <w:left w:w="90" w:type="dxa"/>
              <w:right w:w="90" w:type="dxa"/>
            </w:tcMar>
          </w:tcPr>
          <w:p>
            <w:pPr>
              <w:spacing w:after="0" w:line="276" w:lineRule="auto"/>
              <w:jc w:val="center"/>
            </w:pPr>
            <w:r>
              <w:rPr>
                <w:b w:val="0"/>
                <w:sz w:val="20"/>
              </w:rPr>
              <w:t>判断整体改进是否有效并支持结论</w:t>
            </w:r>
          </w:p>
        </w:tc>
      </w:tr>
    </w:tbl>
    <w:p>
      <w:pPr>
        <w:spacing w:after="20" w:before="0" w:line="240" w:lineRule="auto"/>
      </w:pPr>
      <w:r>
        <w:rPr>
          <w:sz w:val="2"/>
        </w:rPr>
      </w:r>
    </w:p>
    <w:p>
      <w:r>
        <w:t>一次完整处理过程是：接收候选点与冲突图，产生随机键，解码和修复得到400个机位，计算三目标，根据目标值选择下一批候选，最后把全部已访问可行布局整理成Pareto解集。改进算子发生在搜索过程中，结果统计在统一规则下完成。</w:t>
      </w:r>
    </w:p>
    <w:p>
      <w:pPr>
        <w:pStyle w:val="Heading2"/>
      </w:pPr>
      <w:r>
        <w:t>查看对应的实现与结果</w:t>
      </w:r>
    </w:p>
    <w:p>
      <w:pPr>
        <w:spacing w:after="60"/>
      </w:pPr>
      <w:hyperlink r:id="rId10">
        <w:r>
          <w:rPr>
            <w:color w:val="24527A"/>
            <w:sz w:val="19"/>
          </w:rPr>
          <w:t>数据与约束  地形采样 合法候选点和坡度过滤</w:t>
        </w:r>
      </w:hyperlink>
    </w:p>
    <w:p>
      <w:pPr>
        <w:spacing w:after="60"/>
      </w:pPr>
      <w:hyperlink r:id="rId11">
        <w:r>
          <w:rPr>
            <w:color w:val="24527A"/>
            <w:sz w:val="19"/>
          </w:rPr>
          <w:t>三目标模型  发电量 连接成本与有效面积</w:t>
        </w:r>
      </w:hyperlink>
    </w:p>
    <w:p>
      <w:pPr>
        <w:spacing w:after="60"/>
      </w:pPr>
      <w:hyperlink r:id="rId12">
        <w:r>
          <w:rPr>
            <w:color w:val="24527A"/>
            <w:sz w:val="19"/>
          </w:rPr>
          <w:t>CCGDE3改进  可行协作与跨组交换</w:t>
        </w:r>
      </w:hyperlink>
    </w:p>
    <w:p>
      <w:pPr>
        <w:spacing w:after="60"/>
      </w:pPr>
      <w:hyperlink r:id="rId13">
        <w:r>
          <w:rPr>
            <w:color w:val="24527A"/>
            <w:sz w:val="19"/>
          </w:rPr>
          <w:t>LMOCSO与DGEA改进  状态保留 方向与物理细化</w:t>
        </w:r>
      </w:hyperlink>
    </w:p>
    <w:p>
      <w:pPr>
        <w:spacing w:after="60"/>
      </w:pPr>
      <w:hyperlink r:id="rId14">
        <w:r>
          <w:rPr>
            <w:color w:val="24527A"/>
            <w:sz w:val="19"/>
          </w:rPr>
          <w:t>正式实验统计  每组的均值 标准差和重复率</w:t>
        </w:r>
      </w:hyperlink>
    </w:p>
    <w:p>
      <w:pPr>
        <w:spacing w:after="60"/>
      </w:pPr>
      <w:hyperlink r:id="rId15">
        <w:r>
          <w:rPr>
            <w:color w:val="24527A"/>
            <w:sz w:val="19"/>
          </w:rPr>
          <w:t>配对检验结果  胜负和Holm校正</w:t>
        </w:r>
      </w:hyperlink>
    </w:p>
    <w:p>
      <w:pPr>
        <w:spacing w:after="60"/>
      </w:pPr>
      <w:hyperlink r:id="rId16">
        <w:r>
          <w:rPr>
            <w:color w:val="24527A"/>
            <w:sz w:val="19"/>
          </w:rPr>
          <w:t>完整研究汇报书  公式 参数 算法与结果图</w:t>
        </w:r>
      </w:hyperlink>
    </w:p>
    <w:p>
      <w:r>
        <w:t>正式算法入口采用V6的CCGDE3改进与V7的LMOCSO、DGEA改进。各成员可以沿着本页入口，把自己的工作说明与实际实现、保存结果对应起来。</w:t>
      </w:r>
    </w:p>
    <w:sectPr w:rsidR="00FC693F" w:rsidRPr="0006063C" w:rsidSect="00034616">
      <w:footerReference w:type="default" r:id="rId9"/>
      <w:pgSz w:w="12240" w:h="15840"/>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93" w:lineRule="auto"/>
    </w:pPr>
    <w:rPr>
      <w:rFonts w:ascii="等线" w:hAnsi="等线" w:eastAsia="等线"/>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93" w:lineRule="auto"/>
      <w:outlineLvl w:val="0"/>
    </w:pPr>
    <w:rPr>
      <w:rFonts w:asciiTheme="majorHAnsi" w:eastAsiaTheme="majorEastAsia" w:hAnsiTheme="majorHAnsi" w:cstheme="majorBidi" w:ascii="微软雅黑" w:hAnsi="微软雅黑"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93" w:lineRule="auto"/>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93" w:lineRule="auto"/>
      <w:contextualSpacing/>
    </w:pPr>
    <w:rPr>
      <w:rFonts w:asciiTheme="majorHAnsi" w:eastAsiaTheme="majorEastAsia" w:hAnsiTheme="majorHAnsi" w:cstheme="majorBidi" w:ascii="微软雅黑" w:hAnsi="微软雅黑"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93" w:lineRule="auto"/>
    </w:pPr>
    <w:rPr>
      <w:rFonts w:asciiTheme="majorHAnsi" w:eastAsiaTheme="majorEastAsia" w:hAnsiTheme="majorHAnsi" w:cstheme="majorBidi" w:ascii="等线" w:hAnsi="等线" w:eastAsia="等线"/>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00"/>
    </w:pPr>
    <w:rPr>
      <w:rFonts w:ascii="等线" w:hAnsi="等线" w:eastAsia="等线"/>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l1160/XTU-Algorithm-Design/blob/main/windfarm_terrain_v5/terrain.py#L150" TargetMode="External"/><Relationship Id="rId11" Type="http://schemas.openxmlformats.org/officeDocument/2006/relationships/hyperlink" Target="https://github.com/l1160/XTU-Algorithm-Design/blob/main/windfarm_research_v7/model.py#L98" TargetMode="External"/><Relationship Id="rId12" Type="http://schemas.openxmlformats.org/officeDocument/2006/relationships/hyperlink" Target="https://github.com/l1160/XTU-Algorithm-Design/blob/main/windfarm_research_v6/engines.py#L225" TargetMode="External"/><Relationship Id="rId13" Type="http://schemas.openxmlformats.org/officeDocument/2006/relationships/hyperlink" Target="https://github.com/l1160/XTU-Algorithm-Design/blob/main/windfarm_research_v7/engines.py#L29" TargetMode="External"/><Relationship Id="rId14" Type="http://schemas.openxmlformats.org/officeDocument/2006/relationships/hyperlink" Target="https://github.com/l1160/XTU-Algorithm-Design/blob/main/reference_results/confirmation_20261024/analysis/summary.csv" TargetMode="External"/><Relationship Id="rId15" Type="http://schemas.openxmlformats.org/officeDocument/2006/relationships/hyperlink" Target="https://github.com/l1160/XTU-Algorithm-Design/blob/main/reference_results/confirmation_20261024/analysis/primary_tests.csv" TargetMode="External"/><Relationship Id="rId16" Type="http://schemas.openxmlformats.org/officeDocument/2006/relationships/hyperlink" Target="https://github.com/l1160/XTU-Algorithm-Design/blob/main/reports/&#35838;&#39064;&#30740;&#31350;&#27719;&#25253;&#2007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风电场布局优化课题成员工作说明</dc:title>
  <dc:subject>各成员分工对应的研究工作 方法原因与完成结果</dc:subject>
  <dc:creator>钟磊</dc:creator>
  <cp:keywords>风电场布局;成员工作;数学建模;算法改进;实验结果</cp:keywords>
  <dc:description>generated by python-docx</dc:description>
  <cp:lastModifiedBy/>
  <cp:revision>1</cp:revision>
  <dcterms:created xsi:type="dcterms:W3CDTF">2013-12-23T23:15:00Z</dcterms:created>
  <dcterms:modified xsi:type="dcterms:W3CDTF">2013-12-23T23:15:00Z</dcterms:modified>
  <cp:category/>
</cp:coreProperties>
</file>