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9661A" w14:textId="77777777" w:rsidR="008E439A" w:rsidRDefault="00000000">
      <w:pPr>
        <w:pStyle w:val="1"/>
        <w:spacing w:before="80" w:after="600"/>
      </w:pPr>
      <w:r>
        <w:rPr>
          <w:rFonts w:ascii="楷体" w:hAnsi="楷体" w:cs="楷体"/>
        </w:rPr>
        <w:t>计算机学院</w:t>
      </w:r>
    </w:p>
    <w:p w14:paraId="725ECA5C" w14:textId="77777777" w:rsidR="008E439A" w:rsidRDefault="00000000">
      <w:pPr>
        <w:pStyle w:val="1"/>
        <w:spacing w:after="840"/>
      </w:pPr>
      <w:r>
        <w:rPr>
          <w:rFonts w:ascii="楷体" w:hAnsi="楷体" w:cs="楷体"/>
        </w:rPr>
        <w:t>课题研究汇报书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5216"/>
      </w:tblGrid>
      <w:tr w:rsidR="008E439A" w14:paraId="40F5EDFD" w14:textId="77777777">
        <w:trPr>
          <w:jc w:val="center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6203C" w14:textId="77777777" w:rsidR="008E439A" w:rsidRDefault="00000000">
            <w:pPr>
              <w:spacing w:before="240" w:after="180"/>
              <w:ind w:firstLine="0"/>
              <w:jc w:val="left"/>
            </w:pPr>
            <w:r>
              <w:rPr>
                <w:rFonts w:ascii="楷体" w:eastAsia="楷体" w:hAnsi="楷体" w:cs="楷体"/>
                <w:sz w:val="28"/>
              </w:rPr>
              <w:t>教学单位：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5" w:space="0" w:color="000000"/>
              <w:right w:val="nil"/>
            </w:tcBorders>
            <w:vAlign w:val="center"/>
          </w:tcPr>
          <w:p w14:paraId="698F7E87" w14:textId="77777777" w:rsidR="008E439A" w:rsidRDefault="00000000">
            <w:pPr>
              <w:spacing w:before="240" w:after="180"/>
              <w:ind w:firstLine="0"/>
              <w:jc w:val="center"/>
            </w:pPr>
            <w:r>
              <w:rPr>
                <w:rFonts w:ascii="楷体" w:eastAsia="楷体" w:hAnsi="楷体" w:cs="楷体"/>
                <w:sz w:val="32"/>
              </w:rPr>
              <w:t>计算机学院</w:t>
            </w:r>
          </w:p>
        </w:tc>
      </w:tr>
      <w:tr w:rsidR="008E439A" w14:paraId="7744F5B7" w14:textId="77777777">
        <w:trPr>
          <w:jc w:val="center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7E0CC" w14:textId="77777777" w:rsidR="008E439A" w:rsidRDefault="00000000">
            <w:pPr>
              <w:spacing w:before="240" w:after="180"/>
              <w:ind w:firstLine="0"/>
              <w:jc w:val="left"/>
            </w:pPr>
            <w:r>
              <w:rPr>
                <w:rFonts w:ascii="楷体" w:eastAsia="楷体" w:hAnsi="楷体" w:cs="楷体"/>
                <w:sz w:val="28"/>
              </w:rPr>
              <w:t>课题名称：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5" w:space="0" w:color="000000"/>
              <w:right w:val="nil"/>
            </w:tcBorders>
            <w:vAlign w:val="center"/>
          </w:tcPr>
          <w:p w14:paraId="6A37BC70" w14:textId="77777777" w:rsidR="008E439A" w:rsidRDefault="00000000">
            <w:pPr>
              <w:spacing w:before="240" w:after="180"/>
              <w:ind w:firstLine="0"/>
              <w:jc w:val="center"/>
            </w:pPr>
            <w:r>
              <w:rPr>
                <w:rFonts w:ascii="楷体" w:eastAsia="楷体" w:hAnsi="楷体" w:cs="楷体"/>
                <w:sz w:val="28"/>
              </w:rPr>
              <w:t>考虑位置禁布约束的大规模</w:t>
            </w:r>
            <w:r>
              <w:rPr>
                <w:rFonts w:ascii="楷体" w:eastAsia="楷体" w:hAnsi="楷体" w:cs="楷体"/>
                <w:sz w:val="28"/>
              </w:rPr>
              <w:br/>
              <w:t>多目标风电场布局优化</w:t>
            </w:r>
          </w:p>
        </w:tc>
      </w:tr>
      <w:tr w:rsidR="008E439A" w14:paraId="2EC82F72" w14:textId="77777777">
        <w:trPr>
          <w:jc w:val="center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3764D" w14:textId="77777777" w:rsidR="008E439A" w:rsidRDefault="00000000">
            <w:pPr>
              <w:spacing w:before="240" w:after="180"/>
              <w:ind w:firstLine="0"/>
              <w:jc w:val="left"/>
            </w:pPr>
            <w:r>
              <w:rPr>
                <w:rFonts w:ascii="楷体" w:eastAsia="楷体" w:hAnsi="楷体" w:cs="楷体"/>
                <w:sz w:val="28"/>
              </w:rPr>
              <w:t>课题类型：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5" w:space="0" w:color="000000"/>
              <w:right w:val="nil"/>
            </w:tcBorders>
            <w:vAlign w:val="center"/>
          </w:tcPr>
          <w:p w14:paraId="532E3586" w14:textId="77777777" w:rsidR="008E439A" w:rsidRDefault="00000000">
            <w:pPr>
              <w:spacing w:before="240" w:after="180"/>
              <w:ind w:firstLine="0"/>
              <w:jc w:val="center"/>
            </w:pPr>
            <w:r>
              <w:rPr>
                <w:rFonts w:ascii="楷体" w:eastAsia="楷体" w:hAnsi="楷体" w:cs="楷体"/>
                <w:sz w:val="32"/>
              </w:rPr>
              <w:t>算法训练课题</w:t>
            </w:r>
          </w:p>
        </w:tc>
      </w:tr>
      <w:tr w:rsidR="008E439A" w14:paraId="0888C100" w14:textId="77777777">
        <w:trPr>
          <w:jc w:val="center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0F31E" w14:textId="77777777" w:rsidR="008E439A" w:rsidRDefault="00000000">
            <w:pPr>
              <w:spacing w:before="240" w:after="180"/>
              <w:ind w:firstLine="0"/>
              <w:jc w:val="left"/>
            </w:pPr>
            <w:r>
              <w:rPr>
                <w:rFonts w:ascii="楷体" w:eastAsia="楷体" w:hAnsi="楷体" w:cs="楷体"/>
                <w:sz w:val="28"/>
              </w:rPr>
              <w:t>负责人：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5" w:space="0" w:color="000000"/>
              <w:right w:val="nil"/>
            </w:tcBorders>
            <w:vAlign w:val="center"/>
          </w:tcPr>
          <w:p w14:paraId="7B0BA368" w14:textId="77777777" w:rsidR="008E439A" w:rsidRDefault="00000000">
            <w:pPr>
              <w:spacing w:before="240" w:after="180"/>
              <w:ind w:firstLine="0"/>
              <w:jc w:val="center"/>
            </w:pPr>
            <w:r>
              <w:rPr>
                <w:rFonts w:ascii="楷体" w:eastAsia="楷体" w:hAnsi="楷体" w:cs="楷体"/>
                <w:sz w:val="32"/>
              </w:rPr>
              <w:t xml:space="preserve"> </w:t>
            </w:r>
          </w:p>
        </w:tc>
      </w:tr>
      <w:tr w:rsidR="008E439A" w14:paraId="034665FA" w14:textId="77777777">
        <w:trPr>
          <w:jc w:val="center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0C5FD" w14:textId="77777777" w:rsidR="008E439A" w:rsidRDefault="00000000">
            <w:pPr>
              <w:spacing w:before="240" w:after="180"/>
              <w:ind w:firstLine="0"/>
              <w:jc w:val="left"/>
            </w:pPr>
            <w:r>
              <w:rPr>
                <w:rFonts w:ascii="楷体" w:eastAsia="楷体" w:hAnsi="楷体" w:cs="楷体"/>
                <w:sz w:val="28"/>
              </w:rPr>
              <w:t>学号：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5" w:space="0" w:color="000000"/>
              <w:right w:val="nil"/>
            </w:tcBorders>
            <w:vAlign w:val="center"/>
          </w:tcPr>
          <w:p w14:paraId="78983C18" w14:textId="77777777" w:rsidR="008E439A" w:rsidRDefault="00000000">
            <w:pPr>
              <w:spacing w:before="240" w:after="180"/>
              <w:ind w:firstLine="0"/>
              <w:jc w:val="center"/>
            </w:pPr>
            <w:r>
              <w:rPr>
                <w:rFonts w:ascii="楷体" w:eastAsia="楷体" w:hAnsi="楷体" w:cs="楷体"/>
                <w:sz w:val="32"/>
              </w:rPr>
              <w:t xml:space="preserve"> </w:t>
            </w:r>
          </w:p>
        </w:tc>
      </w:tr>
      <w:tr w:rsidR="008E439A" w14:paraId="16B82B1B" w14:textId="77777777">
        <w:trPr>
          <w:jc w:val="center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2CD36" w14:textId="77777777" w:rsidR="008E439A" w:rsidRDefault="00000000">
            <w:pPr>
              <w:spacing w:before="240" w:after="180"/>
              <w:ind w:firstLine="0"/>
              <w:jc w:val="left"/>
            </w:pPr>
            <w:r>
              <w:rPr>
                <w:rFonts w:ascii="楷体" w:eastAsia="楷体" w:hAnsi="楷体" w:cs="楷体"/>
                <w:sz w:val="28"/>
              </w:rPr>
              <w:t>指导教师：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5" w:space="0" w:color="000000"/>
              <w:right w:val="nil"/>
            </w:tcBorders>
            <w:vAlign w:val="center"/>
          </w:tcPr>
          <w:p w14:paraId="52475C99" w14:textId="77777777" w:rsidR="008E439A" w:rsidRDefault="00000000">
            <w:pPr>
              <w:spacing w:before="240" w:after="180"/>
              <w:ind w:firstLine="0"/>
              <w:jc w:val="center"/>
            </w:pPr>
            <w:r>
              <w:rPr>
                <w:rFonts w:ascii="楷体" w:eastAsia="楷体" w:hAnsi="楷体" w:cs="楷体"/>
                <w:sz w:val="32"/>
              </w:rPr>
              <w:t xml:space="preserve"> </w:t>
            </w:r>
          </w:p>
        </w:tc>
      </w:tr>
    </w:tbl>
    <w:p w14:paraId="325A7643" w14:textId="77777777" w:rsidR="008E439A" w:rsidRDefault="00000000">
      <w:pPr>
        <w:widowControl/>
        <w:spacing w:after="720" w:line="240" w:lineRule="auto"/>
        <w:ind w:firstLine="0"/>
      </w:pPr>
      <w:r>
        <w:rPr>
          <w:rFonts w:ascii="Times New Roman" w:eastAsia="楷体" w:hAnsi="Times New Roman" w:cs="Times New Roman"/>
          <w:sz w:val="2"/>
        </w:rPr>
        <w:t xml:space="preserve"> </w:t>
      </w:r>
    </w:p>
    <w:p w14:paraId="5377BECE" w14:textId="77777777" w:rsidR="008E439A" w:rsidRDefault="00000000">
      <w:pPr>
        <w:widowControl/>
        <w:ind w:firstLine="0"/>
        <w:jc w:val="center"/>
      </w:pPr>
      <w:r>
        <w:rPr>
          <w:rFonts w:ascii="Times New Roman" w:eastAsia="楷体" w:hAnsi="Times New Roman" w:cs="Times New Roman"/>
          <w:sz w:val="28"/>
        </w:rPr>
        <w:t xml:space="preserve">2026 </w:t>
      </w:r>
      <w:r>
        <w:rPr>
          <w:rFonts w:ascii="Times New Roman" w:eastAsia="楷体" w:hAnsi="Times New Roman" w:cs="Times New Roman"/>
          <w:sz w:val="28"/>
        </w:rPr>
        <w:t>年</w:t>
      </w:r>
      <w:r>
        <w:rPr>
          <w:rFonts w:ascii="Times New Roman" w:eastAsia="楷体" w:hAnsi="Times New Roman" w:cs="Times New Roman"/>
          <w:sz w:val="28"/>
        </w:rPr>
        <w:t xml:space="preserve"> 10 </w:t>
      </w:r>
      <w:r>
        <w:rPr>
          <w:rFonts w:ascii="Times New Roman" w:eastAsia="楷体" w:hAnsi="Times New Roman" w:cs="Times New Roman"/>
          <w:sz w:val="28"/>
        </w:rPr>
        <w:t>月</w:t>
      </w:r>
      <w:r>
        <w:rPr>
          <w:rFonts w:ascii="Times New Roman" w:eastAsia="楷体" w:hAnsi="Times New Roman" w:cs="Times New Roman"/>
          <w:sz w:val="28"/>
        </w:rPr>
        <w:t xml:space="preserve"> 25 </w:t>
      </w:r>
      <w:r>
        <w:rPr>
          <w:rFonts w:ascii="Times New Roman" w:eastAsia="楷体" w:hAnsi="Times New Roman" w:cs="Times New Roman"/>
          <w:sz w:val="28"/>
        </w:rPr>
        <w:t>日</w:t>
      </w:r>
    </w:p>
    <w:p w14:paraId="33DFD634" w14:textId="77777777" w:rsidR="008E439A" w:rsidRDefault="008E439A">
      <w:pPr>
        <w:sectPr w:rsidR="008E439A">
          <w:pgSz w:w="11910" w:h="16840"/>
          <w:pgMar w:top="1580" w:right="960" w:bottom="280" w:left="1240" w:header="720" w:footer="720" w:gutter="0"/>
          <w:cols w:space="720"/>
        </w:sectPr>
      </w:pPr>
    </w:p>
    <w:p w14:paraId="2D295BEA" w14:textId="77777777" w:rsidR="008E439A" w:rsidRDefault="00000000">
      <w:pPr>
        <w:pStyle w:val="11"/>
        <w:ind w:left="228" w:right="237"/>
      </w:pPr>
      <w:r>
        <w:rPr>
          <w:rFonts w:cs="Times New Roman"/>
        </w:rPr>
        <w:lastRenderedPageBreak/>
        <w:t>摘要</w:t>
      </w:r>
    </w:p>
    <w:p w14:paraId="26B7DD60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本课题研究固定装机容量下的风电场离散选址问题。场址中的禁布区域与最小机间距压缩了可行空间，尾流又使各机位的发电收益相互关联；同时追求高发电量、低度电成本和紧凑用地，需要求解一组具有不同工程取舍的布局。我们建立了包含转子重叠尾流、连接成本和有效开发包络面积的三目标模型，以</w:t>
      </w:r>
      <w:r>
        <w:rPr>
          <w:rFonts w:ascii="Times New Roman" w:eastAsia="楷体" w:hAnsi="Times New Roman" w:cs="Times New Roman"/>
        </w:rPr>
        <w:t>CCGDE3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LMOCSO</w:t>
      </w:r>
      <w:r>
        <w:rPr>
          <w:rFonts w:ascii="Times New Roman" w:eastAsia="楷体" w:hAnsi="Times New Roman" w:cs="Times New Roman"/>
        </w:rPr>
        <w:t>和</w:t>
      </w:r>
      <w:r>
        <w:rPr>
          <w:rFonts w:ascii="Times New Roman" w:eastAsia="楷体" w:hAnsi="Times New Roman" w:cs="Times New Roman"/>
        </w:rPr>
        <w:t>DGEA</w:t>
      </w:r>
      <w:r>
        <w:rPr>
          <w:rFonts w:ascii="Times New Roman" w:eastAsia="楷体" w:hAnsi="Times New Roman" w:cs="Times New Roman"/>
        </w:rPr>
        <w:t>为基线，分别从可行协作上下文、搜索状态保留和物理信息引导交换三个方面改进求解过程。</w:t>
      </w:r>
    </w:p>
    <w:p w14:paraId="76B47CA5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在</w:t>
      </w:r>
      <w:r>
        <w:rPr>
          <w:rFonts w:ascii="Times New Roman" w:eastAsia="楷体" w:hAnsi="Times New Roman" w:cs="Times New Roman"/>
        </w:rPr>
        <w:t>800</w:t>
      </w:r>
      <w:r>
        <w:rPr>
          <w:rFonts w:ascii="Times New Roman" w:eastAsia="楷体" w:hAnsi="Times New Roman" w:cs="Times New Roman"/>
        </w:rPr>
        <w:t>与</w:t>
      </w:r>
      <w:r>
        <w:rPr>
          <w:rFonts w:ascii="Times New Roman" w:eastAsia="楷体" w:hAnsi="Times New Roman" w:cs="Times New Roman"/>
        </w:rPr>
        <w:t>1600</w:t>
      </w:r>
      <w:r>
        <w:rPr>
          <w:rFonts w:ascii="Times New Roman" w:eastAsia="楷体" w:hAnsi="Times New Roman" w:cs="Times New Roman"/>
        </w:rPr>
        <w:t>个候选点、</w:t>
      </w:r>
      <w:r>
        <w:rPr>
          <w:rFonts w:ascii="Times New Roman" w:eastAsia="楷体" w:hAnsi="Times New Roman" w:cs="Times New Roman"/>
        </w:rPr>
        <w:t>400</w:t>
      </w:r>
      <w:r>
        <w:rPr>
          <w:rFonts w:ascii="Times New Roman" w:eastAsia="楷体" w:hAnsi="Times New Roman" w:cs="Times New Roman"/>
        </w:rPr>
        <w:t>台风机的三个算例上，采用</w:t>
      </w:r>
      <w:r>
        <w:rPr>
          <w:rFonts w:ascii="Times New Roman" w:eastAsia="楷体" w:hAnsi="Times New Roman" w:cs="Times New Roman"/>
        </w:rPr>
        <w:t>10</w:t>
      </w:r>
      <w:r>
        <w:rPr>
          <w:rFonts w:ascii="Times New Roman" w:eastAsia="楷体" w:hAnsi="Times New Roman" w:cs="Times New Roman"/>
        </w:rPr>
        <w:t>个新随机种子完成</w:t>
      </w:r>
      <w:r>
        <w:rPr>
          <w:rFonts w:ascii="Times New Roman" w:eastAsia="楷体" w:hAnsi="Times New Roman" w:cs="Times New Roman"/>
        </w:rPr>
        <w:t>180</w:t>
      </w:r>
      <w:r>
        <w:rPr>
          <w:rFonts w:ascii="Times New Roman" w:eastAsia="楷体" w:hAnsi="Times New Roman" w:cs="Times New Roman"/>
        </w:rPr>
        <w:t>次对比运行。全部</w:t>
      </w:r>
      <w:r>
        <w:rPr>
          <w:rFonts w:ascii="Times New Roman" w:eastAsia="楷体" w:hAnsi="Times New Roman" w:cs="Times New Roman"/>
        </w:rPr>
        <w:t>180</w:t>
      </w:r>
      <w:r>
        <w:rPr>
          <w:rFonts w:ascii="Times New Roman" w:eastAsia="楷体" w:hAnsi="Times New Roman" w:cs="Times New Roman"/>
        </w:rPr>
        <w:t>万条布局记录满足硬约束。</w:t>
      </w:r>
      <w:r>
        <w:rPr>
          <w:rFonts w:ascii="Times New Roman" w:eastAsia="楷体" w:hAnsi="Times New Roman" w:cs="Times New Roman"/>
        </w:rPr>
        <w:t>LMOCSO</w:t>
      </w:r>
      <w:r>
        <w:rPr>
          <w:rFonts w:ascii="Times New Roman" w:eastAsia="楷体" w:hAnsi="Times New Roman" w:cs="Times New Roman"/>
        </w:rPr>
        <w:t>与</w:t>
      </w:r>
      <w:r>
        <w:rPr>
          <w:rFonts w:ascii="Times New Roman" w:eastAsia="楷体" w:hAnsi="Times New Roman" w:cs="Times New Roman"/>
        </w:rPr>
        <w:t>DGEA</w:t>
      </w:r>
      <w:r>
        <w:rPr>
          <w:rFonts w:ascii="Times New Roman" w:eastAsia="楷体" w:hAnsi="Times New Roman" w:cs="Times New Roman"/>
        </w:rPr>
        <w:t>改进版在三个算例、两种主要比较口径下均取得</w:t>
      </w:r>
      <w:r>
        <w:rPr>
          <w:rFonts w:ascii="Times New Roman" w:eastAsia="楷体" w:hAnsi="Times New Roman" w:cs="Times New Roman"/>
        </w:rPr>
        <w:t>10</w:t>
      </w:r>
      <w:r>
        <w:rPr>
          <w:rFonts w:ascii="Times New Roman" w:eastAsia="楷体" w:hAnsi="Times New Roman" w:cs="Times New Roman"/>
        </w:rPr>
        <w:t>次配对全胜，</w:t>
      </w:r>
      <w:r>
        <w:rPr>
          <w:rFonts w:ascii="Times New Roman" w:eastAsia="楷体" w:hAnsi="Times New Roman" w:cs="Times New Roman"/>
        </w:rPr>
        <w:t>Holm</w:t>
      </w:r>
      <w:r>
        <w:rPr>
          <w:rFonts w:ascii="Times New Roman" w:eastAsia="楷体" w:hAnsi="Times New Roman" w:cs="Times New Roman"/>
        </w:rPr>
        <w:t>校正后的</w:t>
      </w:r>
      <w:r>
        <w:rPr>
          <w:rFonts w:ascii="Times New Roman" w:eastAsia="楷体" w:hAnsi="Times New Roman" w:cs="Times New Roman"/>
        </w:rPr>
        <w:t>p</w:t>
      </w:r>
      <w:r>
        <w:rPr>
          <w:rFonts w:ascii="Times New Roman" w:eastAsia="楷体" w:hAnsi="Times New Roman" w:cs="Times New Roman"/>
        </w:rPr>
        <w:t>值均为</w:t>
      </w:r>
      <w:r>
        <w:rPr>
          <w:rFonts w:ascii="Times New Roman" w:eastAsia="楷体" w:hAnsi="Times New Roman" w:cs="Times New Roman"/>
        </w:rPr>
        <w:t>0.0352</w:t>
      </w:r>
      <w:r>
        <w:rPr>
          <w:rFonts w:ascii="Times New Roman" w:eastAsia="楷体" w:hAnsi="Times New Roman" w:cs="Times New Roman"/>
        </w:rPr>
        <w:t>；</w:t>
      </w:r>
      <w:r>
        <w:rPr>
          <w:rFonts w:ascii="Times New Roman" w:eastAsia="楷体" w:hAnsi="Times New Roman" w:cs="Times New Roman"/>
        </w:rPr>
        <w:t>CCGDE3</w:t>
      </w:r>
      <w:r>
        <w:rPr>
          <w:rFonts w:ascii="Times New Roman" w:eastAsia="楷体" w:hAnsi="Times New Roman" w:cs="Times New Roman"/>
        </w:rPr>
        <w:t>改进版的平均</w:t>
      </w:r>
      <w:r>
        <w:rPr>
          <w:rFonts w:ascii="Times New Roman" w:eastAsia="楷体" w:hAnsi="Times New Roman" w:cs="Times New Roman"/>
        </w:rPr>
        <w:t>CPU</w:t>
      </w:r>
      <w:r>
        <w:rPr>
          <w:rFonts w:ascii="Times New Roman" w:eastAsia="楷体" w:hAnsi="Times New Roman" w:cs="Times New Roman"/>
        </w:rPr>
        <w:t>耗时降低</w:t>
      </w:r>
      <w:r>
        <w:rPr>
          <w:rFonts w:ascii="Times New Roman" w:eastAsia="楷体" w:hAnsi="Times New Roman" w:cs="Times New Roman"/>
        </w:rPr>
        <w:t>22.30%</w:t>
      </w:r>
      <w:r>
        <w:rPr>
          <w:rFonts w:ascii="Times New Roman" w:eastAsia="楷体" w:hAnsi="Times New Roman" w:cs="Times New Roman"/>
        </w:rPr>
        <w:t>至</w:t>
      </w:r>
      <w:r>
        <w:rPr>
          <w:rFonts w:ascii="Times New Roman" w:eastAsia="楷体" w:hAnsi="Times New Roman" w:cs="Times New Roman"/>
        </w:rPr>
        <w:t>31.15%</w:t>
      </w:r>
      <w:r>
        <w:rPr>
          <w:rFonts w:ascii="Times New Roman" w:eastAsia="楷体" w:hAnsi="Times New Roman" w:cs="Times New Roman"/>
        </w:rPr>
        <w:t>，质量优势主要体现在</w:t>
      </w:r>
      <w:r>
        <w:rPr>
          <w:rFonts w:ascii="Times New Roman" w:eastAsia="楷体" w:hAnsi="Times New Roman" w:cs="Times New Roman"/>
        </w:rPr>
        <w:t>800</w:t>
      </w:r>
      <w:r>
        <w:rPr>
          <w:rFonts w:ascii="Times New Roman" w:eastAsia="楷体" w:hAnsi="Times New Roman" w:cs="Times New Roman"/>
        </w:rPr>
        <w:t>候选点算例。结果说明，保持连续搜索状态并加入可行的物理局部交换，能够显著扩展布局的</w:t>
      </w:r>
      <w:r>
        <w:rPr>
          <w:rFonts w:ascii="Times New Roman" w:eastAsia="楷体" w:hAnsi="Times New Roman" w:cs="Times New Roman"/>
        </w:rPr>
        <w:t>Pareto</w:t>
      </w:r>
      <w:r>
        <w:rPr>
          <w:rFonts w:ascii="Times New Roman" w:eastAsia="楷体" w:hAnsi="Times New Roman" w:cs="Times New Roman"/>
        </w:rPr>
        <w:t>权衡范围。不同算法的收益侧重并不相同：</w:t>
      </w:r>
      <w:r>
        <w:rPr>
          <w:rFonts w:ascii="Times New Roman" w:eastAsia="楷体" w:hAnsi="Times New Roman" w:cs="Times New Roman"/>
        </w:rPr>
        <w:t>LMOCSO</w:t>
      </w:r>
      <w:r>
        <w:rPr>
          <w:rFonts w:ascii="Times New Roman" w:eastAsia="楷体" w:hAnsi="Times New Roman" w:cs="Times New Roman"/>
        </w:rPr>
        <w:t>的改进同时减少了重复布局，</w:t>
      </w:r>
      <w:r>
        <w:rPr>
          <w:rFonts w:ascii="Times New Roman" w:eastAsia="楷体" w:hAnsi="Times New Roman" w:cs="Times New Roman"/>
        </w:rPr>
        <w:t>DGEA</w:t>
      </w:r>
      <w:r>
        <w:rPr>
          <w:rFonts w:ascii="Times New Roman" w:eastAsia="楷体" w:hAnsi="Times New Roman" w:cs="Times New Roman"/>
        </w:rPr>
        <w:t>主要提高搜索方向的有效性，</w:t>
      </w:r>
      <w:r>
        <w:rPr>
          <w:rFonts w:ascii="Times New Roman" w:eastAsia="楷体" w:hAnsi="Times New Roman" w:cs="Times New Roman"/>
        </w:rPr>
        <w:t>CCGDE3</w:t>
      </w:r>
      <w:r>
        <w:rPr>
          <w:rFonts w:ascii="Times New Roman" w:eastAsia="楷体" w:hAnsi="Times New Roman" w:cs="Times New Roman"/>
        </w:rPr>
        <w:t>则以计算效率见长。</w:t>
      </w:r>
    </w:p>
    <w:p w14:paraId="051EBECE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关键词</w:t>
      </w:r>
      <w:r>
        <w:rPr>
          <w:rFonts w:ascii="Times New Roman" w:eastAsia="楷体" w:hAnsi="Times New Roman" w:cs="Times New Roman"/>
        </w:rPr>
        <w:t xml:space="preserve">  </w:t>
      </w:r>
      <w:r>
        <w:rPr>
          <w:rFonts w:ascii="Times New Roman" w:eastAsia="楷体" w:hAnsi="Times New Roman" w:cs="Times New Roman"/>
        </w:rPr>
        <w:t>风电场布局</w:t>
      </w:r>
      <w:r>
        <w:rPr>
          <w:rFonts w:ascii="Times New Roman" w:eastAsia="楷体" w:hAnsi="Times New Roman" w:cs="Times New Roman"/>
        </w:rPr>
        <w:t xml:space="preserve">  </w:t>
      </w:r>
      <w:r>
        <w:rPr>
          <w:rFonts w:ascii="Times New Roman" w:eastAsia="楷体" w:hAnsi="Times New Roman" w:cs="Times New Roman"/>
        </w:rPr>
        <w:t>位置禁布约束</w:t>
      </w:r>
      <w:r>
        <w:rPr>
          <w:rFonts w:ascii="Times New Roman" w:eastAsia="楷体" w:hAnsi="Times New Roman" w:cs="Times New Roman"/>
        </w:rPr>
        <w:t xml:space="preserve">  </w:t>
      </w:r>
      <w:r>
        <w:rPr>
          <w:rFonts w:ascii="Times New Roman" w:eastAsia="楷体" w:hAnsi="Times New Roman" w:cs="Times New Roman"/>
        </w:rPr>
        <w:t>多目标优化</w:t>
      </w:r>
      <w:r>
        <w:rPr>
          <w:rFonts w:ascii="Times New Roman" w:eastAsia="楷体" w:hAnsi="Times New Roman" w:cs="Times New Roman"/>
        </w:rPr>
        <w:t xml:space="preserve">  </w:t>
      </w:r>
      <w:r>
        <w:rPr>
          <w:rFonts w:ascii="Times New Roman" w:eastAsia="楷体" w:hAnsi="Times New Roman" w:cs="Times New Roman"/>
        </w:rPr>
        <w:t>大规模演化算法</w:t>
      </w:r>
      <w:r>
        <w:rPr>
          <w:rFonts w:ascii="Times New Roman" w:eastAsia="楷体" w:hAnsi="Times New Roman" w:cs="Times New Roman"/>
        </w:rPr>
        <w:t xml:space="preserve">  </w:t>
      </w:r>
      <w:r>
        <w:rPr>
          <w:rFonts w:ascii="Times New Roman" w:eastAsia="楷体" w:hAnsi="Times New Roman" w:cs="Times New Roman"/>
        </w:rPr>
        <w:t>尾流模型</w:t>
      </w:r>
    </w:p>
    <w:p w14:paraId="078A97DE" w14:textId="77777777" w:rsidR="008E439A" w:rsidRDefault="00000000">
      <w:pPr>
        <w:pStyle w:val="11"/>
        <w:ind w:left="228" w:right="237"/>
      </w:pPr>
      <w:r>
        <w:rPr>
          <w:rFonts w:cs="Times New Roman"/>
        </w:rPr>
        <w:t>一</w:t>
      </w:r>
      <w:r>
        <w:rPr>
          <w:rFonts w:cs="Times New Roman"/>
        </w:rPr>
        <w:t xml:space="preserve"> </w:t>
      </w:r>
      <w:r>
        <w:rPr>
          <w:rFonts w:cs="Times New Roman"/>
        </w:rPr>
        <w:t>课题背景与研究目标</w:t>
      </w:r>
    </w:p>
    <w:p w14:paraId="6AF0C782" w14:textId="77777777" w:rsidR="008E439A" w:rsidRDefault="00000000">
      <w:pPr>
        <w:pStyle w:val="21"/>
        <w:ind w:left="228" w:right="237"/>
      </w:pPr>
      <w:r>
        <w:rPr>
          <w:rFonts w:cs="Times New Roman"/>
        </w:rPr>
        <w:t>风电场布局中的实际矛盾</w:t>
      </w:r>
    </w:p>
    <w:p w14:paraId="3222B858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在场址和风机型号确定后，机位安排仍会明显影响风电场的运行收益。上游风机提取动能后形成尾流，下游机组的有效来流风速随之下降。增大机间距通常有助于减轻尾流，却会扩大场区包络和集电连接长度；压缩布局能够节约空间与部分连接投资，又可能加重机组间的遮挡。这些作用共同决定了布局优化需要同时考察能量、经济性和空间利用，而不能只寻找一个距离最分散或排列最整齐的方案。</w:t>
      </w:r>
    </w:p>
    <w:p w14:paraId="7906D405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位置禁布约束使这一矛盾更加突出。场区内部的限制地块把允许开发区域分割成不规则形状，坡度限制进一步排除部分候选机位。即使每个点单独合法，多个点组合后仍可能违反机间距。因而，优化的基本对象是满足数量与间距要求的机位集合。算法如果频繁产生不可行布局，或者把不同搜索向量反复修复为同一集合，计算预算就难以转化为新的布局方案。</w:t>
      </w:r>
    </w:p>
    <w:p w14:paraId="1600ABAB" w14:textId="77777777" w:rsidR="008E439A" w:rsidRDefault="00000000">
      <w:pPr>
        <w:pStyle w:val="21"/>
        <w:ind w:left="228" w:right="237"/>
      </w:pPr>
      <w:r>
        <w:rPr>
          <w:rFonts w:cs="Times New Roman"/>
        </w:rPr>
        <w:t>研究基础与切入点</w:t>
      </w:r>
    </w:p>
    <w:p w14:paraId="32C68FAC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Jensen</w:t>
      </w:r>
      <w:r>
        <w:rPr>
          <w:rFonts w:ascii="Times New Roman" w:eastAsia="楷体" w:hAnsi="Times New Roman" w:cs="Times New Roman"/>
        </w:rPr>
        <w:t>尾流模型用随下游距离扩张的尾流区域描述速度亏损，结构清晰，适合需要反复计算的大规模布局搜索</w:t>
      </w:r>
      <w:r>
        <w:rPr>
          <w:rFonts w:ascii="Times New Roman" w:eastAsia="楷体" w:hAnsi="Times New Roman" w:cs="Times New Roman"/>
        </w:rPr>
        <w:t>[1]</w:t>
      </w:r>
      <w:r>
        <w:rPr>
          <w:rFonts w:ascii="Times New Roman" w:eastAsia="楷体" w:hAnsi="Times New Roman" w:cs="Times New Roman"/>
        </w:rPr>
        <w:t>。风机阵列模型进一步将风况分布、机组功率特性与多重尾流联系起来</w:t>
      </w:r>
      <w:r>
        <w:rPr>
          <w:rFonts w:ascii="Times New Roman" w:eastAsia="楷体" w:hAnsi="Times New Roman" w:cs="Times New Roman"/>
        </w:rPr>
        <w:t>[2]</w:t>
      </w:r>
      <w:r>
        <w:rPr>
          <w:rFonts w:ascii="Times New Roman" w:eastAsia="楷体" w:hAnsi="Times New Roman" w:cs="Times New Roman"/>
        </w:rPr>
        <w:t>。本课题采用</w:t>
      </w:r>
      <w:proofErr w:type="spellStart"/>
      <w:r>
        <w:rPr>
          <w:rFonts w:ascii="Times New Roman" w:eastAsia="楷体" w:hAnsi="Times New Roman" w:cs="Times New Roman"/>
        </w:rPr>
        <w:t>WindFLO</w:t>
      </w:r>
      <w:proofErr w:type="spellEnd"/>
      <w:r>
        <w:rPr>
          <w:rFonts w:ascii="Times New Roman" w:eastAsia="楷体" w:hAnsi="Times New Roman" w:cs="Times New Roman"/>
        </w:rPr>
        <w:t>提供的风况和障碍物场景</w:t>
      </w:r>
      <w:r>
        <w:rPr>
          <w:rFonts w:ascii="Times New Roman" w:eastAsia="楷体" w:hAnsi="Times New Roman" w:cs="Times New Roman"/>
        </w:rPr>
        <w:t>[3]</w:t>
      </w:r>
      <w:r>
        <w:rPr>
          <w:rFonts w:ascii="Times New Roman" w:eastAsia="楷体" w:hAnsi="Times New Roman" w:cs="Times New Roman"/>
        </w:rPr>
        <w:t>，将发电、连接成本与开发包络统一到同一个评价过程，并以转子与尾流截面的实际重叠比例处理部分尾流。这样既保留了主要的布局相互作用，也能够支撑数十万次以上的重复评价。</w:t>
      </w:r>
    </w:p>
    <w:p w14:paraId="06827714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lastRenderedPageBreak/>
        <w:t>大规模多目标算法在连续基准问题上的搜索机制，为本课题提供了不同切入点。协同进化通过分组降低单次搜索的变量规模，竞争群优化让较差个体学习较好个体，方向引导方法则用种群几何关系组织后代。将它们用于离散风电场时，关键在于连接</w:t>
      </w:r>
      <w:r>
        <w:rPr>
          <w:rFonts w:ascii="Times New Roman" w:eastAsia="楷体" w:hAnsi="Times New Roman" w:cs="Times New Roman"/>
        </w:rPr>
        <w:t>“</w:t>
      </w:r>
      <w:r>
        <w:rPr>
          <w:rFonts w:ascii="Times New Roman" w:eastAsia="楷体" w:hAnsi="Times New Roman" w:cs="Times New Roman"/>
        </w:rPr>
        <w:t>连续算子产生的变化</w:t>
      </w:r>
      <w:r>
        <w:rPr>
          <w:rFonts w:ascii="Times New Roman" w:eastAsia="楷体" w:hAnsi="Times New Roman" w:cs="Times New Roman"/>
        </w:rPr>
        <w:t>”</w:t>
      </w:r>
      <w:r>
        <w:rPr>
          <w:rFonts w:ascii="Times New Roman" w:eastAsia="楷体" w:hAnsi="Times New Roman" w:cs="Times New Roman"/>
        </w:rPr>
        <w:t>与</w:t>
      </w:r>
      <w:r>
        <w:rPr>
          <w:rFonts w:ascii="Times New Roman" w:eastAsia="楷体" w:hAnsi="Times New Roman" w:cs="Times New Roman"/>
        </w:rPr>
        <w:t>“</w:t>
      </w:r>
      <w:r>
        <w:rPr>
          <w:rFonts w:ascii="Times New Roman" w:eastAsia="楷体" w:hAnsi="Times New Roman" w:cs="Times New Roman"/>
        </w:rPr>
        <w:t>最终可行机位集合</w:t>
      </w:r>
      <w:r>
        <w:rPr>
          <w:rFonts w:ascii="Times New Roman" w:eastAsia="楷体" w:hAnsi="Times New Roman" w:cs="Times New Roman"/>
        </w:rPr>
        <w:t>”</w:t>
      </w:r>
      <w:r>
        <w:rPr>
          <w:rFonts w:ascii="Times New Roman" w:eastAsia="楷体" w:hAnsi="Times New Roman" w:cs="Times New Roman"/>
        </w:rPr>
        <w:t>：修复不能随意破坏已有搜索信息，局部变化也应尽量利用尾流和几何结构。</w:t>
      </w:r>
    </w:p>
    <w:p w14:paraId="561EF994" w14:textId="77777777" w:rsidR="008E439A" w:rsidRDefault="00000000">
      <w:pPr>
        <w:pStyle w:val="21"/>
        <w:ind w:left="228" w:right="237"/>
      </w:pPr>
      <w:r>
        <w:rPr>
          <w:rFonts w:cs="Times New Roman"/>
        </w:rPr>
        <w:t>研究目标与工作组织</w:t>
      </w:r>
    </w:p>
    <w:p w14:paraId="7D598F42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本课题围绕三个目标开展工作。首先，形成物理意义和单位一致的三目标模型，将禁布区域、风机数量与最小间距作为明确约束。其次，设计兼顾可行性与解集覆盖的约束处理和改进算子，使新评价能够产生有价值的布局。最后，在大规模候选空间中，以相同评价预算和相同</w:t>
      </w:r>
      <w:r>
        <w:rPr>
          <w:rFonts w:ascii="Times New Roman" w:eastAsia="楷体" w:hAnsi="Times New Roman" w:cs="Times New Roman"/>
        </w:rPr>
        <w:t>CPU</w:t>
      </w:r>
      <w:r>
        <w:rPr>
          <w:rFonts w:ascii="Times New Roman" w:eastAsia="楷体" w:hAnsi="Times New Roman" w:cs="Times New Roman"/>
        </w:rPr>
        <w:t>时间两种口径比较求解质量，给出可复现的算法结论。研究依次完成问题结构分析、模型修正、基线实现、针对性改进和冻结版本的多种子验证，最终输出可行</w:t>
      </w:r>
      <w:r>
        <w:rPr>
          <w:rFonts w:ascii="Times New Roman" w:eastAsia="楷体" w:hAnsi="Times New Roman" w:cs="Times New Roman"/>
        </w:rPr>
        <w:t>Pareto</w:t>
      </w:r>
      <w:r>
        <w:rPr>
          <w:rFonts w:ascii="Times New Roman" w:eastAsia="楷体" w:hAnsi="Times New Roman" w:cs="Times New Roman"/>
        </w:rPr>
        <w:t>布局及其工程取舍。</w:t>
      </w:r>
    </w:p>
    <w:p w14:paraId="6FD9D7C7" w14:textId="77777777" w:rsidR="008E439A" w:rsidRDefault="00000000">
      <w:pPr>
        <w:pStyle w:val="11"/>
        <w:ind w:left="228" w:right="237"/>
      </w:pPr>
      <w:r>
        <w:rPr>
          <w:rFonts w:cs="Times New Roman"/>
        </w:rPr>
        <w:t>二</w:t>
      </w:r>
      <w:r>
        <w:rPr>
          <w:rFonts w:cs="Times New Roman"/>
        </w:rPr>
        <w:t xml:space="preserve"> </w:t>
      </w:r>
      <w:r>
        <w:rPr>
          <w:rFonts w:cs="Times New Roman"/>
        </w:rPr>
        <w:t>问题分析与数学建模</w:t>
      </w:r>
    </w:p>
    <w:p w14:paraId="1337D06D" w14:textId="77777777" w:rsidR="008E439A" w:rsidRDefault="00000000">
      <w:pPr>
        <w:pStyle w:val="21"/>
        <w:ind w:left="228" w:right="237"/>
      </w:pPr>
      <w:r>
        <w:rPr>
          <w:rFonts w:cs="Times New Roman"/>
        </w:rPr>
        <w:t>场址表示与硬约束</w:t>
      </w:r>
    </w:p>
    <w:p w14:paraId="5F43A50F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设场址为二维区域</w:t>
      </w:r>
      <w:r>
        <w:rPr>
          <w:rFonts w:ascii="Times New Roman" w:eastAsia="楷体" w:hAnsi="Times New Roman" w:cs="Times New Roman"/>
        </w:rPr>
        <w:t>Ω</w:t>
      </w:r>
      <w:r>
        <w:rPr>
          <w:rFonts w:ascii="Times New Roman" w:eastAsia="楷体" w:hAnsi="Times New Roman" w:cs="Times New Roman"/>
        </w:rPr>
        <w:t>，禁布区域与超坡度阈值区域的并集为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，允许区域记为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Ω</m:t>
            </m:r>
          </m:e>
          <m:sub>
            <m:r>
              <w:rPr>
                <w:rFonts w:ascii="Cambria Math" w:eastAsia="Cambria Math" w:hAnsi="Cambria Math" w:cs="Cambria Math"/>
                <w:sz w:val="22"/>
              </w:rPr>
              <m:t>a</m:t>
            </m:r>
          </m:sub>
        </m:sSub>
      </m:oMath>
      <w:r>
        <w:rPr>
          <w:rFonts w:ascii="Times New Roman" w:eastAsia="楷体" w:hAnsi="Times New Roman" w:cs="Times New Roman"/>
        </w:rPr>
        <w:t>＝</w:t>
      </w:r>
      <w:r>
        <w:rPr>
          <w:rFonts w:ascii="Times New Roman" w:eastAsia="楷体" w:hAnsi="Times New Roman" w:cs="Times New Roman"/>
        </w:rPr>
        <w:t>Ω∖B</w:t>
      </w:r>
      <w:r>
        <w:rPr>
          <w:rFonts w:ascii="Times New Roman" w:eastAsia="楷体" w:hAnsi="Times New Roman" w:cs="Times New Roman"/>
        </w:rPr>
        <w:t>。采用固定种子的扰动</w:t>
      </w:r>
      <w:r>
        <w:rPr>
          <w:rFonts w:ascii="Times New Roman" w:eastAsia="楷体" w:hAnsi="Times New Roman" w:cs="Times New Roman"/>
        </w:rPr>
        <w:t>Sobol</w:t>
      </w:r>
      <w:r>
        <w:rPr>
          <w:rFonts w:ascii="Times New Roman" w:eastAsia="楷体" w:hAnsi="Times New Roman" w:cs="Times New Roman"/>
        </w:rPr>
        <w:t>序列生成候选点，先剔除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内及边界上的点，再保留</w:t>
      </w:r>
      <w:r>
        <w:rPr>
          <w:rFonts w:ascii="Times New Roman" w:eastAsia="楷体" w:hAnsi="Times New Roman" w:cs="Times New Roman"/>
        </w:rPr>
        <w:t>M</w:t>
      </w:r>
      <w:r>
        <w:rPr>
          <w:rFonts w:ascii="Times New Roman" w:eastAsia="楷体" w:hAnsi="Times New Roman" w:cs="Times New Roman"/>
        </w:rPr>
        <w:t>个合法位置。第</w:t>
      </w:r>
      <w:proofErr w:type="spellStart"/>
      <w:r>
        <w:rPr>
          <w:rFonts w:ascii="Times New Roman" w:eastAsia="楷体" w:hAnsi="Times New Roman" w:cs="Times New Roman"/>
        </w:rPr>
        <w:t>i</w:t>
      </w:r>
      <w:proofErr w:type="spellEnd"/>
      <w:r>
        <w:rPr>
          <w:rFonts w:ascii="Times New Roman" w:eastAsia="楷体" w:hAnsi="Times New Roman" w:cs="Times New Roman"/>
        </w:rPr>
        <w:t>个候选点的平面坐标为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  <w:sz w:val="22"/>
              </w:rPr>
              <m:t>i</m:t>
            </m:r>
          </m:sub>
        </m:sSub>
      </m:oMath>
      <w:r>
        <w:rPr>
          <w:rFonts w:ascii="Times New Roman" w:eastAsia="楷体" w:hAnsi="Times New Roman" w:cs="Times New Roman"/>
        </w:rPr>
        <w:t>，地面高程为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h</m:t>
            </m:r>
          </m:e>
          <m:sub>
            <m:r>
              <w:rPr>
                <w:rFonts w:ascii="Cambria Math" w:eastAsia="Cambria Math" w:hAnsi="Cambria Math" w:cs="Cambria Math"/>
                <w:sz w:val="22"/>
              </w:rPr>
              <m:t>i</m:t>
            </m:r>
          </m:sub>
        </m:sSub>
      </m:oMath>
      <w:r>
        <w:rPr>
          <w:rFonts w:ascii="Times New Roman" w:eastAsia="楷体" w:hAnsi="Times New Roman" w:cs="Times New Roman"/>
        </w:rPr>
        <w:t>。二元变量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2"/>
              </w:rPr>
              <m:t>i</m:t>
            </m:r>
          </m:sub>
        </m:sSub>
      </m:oMath>
      <w:r>
        <w:rPr>
          <w:rFonts w:ascii="Times New Roman" w:eastAsia="楷体" w:hAnsi="Times New Roman" w:cs="Times New Roman"/>
        </w:rPr>
        <w:t>表示是否在该点安装风机，</w:t>
      </w:r>
      <w:r>
        <w:rPr>
          <w:rFonts w:ascii="Times New Roman" w:eastAsia="楷体" w:hAnsi="Times New Roman" w:cs="Times New Roman"/>
        </w:rPr>
        <w:t>N</w:t>
      </w:r>
      <w:r>
        <w:rPr>
          <w:rFonts w:ascii="Times New Roman" w:eastAsia="楷体" w:hAnsi="Times New Roman" w:cs="Times New Roman"/>
        </w:rPr>
        <w:t>为规定的风机总数。候选点生成不依赖优化算法，也不注入事先挑选的优质布局。</w:t>
      </w:r>
    </w:p>
    <w:p w14:paraId="41202AE2" w14:textId="77777777" w:rsidR="008E439A" w:rsidRDefault="00000000">
      <w:pPr>
        <w:pStyle w:val="ReportEquation"/>
        <w:keepLines/>
        <w:tabs>
          <w:tab w:val="center" w:pos="4309"/>
          <w:tab w:val="right" w:pos="9014"/>
        </w:tabs>
        <w:spacing w:before="120" w:after="140" w:line="240" w:lineRule="auto"/>
        <w:ind w:left="228" w:right="237"/>
      </w:pPr>
      <w:r>
        <w:tab/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eastAsia="Cambria Math" w:hAnsi="Cambria Math" w:cs="Cambria Math"/>
                  </w:rPr>
                  <m:t>i=1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M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eastAsia="Cambria Math" w:hAnsi="Cambria Math" w:cs="Cambria Math"/>
              </w:rPr>
              <m:t xml:space="preserve">=N,  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  <m:r>
              <w:rPr>
                <w:rFonts w:ascii="Cambria Math" w:eastAsia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j</m:t>
                </m:r>
              </m:sub>
            </m:sSub>
            <m:r>
              <w:rPr>
                <w:rFonts w:ascii="Cambria Math" w:eastAsia="Cambria Math" w:hAnsi="Cambria Math" w:cs="Cambria Math"/>
              </w:rPr>
              <m:t>≤1   ((i,j)∈E)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  <m:r>
              <w:rPr>
                <w:rFonts w:ascii="Cambria Math" w:eastAsia="Cambria Math" w:hAnsi="Cambria Math" w:cs="Cambria Math"/>
              </w:rPr>
              <m:t>∈{0,1},   E={(i,j):i&lt;j, ‖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  <m:r>
              <w:rPr>
                <w:rFonts w:ascii="Cambria Math" w:eastAsia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j</m:t>
                </m:r>
              </m:sub>
            </m:sSub>
            <m:r>
              <w:rPr>
                <w:rFonts w:ascii="Cambria Math" w:eastAsia="Cambria Math" w:hAnsi="Cambria Math" w:cs="Cambria Math"/>
              </w:rPr>
              <m:t>‖&lt;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min</m:t>
                </m:r>
              </m:sub>
            </m:sSub>
            <m:r>
              <w:rPr>
                <w:rFonts w:ascii="Cambria Math" w:eastAsia="Cambria Math" w:hAnsi="Cambria Math" w:cs="Cambria Math"/>
              </w:rPr>
              <m:t>}</m:t>
            </m:r>
          </m:e>
        </m:eqArr>
      </m:oMath>
      <w:r>
        <w:rPr>
          <w:rFonts w:cs="Times New Roman"/>
          <w:sz w:val="21"/>
        </w:rPr>
        <w:tab/>
        <w:t>(1)</w:t>
      </w:r>
    </w:p>
    <w:p w14:paraId="0A19F24D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其中，冲突边集合</w:t>
      </w:r>
      <w:r>
        <w:rPr>
          <w:rFonts w:ascii="Times New Roman" w:eastAsia="楷体" w:hAnsi="Times New Roman" w:cs="Times New Roman"/>
        </w:rPr>
        <w:t>E</w:t>
      </w:r>
      <w:r>
        <w:rPr>
          <w:rFonts w:ascii="Times New Roman" w:eastAsia="楷体" w:hAnsi="Times New Roman" w:cs="Times New Roman"/>
        </w:rPr>
        <w:t>由所有平面距离小于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2"/>
              </w:rPr>
              <m:t>min</m:t>
            </m:r>
          </m:sub>
        </m:sSub>
      </m:oMath>
      <w:r>
        <w:rPr>
          <w:rFonts w:ascii="Times New Roman" w:eastAsia="楷体" w:hAnsi="Times New Roman" w:cs="Times New Roman"/>
        </w:rPr>
        <w:t>的候选点对组成。式中的数量等式固定装机容量，冲突约束保证任意两台机组满足最小间距。这样，禁布约束通过候选域表达，间距约束通过冲突图表达。我们的场址为</w:t>
      </w:r>
      <w:r>
        <w:rPr>
          <w:rFonts w:ascii="Times New Roman" w:eastAsia="楷体" w:hAnsi="Times New Roman" w:cs="Times New Roman"/>
        </w:rPr>
        <w:t>7 km×14 km</w:t>
      </w:r>
      <w:r>
        <w:rPr>
          <w:rFonts w:ascii="Times New Roman" w:eastAsia="楷体" w:hAnsi="Times New Roman" w:cs="Times New Roman"/>
        </w:rPr>
        <w:t>，</w:t>
      </w:r>
      <w:r>
        <w:rPr>
          <w:rFonts w:ascii="Times New Roman" w:eastAsia="楷体" w:hAnsi="Times New Roman" w:cs="Times New Roman"/>
        </w:rPr>
        <w:t>N</w:t>
      </w:r>
      <w:r>
        <w:rPr>
          <w:rFonts w:ascii="Times New Roman" w:eastAsia="楷体" w:hAnsi="Times New Roman" w:cs="Times New Roman"/>
        </w:rPr>
        <w:t>＝</w:t>
      </w:r>
      <w:r>
        <w:rPr>
          <w:rFonts w:ascii="Times New Roman" w:eastAsia="楷体" w:hAnsi="Times New Roman" w:cs="Times New Roman"/>
        </w:rPr>
        <w:t>400</w:t>
      </w:r>
      <w:r>
        <w:rPr>
          <w:rFonts w:ascii="Times New Roman" w:eastAsia="楷体" w:hAnsi="Times New Roman" w:cs="Times New Roman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2"/>
              </w:rPr>
              <m:t>min</m:t>
            </m:r>
          </m:sub>
        </m:sSub>
      </m:oMath>
      <w:r>
        <w:rPr>
          <w:rFonts w:ascii="Times New Roman" w:eastAsia="楷体" w:hAnsi="Times New Roman" w:cs="Times New Roman"/>
        </w:rPr>
        <w:t>＝</w:t>
      </w:r>
      <w:r>
        <w:rPr>
          <w:rFonts w:ascii="Times New Roman" w:eastAsia="楷体" w:hAnsi="Times New Roman" w:cs="Times New Roman"/>
        </w:rPr>
        <w:t>308 m</w:t>
      </w:r>
      <w:r>
        <w:rPr>
          <w:rFonts w:ascii="Times New Roman" w:eastAsia="楷体" w:hAnsi="Times New Roman" w:cs="Times New Roman"/>
        </w:rPr>
        <w:t>；山脊算例另外使用</w:t>
      </w:r>
      <w:r>
        <w:rPr>
          <w:rFonts w:ascii="Times New Roman" w:eastAsia="楷体" w:hAnsi="Times New Roman" w:cs="Times New Roman"/>
        </w:rPr>
        <w:t>50 m</w:t>
      </w:r>
      <w:r>
        <w:rPr>
          <w:rFonts w:ascii="Times New Roman" w:eastAsia="楷体" w:hAnsi="Times New Roman" w:cs="Times New Roman"/>
        </w:rPr>
        <w:t>分辨率的合成</w:t>
      </w:r>
      <w:r>
        <w:rPr>
          <w:rFonts w:ascii="Times New Roman" w:eastAsia="楷体" w:hAnsi="Times New Roman" w:cs="Times New Roman"/>
        </w:rPr>
        <w:t>DEM</w:t>
      </w:r>
      <w:r>
        <w:rPr>
          <w:rFonts w:ascii="Times New Roman" w:eastAsia="楷体" w:hAnsi="Times New Roman" w:cs="Times New Roman"/>
        </w:rPr>
        <w:t>，并排除最大坡度超过</w:t>
      </w:r>
      <w:r>
        <w:rPr>
          <w:rFonts w:ascii="Times New Roman" w:eastAsia="楷体" w:hAnsi="Times New Roman" w:cs="Times New Roman"/>
        </w:rPr>
        <w:t>15°</w:t>
      </w:r>
      <w:r>
        <w:rPr>
          <w:rFonts w:ascii="Times New Roman" w:eastAsia="楷体" w:hAnsi="Times New Roman" w:cs="Times New Roman"/>
        </w:rPr>
        <w:t>的网格单元。图</w:t>
      </w:r>
      <w:r>
        <w:rPr>
          <w:rFonts w:ascii="Times New Roman" w:eastAsia="楷体" w:hAnsi="Times New Roman" w:cs="Times New Roman"/>
        </w:rPr>
        <w:t>1</w:t>
      </w:r>
      <w:r>
        <w:rPr>
          <w:rFonts w:ascii="Times New Roman" w:eastAsia="楷体" w:hAnsi="Times New Roman" w:cs="Times New Roman"/>
        </w:rPr>
        <w:t>展示了过滤后的候选点与禁止布机区域。</w:t>
      </w:r>
    </w:p>
    <w:p w14:paraId="2071316B" w14:textId="77777777" w:rsidR="008E439A" w:rsidRDefault="00000000">
      <w:pPr>
        <w:keepNext/>
        <w:keepLines/>
        <w:widowControl/>
        <w:spacing w:before="60" w:after="0"/>
        <w:ind w:left="228" w:right="237" w:firstLine="0"/>
        <w:jc w:val="center"/>
      </w:pPr>
      <w:r>
        <w:rPr>
          <w:noProof/>
        </w:rPr>
        <w:lastRenderedPageBreak/>
        <w:drawing>
          <wp:inline distT="0" distB="0" distL="0" distR="0" wp14:anchorId="2D956E8E" wp14:editId="58BF1C12">
            <wp:extent cx="5220000" cy="4800500"/>
            <wp:effectExtent l="0" t="0" r="0" b="0"/>
            <wp:docPr id="1" name="Picture 1" descr="图1 平地和山脊算例的合法候选点与禁布区域 星号为固定变电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e_constrain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8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8740" w14:textId="77777777" w:rsidR="008E439A" w:rsidRDefault="00000000">
      <w:pPr>
        <w:pStyle w:val="ReportCaption"/>
        <w:keepLines/>
        <w:spacing w:before="100" w:after="60"/>
        <w:ind w:left="228" w:right="237"/>
      </w:pPr>
      <w:r>
        <w:rPr>
          <w:rFonts w:cs="Times New Roman"/>
        </w:rPr>
        <w:t>图</w:t>
      </w:r>
      <w:r>
        <w:rPr>
          <w:rFonts w:cs="Times New Roman"/>
        </w:rPr>
        <w:t xml:space="preserve">1 </w:t>
      </w:r>
      <w:r>
        <w:rPr>
          <w:rFonts w:cs="Times New Roman"/>
        </w:rPr>
        <w:t>平地和山脊算例的合法候选点与禁布区域</w:t>
      </w:r>
      <w:r>
        <w:rPr>
          <w:rFonts w:cs="Times New Roman"/>
        </w:rPr>
        <w:t xml:space="preserve"> </w:t>
      </w:r>
      <w:r>
        <w:rPr>
          <w:rFonts w:cs="Times New Roman"/>
        </w:rPr>
        <w:t>星号为固定变电站</w:t>
      </w:r>
    </w:p>
    <w:p w14:paraId="512E70A0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从</w:t>
      </w:r>
      <w:r>
        <w:rPr>
          <w:rFonts w:ascii="Times New Roman" w:eastAsia="楷体" w:hAnsi="Times New Roman" w:cs="Times New Roman"/>
        </w:rPr>
        <w:t>M</w:t>
      </w:r>
      <w:r>
        <w:rPr>
          <w:rFonts w:ascii="Times New Roman" w:eastAsia="楷体" w:hAnsi="Times New Roman" w:cs="Times New Roman"/>
        </w:rPr>
        <w:t>个点中选择</w:t>
      </w:r>
      <w:r>
        <w:rPr>
          <w:rFonts w:ascii="Times New Roman" w:eastAsia="楷体" w:hAnsi="Times New Roman" w:cs="Times New Roman"/>
        </w:rPr>
        <w:t>N</w:t>
      </w:r>
      <w:r>
        <w:rPr>
          <w:rFonts w:ascii="Times New Roman" w:eastAsia="楷体" w:hAnsi="Times New Roman" w:cs="Times New Roman"/>
        </w:rPr>
        <w:t>个点的组合数量为</w:t>
      </w:r>
      <w:r>
        <w:rPr>
          <w:rFonts w:ascii="Times New Roman" w:eastAsia="楷体" w:hAnsi="Times New Roman" w:cs="Times New Roman"/>
        </w:rPr>
        <w:t>C(M,N)</w:t>
      </w:r>
      <w:r>
        <w:rPr>
          <w:rFonts w:ascii="Times New Roman" w:eastAsia="楷体" w:hAnsi="Times New Roman" w:cs="Times New Roman"/>
        </w:rPr>
        <w:t>，冲突约束又使合法组合之间的转换受到限制。单个机位的移动会同时改变其受到的尾流、对其他风机造成的尾流，以及连接长度和凸包边界。目标函数由此具有明显的非线性和变量耦合，连续向量中的小变化也可能在排序解码时引起多个机位替换。这是模型求解难度的主要来源。</w:t>
      </w:r>
    </w:p>
    <w:p w14:paraId="7DA383D0" w14:textId="77777777" w:rsidR="008E439A" w:rsidRDefault="00000000">
      <w:pPr>
        <w:pStyle w:val="21"/>
        <w:ind w:left="228" w:right="237"/>
      </w:pPr>
      <w:r>
        <w:rPr>
          <w:rFonts w:cs="Times New Roman"/>
        </w:rPr>
        <w:t>转子重叠尾流与年发电量</w:t>
      </w:r>
    </w:p>
    <w:p w14:paraId="0504ACAA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对第</w:t>
      </w:r>
      <w:r>
        <w:rPr>
          <w:rFonts w:ascii="Times New Roman" w:eastAsia="楷体" w:hAnsi="Times New Roman" w:cs="Times New Roman"/>
        </w:rPr>
        <w:t>q</w:t>
      </w:r>
      <w:r>
        <w:rPr>
          <w:rFonts w:ascii="Times New Roman" w:eastAsia="楷体" w:hAnsi="Times New Roman" w:cs="Times New Roman"/>
        </w:rPr>
        <w:t>个风向，令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d</m:t>
            </m:r>
          </m:e>
          <m:sub>
            <m:r>
              <w:rPr>
                <w:rFonts w:ascii="Cambria Math" w:eastAsia="Cambria Math" w:hAnsi="Cambria Math" w:cs="Cambria Math"/>
                <w:sz w:val="22"/>
              </w:rPr>
              <m:t>jiq</m:t>
            </m:r>
          </m:sub>
        </m:sSub>
      </m:oMath>
      <w:r>
        <w:rPr>
          <w:rFonts w:ascii="Times New Roman" w:eastAsia="楷体" w:hAnsi="Times New Roman" w:cs="Times New Roman"/>
        </w:rPr>
        <w:t>表示从源风机</w:t>
      </w:r>
      <w:r>
        <w:rPr>
          <w:rFonts w:ascii="Times New Roman" w:eastAsia="楷体" w:hAnsi="Times New Roman" w:cs="Times New Roman"/>
        </w:rPr>
        <w:t>j</w:t>
      </w:r>
      <w:r>
        <w:rPr>
          <w:rFonts w:ascii="Times New Roman" w:eastAsia="楷体" w:hAnsi="Times New Roman" w:cs="Times New Roman"/>
        </w:rPr>
        <w:t>到受影响风机</w:t>
      </w:r>
      <w:proofErr w:type="spellStart"/>
      <w:r>
        <w:rPr>
          <w:rFonts w:ascii="Times New Roman" w:eastAsia="楷体" w:hAnsi="Times New Roman" w:cs="Times New Roman"/>
        </w:rPr>
        <w:t>i</w:t>
      </w:r>
      <w:proofErr w:type="spellEnd"/>
      <w:r>
        <w:rPr>
          <w:rFonts w:ascii="Times New Roman" w:eastAsia="楷体" w:hAnsi="Times New Roman" w:cs="Times New Roman"/>
        </w:rPr>
        <w:t>的顺风距离的非负部分，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2"/>
              </w:rPr>
              <m:t>jiq</m:t>
            </m:r>
          </m:sub>
        </m:sSub>
      </m:oMath>
      <w:r>
        <w:rPr>
          <w:rFonts w:ascii="Times New Roman" w:eastAsia="楷体" w:hAnsi="Times New Roman" w:cs="Times New Roman"/>
        </w:rPr>
        <w:t>表示包含轮毂高差的横向分离距离。尾流半径随正向距离线性增长，</w:t>
      </w:r>
      <w:r>
        <w:rPr>
          <w:rFonts w:ascii="Times New Roman" w:eastAsia="楷体" w:hAnsi="Times New Roman" w:cs="Times New Roman"/>
        </w:rPr>
        <w:t>R</w:t>
      </w:r>
      <w:r>
        <w:rPr>
          <w:rFonts w:ascii="Times New Roman" w:eastAsia="楷体" w:hAnsi="Times New Roman" w:cs="Times New Roman"/>
        </w:rPr>
        <w:t>为转子半径，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2"/>
              </w:rPr>
              <m:t>w</m:t>
            </m:r>
          </m:sub>
        </m:sSub>
      </m:oMath>
      <w:r>
        <w:rPr>
          <w:rFonts w:ascii="Times New Roman" w:eastAsia="楷体" w:hAnsi="Times New Roman" w:cs="Times New Roman"/>
        </w:rPr>
        <w:t>为尾流扩张系数。以两个圆盘交集面积占受影响转子面积的比例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α</m:t>
            </m:r>
          </m:e>
          <m:sub>
            <m:r>
              <w:rPr>
                <w:rFonts w:ascii="Cambria Math" w:eastAsia="Cambria Math" w:hAnsi="Cambria Math" w:cs="Cambria Math"/>
                <w:sz w:val="22"/>
              </w:rPr>
              <m:t>jiq</m:t>
            </m:r>
          </m:sub>
        </m:sSub>
      </m:oMath>
      <w:r>
        <w:rPr>
          <w:rFonts w:ascii="Times New Roman" w:eastAsia="楷体" w:hAnsi="Times New Roman" w:cs="Times New Roman"/>
        </w:rPr>
        <w:t>，修正单一尾流的平均速度亏损：</w:t>
      </w:r>
    </w:p>
    <w:p w14:paraId="1F60B107" w14:textId="77777777" w:rsidR="008E439A" w:rsidRDefault="00000000">
      <w:pPr>
        <w:pStyle w:val="ReportEquation"/>
        <w:keepNext/>
        <w:keepLines/>
        <w:tabs>
          <w:tab w:val="center" w:pos="4309"/>
          <w:tab w:val="right" w:pos="9014"/>
        </w:tabs>
        <w:spacing w:before="120" w:after="140" w:line="240" w:lineRule="auto"/>
        <w:ind w:left="228" w:right="237"/>
      </w:pPr>
      <w:r>
        <w:tab/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w</m:t>
                </m:r>
              </m:sub>
            </m:sSub>
            <m:r>
              <w:rPr>
                <w:rFonts w:ascii="Cambria Math" w:eastAsia="Cambria Math" w:hAnsi="Cambria Math" w:cs="Cambria Math"/>
              </w:rPr>
              <m:t>=R+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w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d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jiq</m:t>
                </m:r>
              </m:sub>
            </m:sSub>
            <m:r>
              <w:rPr>
                <w:rFonts w:ascii="Cambria Math" w:eastAsia="Cambria Math" w:hAnsi="Cambria Math" w:cs="Cambria Math"/>
              </w:rPr>
              <m:t xml:space="preserve">,  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α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jiq</m:t>
                </m:r>
              </m:sub>
            </m:sSub>
            <m:r>
              <w:rPr>
                <w:rFonts w:ascii="Cambria Math" w:eastAsia="Cambria Math" w:hAnsi="Cambria Math" w:cs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overlap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</m:den>
            </m:f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Δ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jiq</m:t>
                </m:r>
              </m:sub>
            </m:sSub>
            <m:r>
              <w:rPr>
                <w:rFonts w:ascii="Cambria Math" w:eastAsia="Cambria Math" w:hAnsi="Cambria Math" w:cs="Cambria Math"/>
              </w:rPr>
              <m:t>=I(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d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jiq</m:t>
                </m:r>
              </m:sub>
            </m:sSub>
            <m:r>
              <w:rPr>
                <w:rFonts w:ascii="Cambria Math" w:eastAsia="Cambria Math" w:hAnsi="Cambria Math" w:cs="Cambria Math"/>
              </w:rPr>
              <m:t>&gt;0)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α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jiq</m:t>
                </m: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1-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Cambria Math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T</m:t>
                        </m:r>
                      </m:sub>
                    </m:sSub>
                  </m:e>
                </m:rad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</w:rPr>
                      <m:t>(1+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jiq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den>
                    </m:f>
                    <m:r>
                      <w:rPr>
                        <w:rFonts w:ascii="Cambria Math" w:eastAsia="Cambria Math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</m:den>
            </m:f>
          </m:e>
        </m:eqArr>
      </m:oMath>
      <w:r>
        <w:rPr>
          <w:rFonts w:cs="Times New Roman"/>
          <w:sz w:val="21"/>
        </w:rPr>
        <w:tab/>
        <w:t>(2)</w:t>
      </w:r>
    </w:p>
    <w:p w14:paraId="5B742704" w14:textId="77777777" w:rsidR="008E439A" w:rsidRDefault="00000000">
      <w:pPr>
        <w:pStyle w:val="ReportNote"/>
        <w:spacing w:after="100"/>
        <w:ind w:left="228" w:right="237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2"/>
              </w:rPr>
              <m:t>overlap</m:t>
            </m:r>
          </m:sub>
        </m:sSub>
      </m:oMath>
      <w:r>
        <w:rPr>
          <w:rFonts w:cs="Times New Roman"/>
        </w:rPr>
        <w:t>为受影响转子与尾流截面的圆盘交集面积。</w:t>
      </w:r>
    </w:p>
    <w:p w14:paraId="1209BD9E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式中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2"/>
              </w:rPr>
              <m:t>T</m:t>
            </m:r>
          </m:sub>
        </m:sSub>
      </m:oMath>
      <w:r>
        <w:rPr>
          <w:rFonts w:ascii="Times New Roman" w:eastAsia="楷体" w:hAnsi="Times New Roman" w:cs="Times New Roman"/>
        </w:rPr>
        <w:t>为推力系数，</w:t>
      </w:r>
      <w:r>
        <w:rPr>
          <w:rFonts w:ascii="Times New Roman" w:eastAsia="楷体" w:hAnsi="Times New Roman" w:cs="Times New Roman"/>
        </w:rPr>
        <w:t>I</w:t>
      </w:r>
      <w:r>
        <w:rPr>
          <w:rFonts w:ascii="Times New Roman" w:eastAsia="楷体" w:hAnsi="Times New Roman" w:cs="Times New Roman"/>
        </w:rPr>
        <w:t>为指示函数；只有源机组位于上游时才产生贡献。</w:t>
      </w:r>
      <w:r>
        <w:rPr>
          <w:rFonts w:ascii="Times New Roman" w:eastAsia="楷体" w:hAnsi="Times New Roman" w:cs="Times New Roman"/>
        </w:rPr>
        <w:t>α</w:t>
      </w:r>
      <w:r>
        <w:rPr>
          <w:rFonts w:ascii="Times New Roman" w:eastAsia="楷体" w:hAnsi="Times New Roman" w:cs="Times New Roman"/>
        </w:rPr>
        <w:t>采用圆相交面积的解析公式，完全脱离尾流时为</w:t>
      </w:r>
      <w:r>
        <w:rPr>
          <w:rFonts w:ascii="Times New Roman" w:eastAsia="楷体" w:hAnsi="Times New Roman" w:cs="Times New Roman"/>
        </w:rPr>
        <w:t>0</w:t>
      </w:r>
      <w:r>
        <w:rPr>
          <w:rFonts w:ascii="Times New Roman" w:eastAsia="楷体" w:hAnsi="Times New Roman" w:cs="Times New Roman"/>
        </w:rPr>
        <w:t>，完整覆盖时为</w:t>
      </w:r>
      <w:r>
        <w:rPr>
          <w:rFonts w:ascii="Times New Roman" w:eastAsia="楷体" w:hAnsi="Times New Roman" w:cs="Times New Roman"/>
        </w:rPr>
        <w:t>1</w:t>
      </w:r>
      <w:r>
        <w:rPr>
          <w:rFonts w:ascii="Times New Roman" w:eastAsia="楷体" w:hAnsi="Times New Roman" w:cs="Times New Roman"/>
        </w:rPr>
        <w:t>，部分覆盖时连续变化。与只</w:t>
      </w:r>
      <w:r>
        <w:rPr>
          <w:rFonts w:ascii="Times New Roman" w:eastAsia="楷体" w:hAnsi="Times New Roman" w:cs="Times New Roman"/>
        </w:rPr>
        <w:lastRenderedPageBreak/>
        <w:t>判断轮毂中心是否进入尾流相比，这一处理避免了转子在尾流边缘小幅移动便引起贡献突变，更适合用于判断局部交换是否改善布局。多个源风机的亏损按平方和开根号叠加</w:t>
      </w:r>
      <w:r>
        <w:rPr>
          <w:rFonts w:ascii="Times New Roman" w:eastAsia="楷体" w:hAnsi="Times New Roman" w:cs="Times New Roman"/>
        </w:rPr>
        <w:t>[2]</w:t>
      </w:r>
      <w:r>
        <w:rPr>
          <w:rFonts w:ascii="Times New Roman" w:eastAsia="楷体" w:hAnsi="Times New Roman" w:cs="Times New Roman"/>
        </w:rPr>
        <w:t>，并将总亏损限制到物理有效区间。</w:t>
      </w:r>
    </w:p>
    <w:p w14:paraId="1ABBFEDD" w14:textId="77777777" w:rsidR="008E439A" w:rsidRDefault="00000000">
      <w:pPr>
        <w:pStyle w:val="ReportEquation"/>
        <w:keepLines/>
        <w:tabs>
          <w:tab w:val="center" w:pos="4309"/>
          <w:tab w:val="right" w:pos="9014"/>
        </w:tabs>
        <w:spacing w:before="120" w:after="140" w:line="240" w:lineRule="auto"/>
        <w:ind w:left="228" w:right="237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δ</m:t>
            </m:r>
          </m:e>
          <m:sub>
            <m:r>
              <w:rPr>
                <w:rFonts w:ascii="Cambria Math" w:eastAsia="Cambria Math" w:hAnsi="Cambria Math" w:cs="Cambria Math"/>
              </w:rPr>
              <m:t>iq</m:t>
            </m:r>
          </m:sub>
        </m:sSub>
        <m:r>
          <w:rPr>
            <w:rFonts w:ascii="Cambria Math" w:eastAsia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eastAsia="Cambria Math" w:hAnsi="Cambria Math" w:cs="Cambria Math"/>
                  </w:rPr>
                  <m:t>j=1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M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j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Δ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jiq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bSup>
              </m:e>
            </m:nary>
          </m:e>
        </m:rad>
        <m:r>
          <w:rPr>
            <w:rFonts w:ascii="Cambria Math" w:eastAsia="Cambria Math" w:hAnsi="Cambria Math" w:cs="Cambria Math"/>
          </w:rPr>
          <m:t xml:space="preserve">,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iq</m:t>
            </m:r>
          </m:sub>
        </m:sSub>
        <m:r>
          <w:rPr>
            <w:rFonts w:ascii="Cambria Math" w:eastAsia="Cambria Math" w:hAnsi="Cambria Math" w:cs="Cambria Math"/>
          </w:rPr>
          <m:t>(v)=v·</m:t>
        </m:r>
        <m:r>
          <m:rPr>
            <m:sty m:val="p"/>
          </m:rPr>
          <w:rPr>
            <w:rFonts w:ascii="Cambria Math" w:eastAsia="Cambria Math" w:hAnsi="Cambria Math" w:cs="Cambria Math"/>
          </w:rPr>
          <m:t>max</m:t>
        </m:r>
        <m:r>
          <w:rPr>
            <w:rFonts w:ascii="Cambria Math" w:eastAsia="Cambria Math" w:hAnsi="Cambria Math" w:cs="Cambria Math"/>
          </w:rPr>
          <m:t>(0,1-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δ</m:t>
            </m:r>
          </m:e>
          <m:sub>
            <m:r>
              <w:rPr>
                <w:rFonts w:ascii="Cambria Math" w:eastAsia="Cambria Math" w:hAnsi="Cambria Math" w:cs="Cambria Math"/>
              </w:rPr>
              <m:t>iq</m:t>
            </m:r>
          </m:sub>
        </m:sSub>
        <m:r>
          <w:rPr>
            <w:rFonts w:ascii="Cambria Math" w:eastAsia="Cambria Math" w:hAnsi="Cambria Math" w:cs="Cambria Math"/>
          </w:rPr>
          <m:t>)</m:t>
        </m:r>
      </m:oMath>
      <w:r>
        <w:rPr>
          <w:rFonts w:cs="Times New Roman"/>
          <w:sz w:val="21"/>
        </w:rPr>
        <w:tab/>
        <w:t>(3)</w:t>
      </w:r>
    </w:p>
    <w:p w14:paraId="392D1B0F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风况按</w:t>
      </w:r>
      <w:r>
        <w:rPr>
          <w:rFonts w:ascii="Times New Roman" w:eastAsia="楷体" w:hAnsi="Times New Roman" w:cs="Times New Roman"/>
        </w:rPr>
        <w:t>24</w:t>
      </w:r>
      <w:r>
        <w:rPr>
          <w:rFonts w:ascii="Times New Roman" w:eastAsia="楷体" w:hAnsi="Times New Roman" w:cs="Times New Roman"/>
        </w:rPr>
        <w:t>个</w:t>
      </w:r>
      <w:r>
        <w:rPr>
          <w:rFonts w:ascii="Times New Roman" w:eastAsia="楷体" w:hAnsi="Times New Roman" w:cs="Times New Roman"/>
        </w:rPr>
        <w:t>15°</w:t>
      </w:r>
      <w:r>
        <w:rPr>
          <w:rFonts w:ascii="Times New Roman" w:eastAsia="楷体" w:hAnsi="Times New Roman" w:cs="Times New Roman"/>
        </w:rPr>
        <w:t>扇区表示，方向采用扇区中心，概率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  <w:sz w:val="22"/>
              </w:rPr>
              <m:t>q</m:t>
            </m:r>
          </m:sub>
        </m:sSub>
      </m:oMath>
      <w:r>
        <w:rPr>
          <w:rFonts w:ascii="Times New Roman" w:eastAsia="楷体" w:hAnsi="Times New Roman" w:cs="Times New Roman"/>
        </w:rPr>
        <w:t>由输入频率归一化得到；各扇区风速服从相应的</w:t>
      </w:r>
      <w:r>
        <w:rPr>
          <w:rFonts w:ascii="Times New Roman" w:eastAsia="楷体" w:hAnsi="Times New Roman" w:cs="Times New Roman"/>
        </w:rPr>
        <w:t>Weibull</w:t>
      </w:r>
      <w:r>
        <w:rPr>
          <w:rFonts w:ascii="Times New Roman" w:eastAsia="楷体" w:hAnsi="Times New Roman" w:cs="Times New Roman"/>
        </w:rPr>
        <w:t>分布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2"/>
              </w:rPr>
              <m:t>q</m:t>
            </m:r>
          </m:sub>
        </m:sSub>
      </m:oMath>
      <w:r>
        <w:rPr>
          <w:rFonts w:ascii="Times New Roman" w:eastAsia="楷体" w:hAnsi="Times New Roman" w:cs="Times New Roman"/>
        </w:rPr>
        <w:t>。给定有效风速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  <w:sz w:val="22"/>
              </w:rPr>
              <m:t>iq</m:t>
            </m:r>
          </m:sub>
        </m:sSub>
      </m:oMath>
      <w:r>
        <w:rPr>
          <w:rFonts w:ascii="Times New Roman" w:eastAsia="楷体" w:hAnsi="Times New Roman" w:cs="Times New Roman"/>
        </w:rPr>
        <w:t>(v)</w:t>
      </w:r>
      <w:r>
        <w:rPr>
          <w:rFonts w:ascii="Times New Roman" w:eastAsia="楷体" w:hAnsi="Times New Roman" w:cs="Times New Roman"/>
        </w:rPr>
        <w:t>，按机组功率曲线</w:t>
      </w:r>
      <w:r>
        <w:rPr>
          <w:rFonts w:ascii="Times New Roman" w:eastAsia="楷体" w:hAnsi="Times New Roman" w:cs="Times New Roman"/>
        </w:rPr>
        <w:t>P</w:t>
      </w:r>
      <w:r>
        <w:rPr>
          <w:rFonts w:ascii="Times New Roman" w:eastAsia="楷体" w:hAnsi="Times New Roman" w:cs="Times New Roman"/>
        </w:rPr>
        <w:t>计算期望功率，再换算为年发电量：</w:t>
      </w:r>
    </w:p>
    <w:p w14:paraId="1273DFD3" w14:textId="77777777" w:rsidR="008E439A" w:rsidRDefault="00000000">
      <w:pPr>
        <w:pStyle w:val="ReportEquation"/>
        <w:keepLines/>
        <w:tabs>
          <w:tab w:val="center" w:pos="4309"/>
          <w:tab w:val="right" w:pos="9014"/>
        </w:tabs>
        <w:spacing w:before="120" w:after="140" w:line="240" w:lineRule="auto"/>
        <w:ind w:left="228" w:right="237"/>
      </w:pPr>
      <w:r>
        <w:tab/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>AEP</m:t>
        </m:r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8760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10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6</m:t>
                </m:r>
              </m:sup>
            </m:sSup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q=1</m:t>
            </m:r>
          </m:sub>
          <m:sup>
            <m:r>
              <w:rPr>
                <w:rFonts w:ascii="Cambria Math" w:eastAsia="Cambria Math" w:hAnsi="Cambria Math" w:cs="Cambria Math"/>
              </w:rPr>
              <m:t>24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q</m:t>
                </m:r>
              </m:sub>
            </m:sSub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eastAsia="Cambria Math" w:hAnsi="Cambria Math" w:cs="Cambria Math"/>
                  </w:rPr>
                  <m:t>i=1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M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i</m:t>
                    </m:r>
                  </m:sub>
                </m:sSub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∞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P</m:t>
                    </m:r>
                    <m:r>
                      <w:rPr>
                        <w:rFonts w:ascii="Cambria Math" w:eastAsia="Cambria Math" w:hAnsi="Cambria Math" w:cs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iq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(v))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q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(v)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dv</m:t>
                    </m:r>
                  </m:e>
                </m:nary>
              </m:e>
            </m:nary>
          </m:e>
        </m:nary>
      </m:oMath>
      <w:r>
        <w:rPr>
          <w:rFonts w:cs="Times New Roman"/>
          <w:sz w:val="21"/>
        </w:rPr>
        <w:tab/>
        <w:t>(4)</w:t>
      </w:r>
    </w:p>
    <w:p w14:paraId="025E5F2C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式中</w:t>
      </w:r>
      <w:r>
        <w:rPr>
          <w:rFonts w:ascii="Times New Roman" w:eastAsia="楷体" w:hAnsi="Times New Roman" w:cs="Times New Roman"/>
        </w:rPr>
        <w:t>P</w:t>
      </w:r>
      <w:r>
        <w:rPr>
          <w:rFonts w:ascii="Times New Roman" w:eastAsia="楷体" w:hAnsi="Times New Roman" w:cs="Times New Roman"/>
        </w:rPr>
        <w:t>的单位为</w:t>
      </w:r>
      <w:r>
        <w:rPr>
          <w:rFonts w:ascii="Times New Roman" w:eastAsia="楷体" w:hAnsi="Times New Roman" w:cs="Times New Roman"/>
        </w:rPr>
        <w:t>kW</w:t>
      </w:r>
      <w:r>
        <w:rPr>
          <w:rFonts w:ascii="Times New Roman" w:eastAsia="楷体" w:hAnsi="Times New Roman" w:cs="Times New Roman"/>
        </w:rPr>
        <w:t>，</w:t>
      </w:r>
      <w:r>
        <w:rPr>
          <w:rFonts w:ascii="Times New Roman" w:eastAsia="楷体" w:hAnsi="Times New Roman" w:cs="Times New Roman"/>
        </w:rPr>
        <w:t>AEP</w:t>
      </w:r>
      <w:r>
        <w:rPr>
          <w:rFonts w:ascii="Times New Roman" w:eastAsia="楷体" w:hAnsi="Times New Roman" w:cs="Times New Roman"/>
        </w:rPr>
        <w:t>的单位为</w:t>
      </w:r>
      <w:r>
        <w:rPr>
          <w:rFonts w:ascii="Times New Roman" w:eastAsia="楷体" w:hAnsi="Times New Roman" w:cs="Times New Roman"/>
        </w:rPr>
        <w:t>GWh/</w:t>
      </w:r>
      <w:r>
        <w:rPr>
          <w:rFonts w:ascii="Times New Roman" w:eastAsia="楷体" w:hAnsi="Times New Roman" w:cs="Times New Roman"/>
        </w:rPr>
        <w:t>年。功率曲线在</w:t>
      </w:r>
      <w:r>
        <w:rPr>
          <w:rFonts w:ascii="Times New Roman" w:eastAsia="楷体" w:hAnsi="Times New Roman" w:cs="Times New Roman"/>
        </w:rPr>
        <w:t>3.5 m/s</w:t>
      </w:r>
      <w:r>
        <w:rPr>
          <w:rFonts w:ascii="Times New Roman" w:eastAsia="楷体" w:hAnsi="Times New Roman" w:cs="Times New Roman"/>
        </w:rPr>
        <w:t>以下和</w:t>
      </w:r>
      <w:r>
        <w:rPr>
          <w:rFonts w:ascii="Times New Roman" w:eastAsia="楷体" w:hAnsi="Times New Roman" w:cs="Times New Roman"/>
        </w:rPr>
        <w:t>20 m/s</w:t>
      </w:r>
      <w:r>
        <w:rPr>
          <w:rFonts w:ascii="Times New Roman" w:eastAsia="楷体" w:hAnsi="Times New Roman" w:cs="Times New Roman"/>
        </w:rPr>
        <w:t>以上取</w:t>
      </w:r>
      <w:r>
        <w:rPr>
          <w:rFonts w:ascii="Times New Roman" w:eastAsia="楷体" w:hAnsi="Times New Roman" w:cs="Times New Roman"/>
        </w:rPr>
        <w:t>0</w:t>
      </w:r>
      <w:r>
        <w:rPr>
          <w:rFonts w:ascii="Times New Roman" w:eastAsia="楷体" w:hAnsi="Times New Roman" w:cs="Times New Roman"/>
        </w:rPr>
        <w:t>，在</w:t>
      </w:r>
      <w:r>
        <w:rPr>
          <w:rFonts w:ascii="Times New Roman" w:eastAsia="楷体" w:hAnsi="Times New Roman" w:cs="Times New Roman"/>
        </w:rPr>
        <w:t>3.5</w:t>
      </w:r>
      <w:r>
        <w:rPr>
          <w:rFonts w:ascii="Times New Roman" w:eastAsia="楷体" w:hAnsi="Times New Roman" w:cs="Times New Roman"/>
        </w:rPr>
        <w:t>至</w:t>
      </w:r>
      <w:r>
        <w:rPr>
          <w:rFonts w:ascii="Times New Roman" w:eastAsia="楷体" w:hAnsi="Times New Roman" w:cs="Times New Roman"/>
        </w:rPr>
        <w:t>14 m/s</w:t>
      </w:r>
      <w:r>
        <w:rPr>
          <w:rFonts w:ascii="Times New Roman" w:eastAsia="楷体" w:hAnsi="Times New Roman" w:cs="Times New Roman"/>
        </w:rPr>
        <w:t>区间取</w:t>
      </w:r>
      <w:r>
        <w:rPr>
          <w:rFonts w:ascii="Times New Roman" w:eastAsia="楷体" w:hAnsi="Times New Roman" w:cs="Times New Roman"/>
        </w:rPr>
        <w:t>max(0,140.86v−500)</w:t>
      </w:r>
      <w:r>
        <w:rPr>
          <w:rFonts w:ascii="Times New Roman" w:eastAsia="楷体" w:hAnsi="Times New Roman" w:cs="Times New Roman"/>
        </w:rPr>
        <w:t>，在</w:t>
      </w:r>
      <w:r>
        <w:rPr>
          <w:rFonts w:ascii="Times New Roman" w:eastAsia="楷体" w:hAnsi="Times New Roman" w:cs="Times New Roman"/>
        </w:rPr>
        <w:t>14</w:t>
      </w:r>
      <w:r>
        <w:rPr>
          <w:rFonts w:ascii="Times New Roman" w:eastAsia="楷体" w:hAnsi="Times New Roman" w:cs="Times New Roman"/>
        </w:rPr>
        <w:t>至</w:t>
      </w:r>
      <w:r>
        <w:rPr>
          <w:rFonts w:ascii="Times New Roman" w:eastAsia="楷体" w:hAnsi="Times New Roman" w:cs="Times New Roman"/>
        </w:rPr>
        <w:t>20 m/s</w:t>
      </w:r>
      <w:r>
        <w:rPr>
          <w:rFonts w:ascii="Times New Roman" w:eastAsia="楷体" w:hAnsi="Times New Roman" w:cs="Times New Roman"/>
        </w:rPr>
        <w:t>区间取</w:t>
      </w:r>
      <w:r>
        <w:rPr>
          <w:rFonts w:ascii="Times New Roman" w:eastAsia="楷体" w:hAnsi="Times New Roman" w:cs="Times New Roman"/>
        </w:rPr>
        <w:t>1500 kW</w:t>
      </w:r>
      <w:r>
        <w:rPr>
          <w:rFonts w:ascii="Times New Roman" w:eastAsia="楷体" w:hAnsi="Times New Roman" w:cs="Times New Roman"/>
        </w:rPr>
        <w:t>。风速积分通过不完全伽马函数计算，避免采样积分噪声掩盖小幅布局改进。统一取</w:t>
      </w:r>
      <w:r>
        <w:rPr>
          <w:rFonts w:ascii="Times New Roman" w:eastAsia="楷体" w:hAnsi="Times New Roman" w:cs="Times New Roman"/>
        </w:rPr>
        <w:t>R</w:t>
      </w:r>
      <w:r>
        <w:rPr>
          <w:rFonts w:ascii="Times New Roman" w:eastAsia="楷体" w:hAnsi="Times New Roman" w:cs="Times New Roman"/>
        </w:rPr>
        <w:t>＝</w:t>
      </w:r>
      <w:r>
        <w:rPr>
          <w:rFonts w:ascii="Times New Roman" w:eastAsia="楷体" w:hAnsi="Times New Roman" w:cs="Times New Roman"/>
        </w:rPr>
        <w:t>38.5 m</w:t>
      </w:r>
      <w:r>
        <w:rPr>
          <w:rFonts w:ascii="Times New Roman" w:eastAsia="楷体" w:hAnsi="Times New Roman" w:cs="Times New Roma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2"/>
              </w:rPr>
              <m:t>T</m:t>
            </m:r>
          </m:sub>
        </m:sSub>
      </m:oMath>
      <w:r>
        <w:rPr>
          <w:rFonts w:ascii="Times New Roman" w:eastAsia="楷体" w:hAnsi="Times New Roman" w:cs="Times New Roman"/>
        </w:rPr>
        <w:t>＝</w:t>
      </w:r>
      <w:r>
        <w:rPr>
          <w:rFonts w:ascii="Times New Roman" w:eastAsia="楷体" w:hAnsi="Times New Roman" w:cs="Times New Roman"/>
        </w:rPr>
        <w:t>0.8</w:t>
      </w:r>
      <w:r>
        <w:rPr>
          <w:rFonts w:ascii="Times New Roman" w:eastAsia="楷体" w:hAnsi="Times New Roman" w:cs="Times New Roma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2"/>
              </w:rPr>
              <m:t>w</m:t>
            </m:r>
          </m:sub>
        </m:sSub>
      </m:oMath>
      <w:r>
        <w:rPr>
          <w:rFonts w:ascii="Times New Roman" w:eastAsia="楷体" w:hAnsi="Times New Roman" w:cs="Times New Roman"/>
        </w:rPr>
        <w:t>＝</w:t>
      </w:r>
      <w:r>
        <w:rPr>
          <w:rFonts w:ascii="Times New Roman" w:eastAsia="楷体" w:hAnsi="Times New Roman" w:cs="Times New Roman"/>
        </w:rPr>
        <w:t>0.075</w:t>
      </w:r>
      <w:r>
        <w:rPr>
          <w:rFonts w:ascii="Times New Roman" w:eastAsia="楷体" w:hAnsi="Times New Roman" w:cs="Times New Roman"/>
        </w:rPr>
        <w:t>，机组相对轮毂高度</w:t>
      </w:r>
      <w:r>
        <w:rPr>
          <w:rFonts w:ascii="Times New Roman" w:eastAsia="楷体" w:hAnsi="Times New Roman" w:cs="Times New Roman"/>
        </w:rPr>
        <w:t>80 m</w:t>
      </w:r>
      <w:r>
        <w:rPr>
          <w:rFonts w:ascii="Times New Roman" w:eastAsia="楷体" w:hAnsi="Times New Roman" w:cs="Times New Roman"/>
        </w:rPr>
        <w:t>。模型按各扇区给定的环境风况评价布局，地形通过高程差、坡度禁布和连接长度进入计算。</w:t>
      </w:r>
    </w:p>
    <w:p w14:paraId="7975D354" w14:textId="77777777" w:rsidR="008E439A" w:rsidRDefault="00000000">
      <w:pPr>
        <w:pStyle w:val="21"/>
        <w:ind w:left="228" w:right="237"/>
      </w:pPr>
      <w:r>
        <w:rPr>
          <w:rFonts w:cs="Times New Roman"/>
        </w:rPr>
        <w:t>连接成本与度电成本</w:t>
      </w:r>
    </w:p>
    <w:p w14:paraId="38392E23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在固定装机容量下，如果所有投资都设为常数，成本目标容易退化为发电量的简单倒数。因此，我们将布局相关的电气基础设施投资与连接长度联系起来。把选中机位与固定变电站组成完整图，以最小生成树长度</w:t>
      </w:r>
      <w:r>
        <w:rPr>
          <w:rFonts w:ascii="Times New Roman" w:eastAsia="楷体" w:hAnsi="Times New Roman" w:cs="Times New Roman"/>
        </w:rPr>
        <w:t>L(x)</w:t>
      </w:r>
      <w:r>
        <w:rPr>
          <w:rFonts w:ascii="Times New Roman" w:eastAsia="楷体" w:hAnsi="Times New Roman" w:cs="Times New Roman"/>
        </w:rPr>
        <w:t>作为连接规模；复杂地形的边长沿直线水平投影抬升到</w:t>
      </w:r>
      <w:r>
        <w:rPr>
          <w:rFonts w:ascii="Times New Roman" w:eastAsia="楷体" w:hAnsi="Times New Roman" w:cs="Times New Roman"/>
        </w:rPr>
        <w:t>DEM</w:t>
      </w:r>
      <w:r>
        <w:rPr>
          <w:rFonts w:ascii="Times New Roman" w:eastAsia="楷体" w:hAnsi="Times New Roman" w:cs="Times New Roman"/>
        </w:rPr>
        <w:t>表面后积分计算。参考长度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2"/>
              </w:rPr>
              <m:t>ref</m:t>
            </m:r>
          </m:sub>
        </m:sSub>
      </m:oMath>
      <w:r>
        <w:rPr>
          <w:rFonts w:ascii="Times New Roman" w:eastAsia="楷体" w:hAnsi="Times New Roman" w:cs="Times New Roman"/>
        </w:rPr>
        <w:t>来自独立于候选点数量和优化输出的确定性参考布局。</w:t>
      </w:r>
    </w:p>
    <w:p w14:paraId="04ABBF6C" w14:textId="77777777" w:rsidR="008E439A" w:rsidRDefault="00000000">
      <w:pPr>
        <w:pStyle w:val="ReportEquation"/>
        <w:keepLines/>
        <w:tabs>
          <w:tab w:val="center" w:pos="4309"/>
          <w:tab w:val="right" w:pos="9014"/>
        </w:tabs>
        <w:spacing w:before="120" w:after="140" w:line="240" w:lineRule="auto"/>
        <w:ind w:left="228" w:right="237"/>
      </w:pPr>
      <w:r>
        <w:tab/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cap</m:t>
                </m:r>
              </m:sub>
            </m:sSub>
            <m:r>
              <w:rPr>
                <w:rFonts w:ascii="Cambria Math" w:eastAsia="Cambria Math" w:hAnsi="Cambria Math" w:cs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cap</m:t>
                </m:r>
              </m:sub>
            </m:sSub>
            <m:r>
              <w:rPr>
                <w:rFonts w:ascii="Cambria Math" w:eastAsia="Cambria Math" w:hAnsi="Cambria Math" w:cs="Cambria Math"/>
              </w:rPr>
              <m:t>[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0</m:t>
                </m:r>
              </m:sub>
            </m:sSub>
            <m:r>
              <w:rPr>
                <w:rFonts w:ascii="Cambria Math" w:eastAsia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e</m:t>
                </m:r>
              </m:sub>
            </m:sSub>
            <m:r>
              <w:rPr>
                <w:rFonts w:ascii="Cambria Math" w:eastAsia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e</m:t>
                </m: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L(x)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ref</m:t>
                    </m:r>
                  </m:sub>
                </m:sSub>
              </m:den>
            </m:f>
            <m:r>
              <w:rPr>
                <w:rFonts w:ascii="Cambria Math" w:eastAsia="Cambria Math" w:hAnsi="Cambria Math" w:cs="Cambria Math"/>
              </w:rPr>
              <m:t>]</m:t>
            </m:r>
          </m:e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LCOE</m:t>
            </m:r>
            <m:r>
              <w:rPr>
                <w:rFonts w:ascii="Cambria Math" w:eastAsia="Cambria Math" w:hAnsi="Cambria Math" w:cs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FCR</m:t>
                </m:r>
                <m:r>
                  <w:rPr>
                    <w:rFonts w:ascii="Cambria Math" w:eastAsia="Cambria Math" w:hAnsi="Cambria Math" w:cs="Cambria Math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cap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cap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</w:rPr>
                  <m:t>1000·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AEP</m:t>
                </m:r>
              </m:den>
            </m:f>
          </m:e>
        </m:eqArr>
      </m:oMath>
      <w:r>
        <w:rPr>
          <w:rFonts w:cs="Times New Roman"/>
          <w:sz w:val="21"/>
        </w:rPr>
        <w:tab/>
        <w:t>(5)</w:t>
      </w:r>
    </w:p>
    <w:p w14:paraId="4BDB4962" w14:textId="77777777" w:rsidR="008E439A" w:rsidRDefault="00000000">
      <w:pPr>
        <w:widowControl/>
        <w:ind w:left="228" w:right="237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2"/>
              </w:rPr>
              <m:t>cap</m:t>
            </m:r>
          </m:sub>
        </m:sSub>
      </m:oMath>
      <w:r>
        <w:rPr>
          <w:rFonts w:ascii="Times New Roman" w:eastAsia="楷体" w:hAnsi="Times New Roman" w:cs="Times New Roman"/>
        </w:rPr>
        <w:t>为总额定容量，单位</w:t>
      </w:r>
      <w:r>
        <w:rPr>
          <w:rFonts w:ascii="Times New Roman" w:eastAsia="楷体" w:hAnsi="Times New Roman" w:cs="Times New Roman"/>
        </w:rPr>
        <w:t>kW</w:t>
      </w:r>
      <w:r>
        <w:rPr>
          <w:rFonts w:ascii="Times New Roman" w:eastAsia="楷体" w:hAnsi="Times New Roman" w:cs="Times New Roman"/>
        </w:rP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2"/>
              </w:rPr>
              <m:t>0</m:t>
            </m:r>
          </m:sub>
        </m:sSub>
      </m:oMath>
      <w:r>
        <w:rPr>
          <w:rFonts w:ascii="Times New Roman" w:eastAsia="楷体" w:hAnsi="Times New Roman" w:cs="Times New Roman"/>
        </w:rPr>
        <w:t>为单位容量总投资，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2"/>
              </w:rPr>
              <m:t>e</m:t>
            </m:r>
          </m:sub>
        </m:sSub>
      </m:oMath>
      <w:r>
        <w:rPr>
          <w:rFonts w:ascii="Times New Roman" w:eastAsia="楷体" w:hAnsi="Times New Roman" w:cs="Times New Roman"/>
        </w:rPr>
        <w:t>为其中的电气基础设施投资，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2"/>
              </w:rPr>
              <m:t>o</m:t>
            </m:r>
          </m:sub>
        </m:sSub>
      </m:oMath>
      <w:r>
        <w:rPr>
          <w:rFonts w:ascii="Times New Roman" w:eastAsia="楷体" w:hAnsi="Times New Roman" w:cs="Times New Roman"/>
        </w:rPr>
        <w:t>为年度运维成本，</w:t>
      </w:r>
      <w:r>
        <w:rPr>
          <w:rFonts w:ascii="Times New Roman" w:eastAsia="楷体" w:hAnsi="Times New Roman" w:cs="Times New Roman"/>
        </w:rPr>
        <w:t>FCR</w:t>
      </w:r>
      <w:r>
        <w:rPr>
          <w:rFonts w:ascii="Times New Roman" w:eastAsia="楷体" w:hAnsi="Times New Roman" w:cs="Times New Roman"/>
        </w:rPr>
        <w:t>为固定年化费率。取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2"/>
              </w:rPr>
              <m:t>0</m:t>
            </m:r>
          </m:sub>
        </m:sSub>
      </m:oMath>
      <w:r>
        <w:rPr>
          <w:rFonts w:ascii="Times New Roman" w:eastAsia="楷体" w:hAnsi="Times New Roman" w:cs="Times New Roman"/>
        </w:rPr>
        <w:t>＝</w:t>
      </w:r>
      <w:r>
        <w:rPr>
          <w:rFonts w:ascii="Times New Roman" w:eastAsia="楷体" w:hAnsi="Times New Roman" w:cs="Times New Roman"/>
        </w:rPr>
        <w:t>1750</w:t>
      </w:r>
      <w:r>
        <w:rPr>
          <w:rFonts w:ascii="Times New Roman" w:eastAsia="楷体" w:hAnsi="Times New Roman" w:cs="Times New Roman"/>
        </w:rPr>
        <w:t>美元</w:t>
      </w:r>
      <w:r>
        <w:rPr>
          <w:rFonts w:ascii="Times New Roman" w:eastAsia="楷体" w:hAnsi="Times New Roman" w:cs="Times New Roman"/>
        </w:rPr>
        <w:t>/kW</w:t>
      </w:r>
      <w:r>
        <w:rPr>
          <w:rFonts w:ascii="Times New Roman" w:eastAsia="楷体" w:hAnsi="Times New Roman" w:cs="Times New Roma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2"/>
              </w:rPr>
              <m:t>e</m:t>
            </m:r>
          </m:sub>
        </m:sSub>
      </m:oMath>
      <w:r>
        <w:rPr>
          <w:rFonts w:ascii="Times New Roman" w:eastAsia="楷体" w:hAnsi="Times New Roman" w:cs="Times New Roman"/>
        </w:rPr>
        <w:t>＝</w:t>
      </w:r>
      <w:r>
        <w:rPr>
          <w:rFonts w:ascii="Times New Roman" w:eastAsia="楷体" w:hAnsi="Times New Roman" w:cs="Times New Roman"/>
        </w:rPr>
        <w:t>64</w:t>
      </w:r>
      <w:r>
        <w:rPr>
          <w:rFonts w:ascii="Times New Roman" w:eastAsia="楷体" w:hAnsi="Times New Roman" w:cs="Times New Roman"/>
        </w:rPr>
        <w:t>美元</w:t>
      </w:r>
      <w:r>
        <w:rPr>
          <w:rFonts w:ascii="Times New Roman" w:eastAsia="楷体" w:hAnsi="Times New Roman" w:cs="Times New Roman"/>
        </w:rPr>
        <w:t>/kW</w:t>
      </w:r>
      <w:r>
        <w:rPr>
          <w:rFonts w:ascii="Times New Roman" w:eastAsia="楷体" w:hAnsi="Times New Roman" w:cs="Times New Roma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2"/>
              </w:rPr>
              <m:t>o</m:t>
            </m:r>
          </m:sub>
        </m:sSub>
      </m:oMath>
      <w:r>
        <w:rPr>
          <w:rFonts w:ascii="Times New Roman" w:eastAsia="楷体" w:hAnsi="Times New Roman" w:cs="Times New Roman"/>
        </w:rPr>
        <w:t>＝</w:t>
      </w:r>
      <w:r>
        <w:rPr>
          <w:rFonts w:ascii="Times New Roman" w:eastAsia="楷体" w:hAnsi="Times New Roman" w:cs="Times New Roman"/>
        </w:rPr>
        <w:t>41</w:t>
      </w:r>
      <w:r>
        <w:rPr>
          <w:rFonts w:ascii="Times New Roman" w:eastAsia="楷体" w:hAnsi="Times New Roman" w:cs="Times New Roman"/>
        </w:rPr>
        <w:t>美元</w:t>
      </w:r>
      <w:r>
        <w:rPr>
          <w:rFonts w:ascii="Times New Roman" w:eastAsia="楷体" w:hAnsi="Times New Roman" w:cs="Times New Roman"/>
        </w:rPr>
        <w:t>/(kW·</w:t>
      </w:r>
      <w:r>
        <w:rPr>
          <w:rFonts w:ascii="Times New Roman" w:eastAsia="楷体" w:hAnsi="Times New Roman" w:cs="Times New Roman"/>
        </w:rPr>
        <w:t>年</w:t>
      </w:r>
      <w:r>
        <w:rPr>
          <w:rFonts w:ascii="Times New Roman" w:eastAsia="楷体" w:hAnsi="Times New Roman" w:cs="Times New Roman"/>
        </w:rPr>
        <w:t>)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FCR</w:t>
      </w:r>
      <w:r>
        <w:rPr>
          <w:rFonts w:ascii="Times New Roman" w:eastAsia="楷体" w:hAnsi="Times New Roman" w:cs="Times New Roman"/>
        </w:rPr>
        <w:t>＝</w:t>
      </w:r>
      <w:r>
        <w:rPr>
          <w:rFonts w:ascii="Times New Roman" w:eastAsia="楷体" w:hAnsi="Times New Roman" w:cs="Times New Roman"/>
        </w:rPr>
        <w:t>0.0673</w:t>
      </w:r>
      <w:r>
        <w:rPr>
          <w:rFonts w:ascii="Times New Roman" w:eastAsia="楷体" w:hAnsi="Times New Roman" w:cs="Times New Roman"/>
        </w:rPr>
        <w:t>，价格基年为</w:t>
      </w:r>
      <w:r>
        <w:rPr>
          <w:rFonts w:ascii="Times New Roman" w:eastAsia="楷体" w:hAnsi="Times New Roman" w:cs="Times New Roman"/>
        </w:rPr>
        <w:t>2022</w:t>
      </w:r>
      <w:r>
        <w:rPr>
          <w:rFonts w:ascii="Times New Roman" w:eastAsia="楷体" w:hAnsi="Times New Roman" w:cs="Times New Roman"/>
        </w:rPr>
        <w:t>年，参数依据</w:t>
      </w:r>
      <w:r>
        <w:rPr>
          <w:rFonts w:ascii="Times New Roman" w:eastAsia="楷体" w:hAnsi="Times New Roman" w:cs="Times New Roman"/>
        </w:rPr>
        <w:t>NREL</w:t>
      </w:r>
      <w:r>
        <w:rPr>
          <w:rFonts w:ascii="Times New Roman" w:eastAsia="楷体" w:hAnsi="Times New Roman" w:cs="Times New Roman"/>
        </w:rPr>
        <w:t>的陆上风电成本研究设置</w:t>
      </w:r>
      <w:r>
        <w:rPr>
          <w:rFonts w:ascii="Times New Roman" w:eastAsia="楷体" w:hAnsi="Times New Roman" w:cs="Times New Roman"/>
        </w:rPr>
        <w:t>[4]</w:t>
      </w:r>
      <w:r>
        <w:rPr>
          <w:rFonts w:ascii="Times New Roman" w:eastAsia="楷体" w:hAnsi="Times New Roman" w:cs="Times New Roman"/>
        </w:rPr>
        <w:t>。其中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  <w:sz w:val="22"/>
              </w:rPr>
              <m:t>e</m:t>
            </m:r>
          </m:sub>
        </m:sSub>
      </m:oMath>
      <w:r>
        <w:rPr>
          <w:rFonts w:ascii="Times New Roman" w:eastAsia="楷体" w:hAnsi="Times New Roman" w:cs="Times New Roman"/>
        </w:rPr>
        <w:t>先从总投资中扣除，再随</w:t>
      </w:r>
      <w:r>
        <w:rPr>
          <w:rFonts w:ascii="Times New Roman" w:eastAsia="楷体" w:hAnsi="Times New Roman" w:cs="Times New Roman"/>
        </w:rPr>
        <w:t>L/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2"/>
              </w:rPr>
              <m:t>ref</m:t>
            </m:r>
          </m:sub>
        </m:sSub>
      </m:oMath>
      <w:r>
        <w:rPr>
          <w:rFonts w:ascii="Times New Roman" w:eastAsia="楷体" w:hAnsi="Times New Roman" w:cs="Times New Roman"/>
        </w:rPr>
        <w:t>加入，避免重复计费。分母将</w:t>
      </w:r>
      <w:r>
        <w:rPr>
          <w:rFonts w:ascii="Times New Roman" w:eastAsia="楷体" w:hAnsi="Times New Roman" w:cs="Times New Roman"/>
        </w:rPr>
        <w:t>GWh</w:t>
      </w:r>
      <w:r>
        <w:rPr>
          <w:rFonts w:ascii="Times New Roman" w:eastAsia="楷体" w:hAnsi="Times New Roman" w:cs="Times New Roman"/>
        </w:rPr>
        <w:t>换算为</w:t>
      </w:r>
      <w:r>
        <w:rPr>
          <w:rFonts w:ascii="Times New Roman" w:eastAsia="楷体" w:hAnsi="Times New Roman" w:cs="Times New Roman"/>
        </w:rPr>
        <w:t>MWh</w:t>
      </w:r>
      <w:r>
        <w:rPr>
          <w:rFonts w:ascii="Times New Roman" w:eastAsia="楷体" w:hAnsi="Times New Roman" w:cs="Times New Roman"/>
        </w:rPr>
        <w:t>，所得</w:t>
      </w:r>
      <w:r>
        <w:rPr>
          <w:rFonts w:ascii="Times New Roman" w:eastAsia="楷体" w:hAnsi="Times New Roman" w:cs="Times New Roman"/>
        </w:rPr>
        <w:t>LCOE</w:t>
      </w:r>
      <w:r>
        <w:rPr>
          <w:rFonts w:ascii="Times New Roman" w:eastAsia="楷体" w:hAnsi="Times New Roman" w:cs="Times New Roman"/>
        </w:rPr>
        <w:t>单位为美元</w:t>
      </w:r>
      <w:r>
        <w:rPr>
          <w:rFonts w:ascii="Times New Roman" w:eastAsia="楷体" w:hAnsi="Times New Roman" w:cs="Times New Roman"/>
        </w:rPr>
        <w:t>/MWh</w:t>
      </w:r>
      <w:r>
        <w:rPr>
          <w:rFonts w:ascii="Times New Roman" w:eastAsia="楷体" w:hAnsi="Times New Roman" w:cs="Times New Roman"/>
        </w:rPr>
        <w:t>。此处采用参考技术参数比较布局经济性，连接长度的线性缩放为本课题的建模规则。</w:t>
      </w:r>
    </w:p>
    <w:p w14:paraId="369B0274" w14:textId="77777777" w:rsidR="008E439A" w:rsidRDefault="00000000">
      <w:pPr>
        <w:pStyle w:val="21"/>
        <w:ind w:left="228" w:right="237"/>
      </w:pPr>
      <w:r>
        <w:rPr>
          <w:rFonts w:cs="Times New Roman"/>
        </w:rPr>
        <w:t>有效开发面积与三目标形式</w:t>
      </w:r>
    </w:p>
    <w:p w14:paraId="73B9EB69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占地目标描述机位集合需要覆盖的开发包络，而不是风机基础面积之和。以选中点的凸包</w:t>
      </w:r>
      <w:r>
        <w:rPr>
          <w:rFonts w:ascii="Times New Roman" w:eastAsia="楷体" w:hAnsi="Times New Roman" w:cs="Times New Roman"/>
        </w:rPr>
        <w:t>H(x)</w:t>
      </w:r>
      <w:r>
        <w:rPr>
          <w:rFonts w:ascii="Times New Roman" w:eastAsia="楷体" w:hAnsi="Times New Roman" w:cs="Times New Roman"/>
        </w:rPr>
        <w:t>表示总包络，扣除其中的禁止开发区域后得到有效面积，同时保存总包络面积便于解释几何变化。</w:t>
      </w:r>
    </w:p>
    <w:p w14:paraId="3E892217" w14:textId="77777777" w:rsidR="008E439A" w:rsidRDefault="00000000">
      <w:pPr>
        <w:pStyle w:val="ReportEquation"/>
        <w:keepNext/>
        <w:keepLines/>
        <w:tabs>
          <w:tab w:val="center" w:pos="4309"/>
          <w:tab w:val="right" w:pos="9014"/>
        </w:tabs>
        <w:spacing w:before="120" w:after="140" w:line="240" w:lineRule="auto"/>
        <w:ind w:left="228" w:right="237"/>
      </w:pPr>
      <w:r>
        <w:lastRenderedPageBreak/>
        <w:tab/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eastAsia="Cambria Math" w:hAnsi="Cambria Math" w:cs="Cambria Math"/>
              </w:rPr>
              <m:t>H(x)=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Conv</m:t>
            </m:r>
            <m:r>
              <w:rPr>
                <w:rFonts w:ascii="Cambria Math" w:eastAsia="Cambria Math" w:hAnsi="Cambria Math" w:cs="Cambria Math"/>
              </w:rPr>
              <m:t>({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  <m:r>
              <w:rPr>
                <w:rFonts w:ascii="Cambria Math" w:eastAsia="Cambria Math" w:hAnsi="Cambria Math" w:cs="Cambria Math"/>
              </w:rPr>
              <m:t>: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  <m:r>
              <w:rPr>
                <w:rFonts w:ascii="Cambria Math" w:eastAsia="Cambria Math" w:hAnsi="Cambria Math" w:cs="Cambria Math"/>
              </w:rPr>
              <m:t>=1})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eff</m:t>
                </m:r>
              </m:sub>
            </m:sSub>
            <m:r>
              <w:rPr>
                <w:rFonts w:ascii="Cambria Math" w:eastAsia="Cambria Math" w:hAnsi="Cambria Math" w:cs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10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-6</m:t>
                </m:r>
              </m:sup>
            </m:s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Area</m:t>
            </m:r>
            <m:r>
              <w:rPr>
                <w:rFonts w:ascii="Cambria Math" w:eastAsia="Cambria Math" w:hAnsi="Cambria Math" w:cs="Cambria Math"/>
              </w:rPr>
              <m:t>[H(x)∩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Ω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a</m:t>
                </m:r>
              </m:sub>
            </m:sSub>
            <m:r>
              <w:rPr>
                <w:rFonts w:ascii="Cambria Math" w:eastAsia="Cambria Math" w:hAnsi="Cambria Math" w:cs="Cambria Math"/>
              </w:rPr>
              <m:t xml:space="preserve">],  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gross</m:t>
                </m:r>
              </m:sub>
            </m:sSub>
            <m:r>
              <w:rPr>
                <w:rFonts w:ascii="Cambria Math" w:eastAsia="Cambria Math" w:hAnsi="Cambria Math" w:cs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10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-6</m:t>
                </m:r>
              </m:sup>
            </m:s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Area</m:t>
            </m:r>
            <m:r>
              <w:rPr>
                <w:rFonts w:ascii="Cambria Math" w:eastAsia="Cambria Math" w:hAnsi="Cambria Math" w:cs="Cambria Math"/>
              </w:rPr>
              <m:t>[H(x)]</m:t>
            </m:r>
          </m:e>
        </m:eqArr>
      </m:oMath>
      <w:r>
        <w:rPr>
          <w:rFonts w:cs="Times New Roman"/>
          <w:sz w:val="21"/>
        </w:rPr>
        <w:tab/>
        <w:t>(6)</w:t>
      </w:r>
    </w:p>
    <w:p w14:paraId="2DEDAB71" w14:textId="77777777" w:rsidR="008E439A" w:rsidRDefault="00000000">
      <w:pPr>
        <w:pStyle w:val="ReportNote"/>
        <w:spacing w:after="100"/>
        <w:ind w:left="228" w:right="237"/>
      </w:pPr>
      <w:r>
        <w:rPr>
          <w:rFonts w:cs="Times New Roman"/>
        </w:rPr>
        <w:t>坐标以米计，面积换算为</w:t>
      </w:r>
      <w:r>
        <w:rPr>
          <w:rFonts w:cs="Times New Roman"/>
        </w:rPr>
        <w:t>km²</w:t>
      </w:r>
      <w:r>
        <w:rPr>
          <w:rFonts w:cs="Times New Roman"/>
        </w:rPr>
        <w:t>。</w:t>
      </w:r>
    </w:p>
    <w:p w14:paraId="11D6D4C9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综合上述定义，求解目标是在式</w:t>
      </w:r>
      <w:r>
        <w:rPr>
          <w:rFonts w:ascii="Times New Roman" w:eastAsia="楷体" w:hAnsi="Times New Roman" w:cs="Times New Roman"/>
        </w:rPr>
        <w:t>(1)</w:t>
      </w:r>
      <w:r>
        <w:rPr>
          <w:rFonts w:ascii="Times New Roman" w:eastAsia="楷体" w:hAnsi="Times New Roman" w:cs="Times New Roman"/>
        </w:rPr>
        <w:t>约束下最小化</w:t>
      </w:r>
      <w:r>
        <w:rPr>
          <w:rFonts w:ascii="Times New Roman" w:eastAsia="楷体" w:hAnsi="Times New Roman" w:cs="Times New Roman"/>
        </w:rPr>
        <w:t>F(x)</w:t>
      </w:r>
      <w:r>
        <w:rPr>
          <w:rFonts w:ascii="Times New Roman" w:eastAsia="楷体" w:hAnsi="Times New Roman" w:cs="Times New Roman"/>
        </w:rPr>
        <w:t>＝</w:t>
      </w:r>
      <w:r>
        <w:rPr>
          <w:rFonts w:ascii="Times New Roman" w:eastAsia="楷体" w:hAnsi="Times New Roman" w:cs="Times New Roman"/>
        </w:rPr>
        <w:t>(−AEP(x),LCOE(x),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2"/>
              </w:rPr>
              <m:t>eff</m:t>
            </m:r>
          </m:sub>
        </m:sSub>
      </m:oMath>
      <w:r>
        <w:rPr>
          <w:rFonts w:ascii="Times New Roman" w:eastAsia="楷体" w:hAnsi="Times New Roman" w:cs="Times New Roman"/>
        </w:rPr>
        <w:t>(x))</w:t>
      </w:r>
      <w:r>
        <w:rPr>
          <w:rFonts w:ascii="Times New Roman" w:eastAsia="楷体" w:hAnsi="Times New Roman" w:cs="Times New Roman"/>
        </w:rPr>
        <w:t>。当一个布局在全部目标上不差、且至少一个目标更好时，它支配另一个布局；最终保留互不支配的可行解。用</w:t>
      </w:r>
      <w:r>
        <w:rPr>
          <w:rFonts w:ascii="Times New Roman" w:eastAsia="楷体" w:hAnsi="Times New Roman" w:cs="Times New Roman"/>
        </w:rPr>
        <w:t>Pareto</w:t>
      </w:r>
      <w:r>
        <w:rPr>
          <w:rFonts w:ascii="Times New Roman" w:eastAsia="楷体" w:hAnsi="Times New Roman" w:cs="Times New Roman"/>
        </w:rPr>
        <w:t>解集表达结果，可以直接展示提高发电量需要付出的用地代价，也能为重视紧凑性或经济性的决策者保留不同方案。有效面积与总包络同时报告，避免把禁布区域扣除造成的面积变化误解为布局本身的压缩。</w:t>
      </w:r>
    </w:p>
    <w:p w14:paraId="79ADE87A" w14:textId="77777777" w:rsidR="008E439A" w:rsidRDefault="00000000">
      <w:pPr>
        <w:pStyle w:val="11"/>
        <w:ind w:left="228" w:right="237"/>
      </w:pPr>
      <w:r>
        <w:rPr>
          <w:rFonts w:cs="Times New Roman"/>
        </w:rPr>
        <w:t>三</w:t>
      </w:r>
      <w:r>
        <w:rPr>
          <w:rFonts w:cs="Times New Roman"/>
        </w:rPr>
        <w:t xml:space="preserve"> </w:t>
      </w:r>
      <w:r>
        <w:rPr>
          <w:rFonts w:cs="Times New Roman"/>
        </w:rPr>
        <w:t>基线算法选择与求解框架</w:t>
      </w:r>
    </w:p>
    <w:p w14:paraId="1FBC78C6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我们选择三种具有不同搜索机制的大规模多目标算法，而不是用同一种算子的多个参数版本充当比较对象。</w:t>
      </w:r>
      <w:r>
        <w:rPr>
          <w:rFonts w:ascii="Times New Roman" w:eastAsia="楷体" w:hAnsi="Times New Roman" w:cs="Times New Roman"/>
        </w:rPr>
        <w:t>CCGDE3</w:t>
      </w:r>
      <w:r>
        <w:rPr>
          <w:rFonts w:ascii="Times New Roman" w:eastAsia="楷体" w:hAnsi="Times New Roman" w:cs="Times New Roman"/>
        </w:rPr>
        <w:t>通过协同进化在变量子组中执行差分搜索</w:t>
      </w:r>
      <w:r>
        <w:rPr>
          <w:rFonts w:ascii="Times New Roman" w:eastAsia="楷体" w:hAnsi="Times New Roman" w:cs="Times New Roman"/>
        </w:rPr>
        <w:t>[5]</w:t>
      </w:r>
      <w:r>
        <w:rPr>
          <w:rFonts w:ascii="Times New Roman" w:eastAsia="楷体" w:hAnsi="Times New Roman" w:cs="Times New Roman"/>
        </w:rPr>
        <w:t>，适合检验局部变量更新能否降低大规模问题的求解开销；</w:t>
      </w:r>
      <w:r>
        <w:rPr>
          <w:rFonts w:ascii="Times New Roman" w:eastAsia="楷体" w:hAnsi="Times New Roman" w:cs="Times New Roman"/>
        </w:rPr>
        <w:t>LMOCSO</w:t>
      </w:r>
      <w:r>
        <w:rPr>
          <w:rFonts w:ascii="Times New Roman" w:eastAsia="楷体" w:hAnsi="Times New Roman" w:cs="Times New Roman"/>
        </w:rPr>
        <w:t>利用竞争关系更新较差粒子的位置和速度</w:t>
      </w:r>
      <w:r>
        <w:rPr>
          <w:rFonts w:ascii="Times New Roman" w:eastAsia="楷体" w:hAnsi="Times New Roman" w:cs="Times New Roman"/>
        </w:rPr>
        <w:t>[6]</w:t>
      </w:r>
      <w:r>
        <w:rPr>
          <w:rFonts w:ascii="Times New Roman" w:eastAsia="楷体" w:hAnsi="Times New Roman" w:cs="Times New Roman"/>
        </w:rPr>
        <w:t>，适合从全局搜索状态保留的角度切入；</w:t>
      </w:r>
      <w:r>
        <w:rPr>
          <w:rFonts w:ascii="Times New Roman" w:eastAsia="楷体" w:hAnsi="Times New Roman" w:cs="Times New Roman"/>
        </w:rPr>
        <w:t>DGEA</w:t>
      </w:r>
      <w:r>
        <w:rPr>
          <w:rFonts w:ascii="Times New Roman" w:eastAsia="楷体" w:hAnsi="Times New Roman" w:cs="Times New Roman"/>
        </w:rPr>
        <w:t>通过预选择和方向向量生成后代</w:t>
      </w:r>
      <w:r>
        <w:rPr>
          <w:rFonts w:ascii="Times New Roman" w:eastAsia="楷体" w:hAnsi="Times New Roman" w:cs="Times New Roman"/>
        </w:rPr>
        <w:t>[7]</w:t>
      </w:r>
      <w:r>
        <w:rPr>
          <w:rFonts w:ascii="Times New Roman" w:eastAsia="楷体" w:hAnsi="Times New Roman" w:cs="Times New Roman"/>
        </w:rPr>
        <w:t>，适合利用当前解集的几何分布组织搜索。算子实现参考</w:t>
      </w:r>
      <w:proofErr w:type="spellStart"/>
      <w:r>
        <w:rPr>
          <w:rFonts w:ascii="Times New Roman" w:eastAsia="楷体" w:hAnsi="Times New Roman" w:cs="Times New Roman"/>
        </w:rPr>
        <w:t>PlatEMO</w:t>
      </w:r>
      <w:proofErr w:type="spellEnd"/>
      <w:r>
        <w:rPr>
          <w:rFonts w:ascii="Times New Roman" w:eastAsia="楷体" w:hAnsi="Times New Roman" w:cs="Times New Roman"/>
        </w:rPr>
        <w:t>公开代码</w:t>
      </w:r>
      <w:r>
        <w:rPr>
          <w:rFonts w:ascii="Times New Roman" w:eastAsia="楷体" w:hAnsi="Times New Roman" w:cs="Times New Roman"/>
        </w:rPr>
        <w:t>[8]</w:t>
      </w:r>
      <w:r>
        <w:rPr>
          <w:rFonts w:ascii="Times New Roman" w:eastAsia="楷体" w:hAnsi="Times New Roman" w:cs="Times New Roman"/>
        </w:rPr>
        <w:t>。</w:t>
      </w:r>
    </w:p>
    <w:p w14:paraId="1C71FF80" w14:textId="77777777" w:rsidR="008E439A" w:rsidRDefault="00000000">
      <w:pPr>
        <w:pStyle w:val="ReportCaption"/>
        <w:keepNext/>
        <w:keepLines/>
        <w:spacing w:before="100" w:after="60"/>
        <w:ind w:left="228" w:right="237"/>
      </w:pPr>
      <w:r>
        <w:rPr>
          <w:rFonts w:cs="Times New Roman"/>
        </w:rPr>
        <w:t>表</w:t>
      </w:r>
      <w:r>
        <w:rPr>
          <w:rFonts w:cs="Times New Roman"/>
        </w:rPr>
        <w:t xml:space="preserve">1 </w:t>
      </w:r>
      <w:r>
        <w:rPr>
          <w:rFonts w:cs="Times New Roman"/>
        </w:rPr>
        <w:t>三种基线的搜索机制及本课题关注的问题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324"/>
        <w:gridCol w:w="5159"/>
      </w:tblGrid>
      <w:tr w:rsidR="008E439A" w14:paraId="60C4FE74" w14:textId="77777777">
        <w:trPr>
          <w:cantSplit/>
          <w:tblHeader/>
          <w:jc w:val="center"/>
        </w:trPr>
        <w:tc>
          <w:tcPr>
            <w:tcW w:w="14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63947C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b/>
                <w:sz w:val="21"/>
              </w:rPr>
              <w:t>算法</w:t>
            </w:r>
          </w:p>
        </w:tc>
        <w:tc>
          <w:tcPr>
            <w:tcW w:w="23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4441B8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b/>
                <w:sz w:val="21"/>
              </w:rPr>
              <w:t>主要搜索机制</w:t>
            </w:r>
          </w:p>
        </w:tc>
        <w:tc>
          <w:tcPr>
            <w:tcW w:w="51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A2688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b/>
                <w:sz w:val="21"/>
              </w:rPr>
              <w:t>本课题中的关键问题</w:t>
            </w:r>
          </w:p>
        </w:tc>
      </w:tr>
      <w:tr w:rsidR="008E439A" w14:paraId="5CD01D61" w14:textId="77777777">
        <w:trPr>
          <w:cantSplit/>
          <w:jc w:val="center"/>
        </w:trPr>
        <w:tc>
          <w:tcPr>
            <w:tcW w:w="14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629A30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CCGDE3</w:t>
            </w:r>
          </w:p>
        </w:tc>
        <w:tc>
          <w:tcPr>
            <w:tcW w:w="23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C1C215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分组协同进化与差分搜索</w:t>
            </w:r>
          </w:p>
        </w:tc>
        <w:tc>
          <w:tcPr>
            <w:tcW w:w="51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3F84A2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组内更新如何保持组外机位不变，减少全局修复对协作信息的破坏</w:t>
            </w:r>
          </w:p>
        </w:tc>
      </w:tr>
      <w:tr w:rsidR="008E439A" w14:paraId="260A0102" w14:textId="77777777">
        <w:trPr>
          <w:cantSplit/>
          <w:jc w:val="center"/>
        </w:trPr>
        <w:tc>
          <w:tcPr>
            <w:tcW w:w="14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040CF9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LMOCSO</w:t>
            </w:r>
          </w:p>
        </w:tc>
        <w:tc>
          <w:tcPr>
            <w:tcW w:w="23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72742A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粒子竞争与速度位置更新</w:t>
            </w:r>
          </w:p>
        </w:tc>
        <w:tc>
          <w:tcPr>
            <w:tcW w:w="51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F4295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离散修复如何保留搜索方向，并防止有效种群过早缩小</w:t>
            </w:r>
          </w:p>
        </w:tc>
      </w:tr>
      <w:tr w:rsidR="008E439A" w14:paraId="08FE404B" w14:textId="77777777">
        <w:trPr>
          <w:cantSplit/>
          <w:jc w:val="center"/>
        </w:trPr>
        <w:tc>
          <w:tcPr>
            <w:tcW w:w="14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D56A03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DGEA</w:t>
            </w:r>
          </w:p>
        </w:tc>
        <w:tc>
          <w:tcPr>
            <w:tcW w:w="23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0EF72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预选择与方向引导产生后代</w:t>
            </w:r>
          </w:p>
        </w:tc>
        <w:tc>
          <w:tcPr>
            <w:tcW w:w="51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FEDA01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如何保留父代等级与方向结构，并引导候选进入有价值的权衡区域</w:t>
            </w:r>
          </w:p>
        </w:tc>
      </w:tr>
    </w:tbl>
    <w:p w14:paraId="1CF52E40" w14:textId="77777777" w:rsidR="008E439A" w:rsidRDefault="00000000">
      <w:pPr>
        <w:pStyle w:val="ReportNote"/>
        <w:spacing w:after="60" w:line="20" w:lineRule="exact"/>
        <w:ind w:left="228" w:right="237"/>
      </w:pPr>
      <w:r>
        <w:rPr>
          <w:rFonts w:cs="Times New Roman"/>
          <w:sz w:val="2"/>
        </w:rPr>
        <w:t xml:space="preserve"> </w:t>
      </w:r>
    </w:p>
    <w:p w14:paraId="04FC1F27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三种算法均使用</w:t>
      </w:r>
      <w:r>
        <w:rPr>
          <w:rFonts w:ascii="Times New Roman" w:eastAsia="楷体" w:hAnsi="Times New Roman" w:cs="Times New Roman"/>
        </w:rPr>
        <w:t>M</w:t>
      </w:r>
      <w:r>
        <w:rPr>
          <w:rFonts w:ascii="Times New Roman" w:eastAsia="楷体" w:hAnsi="Times New Roman" w:cs="Times New Roman"/>
        </w:rPr>
        <w:t>维随机键向量表示布局，各坐标取值在</w:t>
      </w:r>
      <w:r>
        <w:rPr>
          <w:rFonts w:ascii="Times New Roman" w:eastAsia="楷体" w:hAnsi="Times New Roman" w:cs="Times New Roman"/>
        </w:rPr>
        <w:t>[0,1]</w:t>
      </w:r>
      <w:r>
        <w:rPr>
          <w:rFonts w:ascii="Times New Roman" w:eastAsia="楷体" w:hAnsi="Times New Roman" w:cs="Times New Roman"/>
        </w:rPr>
        <w:t>范围内，取键值最小的</w:t>
      </w:r>
      <w:r>
        <w:rPr>
          <w:rFonts w:ascii="Times New Roman" w:eastAsia="楷体" w:hAnsi="Times New Roman" w:cs="Times New Roman"/>
        </w:rPr>
        <w:t>N</w:t>
      </w:r>
      <w:r>
        <w:rPr>
          <w:rFonts w:ascii="Times New Roman" w:eastAsia="楷体" w:hAnsi="Times New Roman" w:cs="Times New Roman"/>
        </w:rPr>
        <w:t>个候选点作为初始选择。出现冲突时按排序执行贪心补点，并进行有界回溯。修复后的实际机位集合写回搜索表示，再计算三项目标。目标在搜索过程中采用固定物理尺度缩放，使能量、成本和面积的数值量级不会直接主导选择。用于结果比较的</w:t>
      </w:r>
      <w:r>
        <w:rPr>
          <w:rFonts w:ascii="Times New Roman" w:eastAsia="楷体" w:hAnsi="Times New Roman" w:cs="Times New Roman"/>
        </w:rPr>
        <w:t>HV</w:t>
      </w:r>
      <w:r>
        <w:rPr>
          <w:rFonts w:ascii="Times New Roman" w:eastAsia="楷体" w:hAnsi="Times New Roman" w:cs="Times New Roman"/>
        </w:rPr>
        <w:t>归一化另行统一处理，不改变搜索过程。</w:t>
      </w:r>
    </w:p>
    <w:p w14:paraId="5743BCBC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本项目的</w:t>
      </w:r>
      <w:r>
        <w:rPr>
          <w:rFonts w:ascii="Times New Roman" w:eastAsia="楷体" w:hAnsi="Times New Roman" w:cs="Times New Roman"/>
        </w:rPr>
        <w:t>CCGDE3</w:t>
      </w:r>
      <w:r>
        <w:rPr>
          <w:rFonts w:ascii="Times New Roman" w:eastAsia="楷体" w:hAnsi="Times New Roman" w:cs="Times New Roman"/>
        </w:rPr>
        <w:t>为基于原算法框架的</w:t>
      </w:r>
      <w:r>
        <w:rPr>
          <w:rFonts w:ascii="Times New Roman" w:eastAsia="楷体" w:hAnsi="Times New Roman" w:cs="Times New Roman"/>
        </w:rPr>
        <w:t>Python</w:t>
      </w:r>
      <w:r>
        <w:rPr>
          <w:rFonts w:ascii="Times New Roman" w:eastAsia="楷体" w:hAnsi="Times New Roman" w:cs="Times New Roman"/>
        </w:rPr>
        <w:t>适配版，采用尾流耦合与冲突关系形成变量组，保留协同差分进化和</w:t>
      </w:r>
      <w:r>
        <w:rPr>
          <w:rFonts w:ascii="Times New Roman" w:eastAsia="楷体" w:hAnsi="Times New Roman" w:cs="Times New Roman"/>
        </w:rPr>
        <w:t>GDE3</w:t>
      </w:r>
      <w:r>
        <w:rPr>
          <w:rFonts w:ascii="Times New Roman" w:eastAsia="楷体" w:hAnsi="Times New Roman" w:cs="Times New Roman"/>
        </w:rPr>
        <w:t>环境选择。组规模约</w:t>
      </w:r>
      <w:r>
        <w:rPr>
          <w:rFonts w:ascii="Times New Roman" w:eastAsia="楷体" w:hAnsi="Times New Roman" w:cs="Times New Roman"/>
        </w:rPr>
        <w:t>100</w:t>
      </w:r>
      <w:r>
        <w:rPr>
          <w:rFonts w:ascii="Times New Roman" w:eastAsia="楷体" w:hAnsi="Times New Roman" w:cs="Times New Roman"/>
        </w:rPr>
        <w:t>个变量，每组</w:t>
      </w:r>
      <w:r>
        <w:rPr>
          <w:rFonts w:ascii="Times New Roman" w:eastAsia="楷体" w:hAnsi="Times New Roman" w:cs="Times New Roman"/>
        </w:rPr>
        <w:t>40</w:t>
      </w:r>
      <w:r>
        <w:rPr>
          <w:rFonts w:ascii="Times New Roman" w:eastAsia="楷体" w:hAnsi="Times New Roman" w:cs="Times New Roman"/>
        </w:rPr>
        <w:t>个个体，因此</w:t>
      </w:r>
      <w:r>
        <w:rPr>
          <w:rFonts w:ascii="Times New Roman" w:eastAsia="楷体" w:hAnsi="Times New Roman" w:cs="Times New Roman"/>
        </w:rPr>
        <w:t>800</w:t>
      </w:r>
      <w:r>
        <w:rPr>
          <w:rFonts w:ascii="Times New Roman" w:eastAsia="楷体" w:hAnsi="Times New Roman" w:cs="Times New Roman"/>
        </w:rPr>
        <w:t>与</w:t>
      </w:r>
      <w:r>
        <w:rPr>
          <w:rFonts w:ascii="Times New Roman" w:eastAsia="楷体" w:hAnsi="Times New Roman" w:cs="Times New Roman"/>
        </w:rPr>
        <w:t>1600</w:t>
      </w:r>
      <w:r>
        <w:rPr>
          <w:rFonts w:ascii="Times New Roman" w:eastAsia="楷体" w:hAnsi="Times New Roman" w:cs="Times New Roman"/>
        </w:rPr>
        <w:t>候选点分别形成</w:t>
      </w:r>
      <w:r>
        <w:rPr>
          <w:rFonts w:ascii="Times New Roman" w:eastAsia="楷体" w:hAnsi="Times New Roman" w:cs="Times New Roman"/>
        </w:rPr>
        <w:t>8</w:t>
      </w:r>
      <w:r>
        <w:rPr>
          <w:rFonts w:ascii="Times New Roman" w:eastAsia="楷体" w:hAnsi="Times New Roman" w:cs="Times New Roman"/>
        </w:rPr>
        <w:t>组和</w:t>
      </w:r>
      <w:r>
        <w:rPr>
          <w:rFonts w:ascii="Times New Roman" w:eastAsia="楷体" w:hAnsi="Times New Roman" w:cs="Times New Roman"/>
        </w:rPr>
        <w:t>16</w:t>
      </w:r>
      <w:r>
        <w:rPr>
          <w:rFonts w:ascii="Times New Roman" w:eastAsia="楷体" w:hAnsi="Times New Roman" w:cs="Times New Roman"/>
        </w:rPr>
        <w:t>组。</w:t>
      </w:r>
      <w:r>
        <w:rPr>
          <w:rFonts w:ascii="Times New Roman" w:eastAsia="楷体" w:hAnsi="Times New Roman" w:cs="Times New Roman"/>
        </w:rPr>
        <w:t>LMOCSO</w:t>
      </w:r>
      <w:r>
        <w:rPr>
          <w:rFonts w:ascii="Times New Roman" w:eastAsia="楷体" w:hAnsi="Times New Roman" w:cs="Times New Roman"/>
        </w:rPr>
        <w:t>与</w:t>
      </w:r>
      <w:r>
        <w:rPr>
          <w:rFonts w:ascii="Times New Roman" w:eastAsia="楷体" w:hAnsi="Times New Roman" w:cs="Times New Roman"/>
        </w:rPr>
        <w:t>DGEA</w:t>
      </w:r>
      <w:r>
        <w:rPr>
          <w:rFonts w:ascii="Times New Roman" w:eastAsia="楷体" w:hAnsi="Times New Roman" w:cs="Times New Roman"/>
        </w:rPr>
        <w:t>沿用各自的竞争更新、预选择和方向产生机制。所有方法共享同一个目标评价后端，从相同种子生成的</w:t>
      </w:r>
      <w:r>
        <w:rPr>
          <w:rFonts w:ascii="Times New Roman" w:eastAsia="楷体" w:hAnsi="Times New Roman" w:cs="Times New Roman"/>
        </w:rPr>
        <w:t>100</w:t>
      </w:r>
      <w:r>
        <w:rPr>
          <w:rFonts w:ascii="Times New Roman" w:eastAsia="楷体" w:hAnsi="Times New Roman" w:cs="Times New Roman"/>
        </w:rPr>
        <w:t>个初始布局出发；运行中的实际工作种群规模由各自的选择机制决定。</w:t>
      </w:r>
    </w:p>
    <w:p w14:paraId="5CAC6085" w14:textId="77777777" w:rsidR="008E439A" w:rsidRDefault="00000000">
      <w:pPr>
        <w:pStyle w:val="11"/>
        <w:ind w:left="228" w:right="237"/>
      </w:pPr>
      <w:r>
        <w:rPr>
          <w:rFonts w:cs="Times New Roman"/>
        </w:rPr>
        <w:lastRenderedPageBreak/>
        <w:t>四</w:t>
      </w:r>
      <w:r>
        <w:rPr>
          <w:rFonts w:cs="Times New Roman"/>
        </w:rPr>
        <w:t xml:space="preserve"> </w:t>
      </w:r>
      <w:r>
        <w:rPr>
          <w:rFonts w:cs="Times New Roman"/>
        </w:rPr>
        <w:t>面向位置禁布约束的算法改进</w:t>
      </w:r>
    </w:p>
    <w:p w14:paraId="5BFFC18E" w14:textId="77777777" w:rsidR="008E439A" w:rsidRDefault="00000000">
      <w:pPr>
        <w:pStyle w:val="21"/>
        <w:ind w:left="228" w:right="237"/>
      </w:pPr>
      <w:r>
        <w:rPr>
          <w:rFonts w:cs="Times New Roman"/>
        </w:rPr>
        <w:t>用实际布局识别搜索状态</w:t>
      </w:r>
    </w:p>
    <w:p w14:paraId="7DB14C5C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随机键表示存在大量等价关系：两个数值不同的向量，经过排序和修复后可能对应同一组机位。如果只在连续空间计算距离或去重，算法会把这种差异误认为新布局。我们将排序后的候选点索引集合作为布局标识，用它管理评价缓存、物理重复检查和精英保留。对已经评价过的布局复用目标值，但重复请求仍计入</w:t>
      </w:r>
      <w:r>
        <w:rPr>
          <w:rFonts w:ascii="Times New Roman" w:eastAsia="楷体" w:hAnsi="Times New Roman" w:cs="Times New Roman"/>
        </w:rPr>
        <w:t>10000</w:t>
      </w:r>
      <w:r>
        <w:rPr>
          <w:rFonts w:ascii="Times New Roman" w:eastAsia="楷体" w:hAnsi="Times New Roman" w:cs="Times New Roman"/>
        </w:rPr>
        <w:t>次总预算，避免缓存机制掩盖搜索浪费。</w:t>
      </w:r>
    </w:p>
    <w:p w14:paraId="15CB5538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布局可行并不等于搜索有效。算法还需要在保留优秀目标值的同时维持不同的机位组合。</w:t>
      </w:r>
      <w:r>
        <w:rPr>
          <w:rFonts w:ascii="Times New Roman" w:eastAsia="楷体" w:hAnsi="Times New Roman" w:cs="Times New Roman"/>
        </w:rPr>
        <w:t>CCGDE3</w:t>
      </w:r>
      <w:r>
        <w:rPr>
          <w:rFonts w:ascii="Times New Roman" w:eastAsia="楷体" w:hAnsi="Times New Roman" w:cs="Times New Roman"/>
        </w:rPr>
        <w:t>改进版先按非支配等级选择，截断时综合归一化目标距离与机位集合差异，并优先保留目标极端解；</w:t>
      </w:r>
      <w:r>
        <w:rPr>
          <w:rFonts w:ascii="Times New Roman" w:eastAsia="楷体" w:hAnsi="Times New Roman" w:cs="Times New Roman"/>
        </w:rPr>
        <w:t>LMOCSO</w:t>
      </w:r>
      <w:r>
        <w:rPr>
          <w:rFonts w:ascii="Times New Roman" w:eastAsia="楷体" w:hAnsi="Times New Roman" w:cs="Times New Roman"/>
        </w:rPr>
        <w:t>与</w:t>
      </w:r>
      <w:r>
        <w:rPr>
          <w:rFonts w:ascii="Times New Roman" w:eastAsia="楷体" w:hAnsi="Times New Roman" w:cs="Times New Roman"/>
        </w:rPr>
        <w:t>DGEA</w:t>
      </w:r>
      <w:r>
        <w:rPr>
          <w:rFonts w:ascii="Times New Roman" w:eastAsia="楷体" w:hAnsi="Times New Roman" w:cs="Times New Roman"/>
        </w:rPr>
        <w:t>则在自己的选择过程中按物理布局去重。这样，多样性控制直接作用于最终决策，而不是只比较随机键的数值差别。</w:t>
      </w:r>
    </w:p>
    <w:p w14:paraId="3490F91F" w14:textId="77777777" w:rsidR="008E439A" w:rsidRDefault="00000000">
      <w:pPr>
        <w:pStyle w:val="21"/>
        <w:ind w:left="228" w:right="237"/>
      </w:pPr>
      <w:r>
        <w:rPr>
          <w:rFonts w:cs="Times New Roman"/>
        </w:rPr>
        <w:t>CCGDE3</w:t>
      </w:r>
      <w:r>
        <w:rPr>
          <w:rFonts w:cs="Times New Roman"/>
        </w:rPr>
        <w:t>的可行协作上下文与跨组交换</w:t>
      </w:r>
    </w:p>
    <w:p w14:paraId="38B1E172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协同进化通常把不同子种群的代表拼成一个协作向量。在存在间距约束时，这种拼接可能使某一组的改动牵连其他组，随后全局修复又把组外机位改变，导致父子比较失去共同背景。我们为每次组更新选择一个完整可行的上下文，固定组外已选机位，只在当前组中构造候选。任何补点都先检查与固定机位的冲突，父布局与后代在同一组外条件下比较。</w:t>
      </w:r>
    </w:p>
    <w:p w14:paraId="1B229B52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每个后代最多尝试</w:t>
      </w:r>
      <w:r>
        <w:rPr>
          <w:rFonts w:ascii="Times New Roman" w:eastAsia="楷体" w:hAnsi="Times New Roman" w:cs="Times New Roman"/>
        </w:rPr>
        <w:t>24</w:t>
      </w:r>
      <w:r>
        <w:rPr>
          <w:rFonts w:ascii="Times New Roman" w:eastAsia="楷体" w:hAnsi="Times New Roman" w:cs="Times New Roman"/>
        </w:rPr>
        <w:t>次有界投影，常规更新允许最多</w:t>
      </w:r>
      <w:r>
        <w:rPr>
          <w:rFonts w:ascii="Times New Roman" w:eastAsia="楷体" w:hAnsi="Times New Roman" w:cs="Times New Roman"/>
        </w:rPr>
        <w:t>8</w:t>
      </w:r>
      <w:r>
        <w:rPr>
          <w:rFonts w:ascii="Times New Roman" w:eastAsia="楷体" w:hAnsi="Times New Roman" w:cs="Times New Roman"/>
        </w:rPr>
        <w:t>个机位变化；无法形成合法新布局时保留真实父布局。每轮组循环后再执行一次跨组交换，允许调整仅靠单组搜索难以改变的组合。该方案保持了协同差分进化的主框架，同时把约束处理嵌入产生过程，减少修复对协作信息的破坏。局部交换也为精确增量尾流评价提供了可利用的父子关系。</w:t>
      </w:r>
    </w:p>
    <w:p w14:paraId="19AD6884" w14:textId="77777777" w:rsidR="008E439A" w:rsidRDefault="00000000">
      <w:pPr>
        <w:pStyle w:val="21"/>
        <w:ind w:left="228" w:right="237"/>
      </w:pPr>
      <w:r>
        <w:rPr>
          <w:rFonts w:cs="Times New Roman"/>
        </w:rPr>
        <w:t>LMOCSO</w:t>
      </w:r>
      <w:r>
        <w:rPr>
          <w:rFonts w:cs="Times New Roman"/>
        </w:rPr>
        <w:t>的稀疏回写与有效种群保留</w:t>
      </w:r>
    </w:p>
    <w:p w14:paraId="2C8F4D9F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竞争群优化依靠速度和位置之间的连续关系积累搜索方向。若修复对整个随机键向量重新排序赋值，即使只替换少数机位，也可能重置大量仍然有效的速度分量。我们采用稀疏回写：只调整进入和退出选中集合的坐标，以及无法避免的排序边界并列项；布局未变时保留原始状态。只有被修复实际移动的坐标才清零速度。合法的大步候选直接接受，不统一截断到</w:t>
      </w:r>
      <w:r>
        <w:rPr>
          <w:rFonts w:ascii="Times New Roman" w:eastAsia="楷体" w:hAnsi="Times New Roman" w:cs="Times New Roman"/>
        </w:rPr>
        <w:t>8</w:t>
      </w:r>
      <w:r>
        <w:rPr>
          <w:rFonts w:ascii="Times New Roman" w:eastAsia="楷体" w:hAnsi="Times New Roman" w:cs="Times New Roman"/>
        </w:rPr>
        <w:t>个机位变化。</w:t>
      </w:r>
    </w:p>
    <w:p w14:paraId="10A1930C" w14:textId="77777777" w:rsidR="008E439A" w:rsidRDefault="00000000">
      <w:pPr>
        <w:pStyle w:val="ReportEquation"/>
        <w:keepLines/>
        <w:tabs>
          <w:tab w:val="center" w:pos="4309"/>
          <w:tab w:val="right" w:pos="9014"/>
        </w:tabs>
        <w:spacing w:before="120" w:after="140" w:line="240" w:lineRule="auto"/>
        <w:ind w:left="228" w:right="237"/>
      </w:pPr>
      <w:r>
        <w:tab/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l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t+1</m:t>
                </m:r>
              </m:sup>
            </m:sSubSup>
            <m:r>
              <w:rPr>
                <w:rFonts w:ascii="Cambria Math" w:eastAsia="Cambria Math" w:hAnsi="Cambria Math" w:cs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l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t</m:t>
                </m:r>
              </m:sup>
            </m:sSubSup>
            <m:r>
              <w:rPr>
                <w:rFonts w:ascii="Cambria Math" w:eastAsia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</w:rPr>
              <m:t>(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</w:rPr>
                  <m:t>z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w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t</m:t>
                </m:r>
              </m:sup>
            </m:sSubSup>
            <m:r>
              <w:rPr>
                <w:rFonts w:ascii="Cambria Math" w:eastAsia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</w:rPr>
                  <m:t>z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l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t</m:t>
                </m:r>
              </m:sup>
            </m:sSubSup>
            <m:r>
              <w:rPr>
                <w:rFonts w:ascii="Cambria Math" w:eastAsia="Cambria Math" w:hAnsi="Cambria Math" w:cs="Cambria Math"/>
              </w:rPr>
              <m:t>)</m:t>
            </m:r>
          </m:e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</w:rPr>
                  <m:t>z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l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t+1</m:t>
                </m:r>
              </m:sup>
            </m:sSubSup>
            <m:r>
              <w:rPr>
                <w:rFonts w:ascii="Cambria Math" w:eastAsia="Cambria Math" w:hAnsi="Cambria Math" w:cs="Cambria Math"/>
              </w:rPr>
              <m:t>=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</w:rPr>
                  <m:t>z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l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t</m:t>
                </m:r>
              </m:sup>
            </m:sSubSup>
            <m:r>
              <w:rPr>
                <w:rFonts w:ascii="Cambria Math" w:eastAsia="Cambria Math" w:hAnsi="Cambria Math" w:cs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l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t+1</m:t>
                </m:r>
              </m:sup>
            </m:sSubSup>
            <m:r>
              <w:rPr>
                <w:rFonts w:ascii="Cambria Math" w:eastAsia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</w:rPr>
              <m:t>(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l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t+1</m:t>
                </m:r>
              </m:sup>
            </m:sSubSup>
            <m:r>
              <w:rPr>
                <w:rFonts w:ascii="Cambria Math" w:eastAsia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l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t</m:t>
                </m:r>
              </m:sup>
            </m:sSubSup>
            <m:r>
              <w:rPr>
                <w:rFonts w:ascii="Cambria Math" w:eastAsia="Cambria Math" w:hAnsi="Cambria Math" w:cs="Cambria Math"/>
              </w:rPr>
              <m:t>)</m:t>
            </m:r>
          </m:e>
        </m:eqArr>
      </m:oMath>
      <w:r>
        <w:rPr>
          <w:rFonts w:cs="Times New Roman"/>
          <w:sz w:val="21"/>
        </w:rPr>
        <w:tab/>
        <w:t>(7)</w:t>
      </w:r>
    </w:p>
    <w:p w14:paraId="2192F560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式中</w:t>
      </w:r>
      <w:r>
        <w:rPr>
          <w:rFonts w:ascii="Times New Roman" w:eastAsia="楷体" w:hAnsi="Times New Roman" w:cs="Times New Roman"/>
        </w:rPr>
        <w:t>l</w:t>
      </w:r>
      <w:r>
        <w:rPr>
          <w:rFonts w:ascii="Times New Roman" w:eastAsia="楷体" w:hAnsi="Times New Roman" w:cs="Times New Roman"/>
        </w:rPr>
        <w:t>与</w:t>
      </w:r>
      <w:r>
        <w:rPr>
          <w:rFonts w:ascii="Times New Roman" w:eastAsia="楷体" w:hAnsi="Times New Roman" w:cs="Times New Roman"/>
        </w:rPr>
        <w:t>w</w:t>
      </w:r>
      <w:r>
        <w:rPr>
          <w:rFonts w:ascii="Times New Roman" w:eastAsia="楷体" w:hAnsi="Times New Roman" w:cs="Times New Roman"/>
        </w:rPr>
        <w:t>分别表示竞争中的较差和较好粒子，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sz w:val="22"/>
              </w:rPr>
              <m:t>1</m:t>
            </m:r>
          </m:sub>
        </m:sSub>
      </m:oMath>
      <w:r>
        <w:rPr>
          <w:rFonts w:ascii="Times New Roman" w:eastAsia="楷体" w:hAnsi="Times New Roman" w:cs="Times New Roma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sz w:val="22"/>
              </w:rPr>
              <m:t>2</m:t>
            </m:r>
          </m:sub>
        </m:sSub>
      </m:oMath>
      <w:r>
        <w:rPr>
          <w:rFonts w:ascii="Times New Roman" w:eastAsia="楷体" w:hAnsi="Times New Roman" w:cs="Times New Roman"/>
        </w:rPr>
        <w:t>为随机系数。改进保留这一更新关系，在选择阶段设置</w:t>
      </w:r>
      <w:r>
        <w:rPr>
          <w:rFonts w:ascii="Times New Roman" w:eastAsia="楷体" w:hAnsi="Times New Roman" w:cs="Times New Roman"/>
        </w:rPr>
        <w:t>20</w:t>
      </w:r>
      <w:r>
        <w:rPr>
          <w:rFonts w:ascii="Times New Roman" w:eastAsia="楷体" w:hAnsi="Times New Roman" w:cs="Times New Roman"/>
        </w:rPr>
        <w:t>个不同可行布局的工作种群下限：首先保留原有非支配与角度惩罚距离选择的优胜者，不足时从现有候选中按目标质量补足，不额外注入未计费的随机解。同一布局的后代优先保留新状态，使中性的物理移动仍能积累后续搜索所需的速度信息。</w:t>
      </w:r>
    </w:p>
    <w:p w14:paraId="1DDC1854" w14:textId="77777777" w:rsidR="008E439A" w:rsidRDefault="00000000">
      <w:pPr>
        <w:pStyle w:val="21"/>
        <w:ind w:left="228" w:right="237"/>
      </w:pPr>
      <w:r>
        <w:rPr>
          <w:rFonts w:cs="Times New Roman"/>
        </w:rPr>
        <w:lastRenderedPageBreak/>
        <w:t>DGEA</w:t>
      </w:r>
      <w:r>
        <w:rPr>
          <w:rFonts w:cs="Times New Roman"/>
        </w:rPr>
        <w:t>的方向保持与物理局部细化</w:t>
      </w:r>
    </w:p>
    <w:p w14:paraId="1F9E07B0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DGEA</w:t>
      </w:r>
      <w:r>
        <w:rPr>
          <w:rFonts w:ascii="Times New Roman" w:eastAsia="楷体" w:hAnsi="Times New Roman" w:cs="Times New Roman"/>
        </w:rPr>
        <w:t>的方向来自预选择后的父代及其等级关系。我们保留预选择返回的集合和等级，避免把刚被淘汰的个体重新合并为父代，稀释方向选择的作用。生成后代时记录真实起点，将稀疏回写与可行修复应用于该起点对应的布局。局部细化产生的候选进入后代集合和外部档案，继续由原框架的选择机制决定去留。</w:t>
      </w:r>
    </w:p>
    <w:p w14:paraId="0C99B51F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LMOCSO</w:t>
      </w:r>
      <w:r>
        <w:rPr>
          <w:rFonts w:ascii="Times New Roman" w:eastAsia="楷体" w:hAnsi="Times New Roman" w:cs="Times New Roman"/>
        </w:rPr>
        <w:t>与</w:t>
      </w:r>
      <w:r>
        <w:rPr>
          <w:rFonts w:ascii="Times New Roman" w:eastAsia="楷体" w:hAnsi="Times New Roman" w:cs="Times New Roman"/>
        </w:rPr>
        <w:t>DGEA</w:t>
      </w:r>
      <w:r>
        <w:rPr>
          <w:rFonts w:ascii="Times New Roman" w:eastAsia="楷体" w:hAnsi="Times New Roman" w:cs="Times New Roman"/>
        </w:rPr>
        <w:t>共用一项针对风电场结构的局部交换策略。能量模式优先替换尾流影响较强的机位，并选择耦合较弱的可行替代点；面积模式优先移除凸包边界上影响较大的顶点，再从当前包络内部补入机位；成本模式优先调整与邻近网络连接较远的机位。三个模式依次轮换，廉价筛选只负责提出候选，最终是否有价值仍由完整三目标评价和环境选择决定。</w:t>
      </w:r>
    </w:p>
    <w:p w14:paraId="7FC612FE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每次原生更新后，局部细化最多使用约为该次原生请求数四分之一的额外请求，因而设计上的局部预算上限约占后续总请求的</w:t>
      </w:r>
      <w:r>
        <w:rPr>
          <w:rFonts w:ascii="Times New Roman" w:eastAsia="楷体" w:hAnsi="Times New Roman" w:cs="Times New Roman"/>
        </w:rPr>
        <w:t>20%</w:t>
      </w:r>
      <w:r>
        <w:rPr>
          <w:rFonts w:ascii="Times New Roman" w:eastAsia="楷体" w:hAnsi="Times New Roman" w:cs="Times New Roman"/>
        </w:rPr>
        <w:t>。无可用交换时跳过，真实占比以运行记录为准。该安排让大部分预算继续用于原算法的全局搜索，用较少预算向物理上有明确改进方向的区域推进。算法</w:t>
      </w:r>
      <w:r>
        <w:rPr>
          <w:rFonts w:ascii="Times New Roman" w:eastAsia="楷体" w:hAnsi="Times New Roman" w:cs="Times New Roman"/>
        </w:rPr>
        <w:t>1</w:t>
      </w:r>
      <w:r>
        <w:rPr>
          <w:rFonts w:ascii="Times New Roman" w:eastAsia="楷体" w:hAnsi="Times New Roman" w:cs="Times New Roman"/>
        </w:rPr>
        <w:t>给出两类改进共同遵循的流程。</w:t>
      </w:r>
    </w:p>
    <w:p w14:paraId="6CD384F8" w14:textId="77777777" w:rsidR="008E439A" w:rsidRDefault="00000000">
      <w:pPr>
        <w:pStyle w:val="ReportCaption"/>
        <w:keepNext/>
        <w:keepLines/>
        <w:spacing w:before="100" w:after="60"/>
        <w:ind w:left="228" w:right="237"/>
      </w:pPr>
      <w:r>
        <w:rPr>
          <w:rFonts w:cs="Times New Roman"/>
        </w:rPr>
        <w:t>算法</w:t>
      </w:r>
      <w:r>
        <w:rPr>
          <w:rFonts w:cs="Times New Roman"/>
        </w:rPr>
        <w:t xml:space="preserve">1 </w:t>
      </w:r>
      <w:r>
        <w:rPr>
          <w:rFonts w:cs="Times New Roman"/>
        </w:rPr>
        <w:t>约束保持的混合进化求解流程</w:t>
      </w:r>
    </w:p>
    <w:p w14:paraId="09A1111D" w14:textId="77777777" w:rsidR="008E439A" w:rsidRDefault="00000000">
      <w:pPr>
        <w:widowControl/>
        <w:spacing w:after="60"/>
        <w:ind w:left="548" w:right="237" w:hanging="320"/>
      </w:pPr>
      <w:r>
        <w:rPr>
          <w:rFonts w:ascii="Times New Roman" w:eastAsia="楷体" w:hAnsi="Times New Roman" w:cs="Times New Roman"/>
        </w:rPr>
        <w:t xml:space="preserve">1  </w:t>
      </w:r>
      <w:r>
        <w:rPr>
          <w:rFonts w:ascii="Times New Roman" w:eastAsia="楷体" w:hAnsi="Times New Roman" w:cs="Times New Roman"/>
        </w:rPr>
        <w:t>输入合法候选点、冲突图、风况、机组参数、随机种子和总评价预算。</w:t>
      </w:r>
    </w:p>
    <w:p w14:paraId="031A321F" w14:textId="77777777" w:rsidR="008E439A" w:rsidRDefault="00000000">
      <w:pPr>
        <w:widowControl/>
        <w:spacing w:after="60"/>
        <w:ind w:left="548" w:right="237" w:hanging="320"/>
      </w:pPr>
      <w:r>
        <w:rPr>
          <w:rFonts w:ascii="Times New Roman" w:eastAsia="楷体" w:hAnsi="Times New Roman" w:cs="Times New Roman"/>
        </w:rPr>
        <w:t xml:space="preserve">2  </w:t>
      </w:r>
      <w:r>
        <w:rPr>
          <w:rFonts w:ascii="Times New Roman" w:eastAsia="楷体" w:hAnsi="Times New Roman" w:cs="Times New Roman"/>
        </w:rPr>
        <w:t>产生共同初始布局，修复并评价，初始化各算法的工作种群、档案和布局缓存。</w:t>
      </w:r>
    </w:p>
    <w:p w14:paraId="1F0185A9" w14:textId="77777777" w:rsidR="008E439A" w:rsidRDefault="00000000">
      <w:pPr>
        <w:widowControl/>
        <w:spacing w:after="60"/>
        <w:ind w:left="548" w:right="237" w:hanging="320"/>
      </w:pPr>
      <w:r>
        <w:rPr>
          <w:rFonts w:ascii="Times New Roman" w:eastAsia="楷体" w:hAnsi="Times New Roman" w:cs="Times New Roman"/>
        </w:rPr>
        <w:t xml:space="preserve">3  </w:t>
      </w:r>
      <w:r>
        <w:rPr>
          <w:rFonts w:ascii="Times New Roman" w:eastAsia="楷体" w:hAnsi="Times New Roman" w:cs="Times New Roman"/>
        </w:rPr>
        <w:t>在剩余预算内执行原生算子：协同差分进化、竞争粒子更新或方向产生后代。</w:t>
      </w:r>
    </w:p>
    <w:p w14:paraId="1871794B" w14:textId="77777777" w:rsidR="008E439A" w:rsidRDefault="00000000">
      <w:pPr>
        <w:widowControl/>
        <w:spacing w:after="60"/>
        <w:ind w:left="548" w:right="237" w:hanging="320"/>
      </w:pPr>
      <w:r>
        <w:rPr>
          <w:rFonts w:ascii="Times New Roman" w:eastAsia="楷体" w:hAnsi="Times New Roman" w:cs="Times New Roman"/>
        </w:rPr>
        <w:t>4  CC+</w:t>
      </w:r>
      <w:r>
        <w:rPr>
          <w:rFonts w:ascii="Times New Roman" w:eastAsia="楷体" w:hAnsi="Times New Roman" w:cs="Times New Roman"/>
        </w:rPr>
        <w:t>固定组外上下文完成可行投影；</w:t>
      </w:r>
      <w:r>
        <w:rPr>
          <w:rFonts w:ascii="Times New Roman" w:eastAsia="楷体" w:hAnsi="Times New Roman" w:cs="Times New Roman"/>
        </w:rPr>
        <w:t>LM+</w:t>
      </w:r>
      <w:r>
        <w:rPr>
          <w:rFonts w:ascii="Times New Roman" w:eastAsia="楷体" w:hAnsi="Times New Roman" w:cs="Times New Roman"/>
        </w:rPr>
        <w:t>与</w:t>
      </w:r>
      <w:r>
        <w:rPr>
          <w:rFonts w:ascii="Times New Roman" w:eastAsia="楷体" w:hAnsi="Times New Roman" w:cs="Times New Roman"/>
        </w:rPr>
        <w:t>DG+</w:t>
      </w:r>
      <w:r>
        <w:rPr>
          <w:rFonts w:ascii="Times New Roman" w:eastAsia="楷体" w:hAnsi="Times New Roman" w:cs="Times New Roman"/>
        </w:rPr>
        <w:t>保留合法大步候选，对修复结果稀疏回写。</w:t>
      </w:r>
    </w:p>
    <w:p w14:paraId="5446F502" w14:textId="77777777" w:rsidR="008E439A" w:rsidRDefault="00000000">
      <w:pPr>
        <w:widowControl/>
        <w:spacing w:after="60"/>
        <w:ind w:left="548" w:right="237" w:hanging="320"/>
      </w:pPr>
      <w:r>
        <w:rPr>
          <w:rFonts w:ascii="Times New Roman" w:eastAsia="楷体" w:hAnsi="Times New Roman" w:cs="Times New Roman"/>
        </w:rPr>
        <w:t xml:space="preserve">5  </w:t>
      </w:r>
      <w:r>
        <w:rPr>
          <w:rFonts w:ascii="Times New Roman" w:eastAsia="楷体" w:hAnsi="Times New Roman" w:cs="Times New Roman"/>
        </w:rPr>
        <w:t>评价候选并计费；</w:t>
      </w:r>
      <w:r>
        <w:rPr>
          <w:rFonts w:ascii="Times New Roman" w:eastAsia="楷体" w:hAnsi="Times New Roman" w:cs="Times New Roman"/>
        </w:rPr>
        <w:t>CC+</w:t>
      </w:r>
      <w:r>
        <w:rPr>
          <w:rFonts w:ascii="Times New Roman" w:eastAsia="楷体" w:hAnsi="Times New Roman" w:cs="Times New Roman"/>
        </w:rPr>
        <w:t>按轮次加入跨组交换，</w:t>
      </w:r>
      <w:r>
        <w:rPr>
          <w:rFonts w:ascii="Times New Roman" w:eastAsia="楷体" w:hAnsi="Times New Roman" w:cs="Times New Roman"/>
        </w:rPr>
        <w:t>LM+</w:t>
      </w:r>
      <w:r>
        <w:rPr>
          <w:rFonts w:ascii="Times New Roman" w:eastAsia="楷体" w:hAnsi="Times New Roman" w:cs="Times New Roman"/>
        </w:rPr>
        <w:t>与</w:t>
      </w:r>
      <w:r>
        <w:rPr>
          <w:rFonts w:ascii="Times New Roman" w:eastAsia="楷体" w:hAnsi="Times New Roman" w:cs="Times New Roman"/>
        </w:rPr>
        <w:t>DG+</w:t>
      </w:r>
      <w:r>
        <w:rPr>
          <w:rFonts w:ascii="Times New Roman" w:eastAsia="楷体" w:hAnsi="Times New Roman" w:cs="Times New Roman"/>
        </w:rPr>
        <w:t>轮换执行能量、面积、成本局部交换。</w:t>
      </w:r>
    </w:p>
    <w:p w14:paraId="4132217F" w14:textId="77777777" w:rsidR="008E439A" w:rsidRDefault="00000000">
      <w:pPr>
        <w:widowControl/>
        <w:spacing w:after="60"/>
        <w:ind w:left="548" w:right="237" w:hanging="320"/>
      </w:pPr>
      <w:r>
        <w:rPr>
          <w:rFonts w:ascii="Times New Roman" w:eastAsia="楷体" w:hAnsi="Times New Roman" w:cs="Times New Roman"/>
        </w:rPr>
        <w:t xml:space="preserve">6  </w:t>
      </w:r>
      <w:r>
        <w:rPr>
          <w:rFonts w:ascii="Times New Roman" w:eastAsia="楷体" w:hAnsi="Times New Roman" w:cs="Times New Roman"/>
        </w:rPr>
        <w:t>依据可行性、非支配关系及各自选择机制更新种群和档案，记录物理重复与累计</w:t>
      </w:r>
      <w:r>
        <w:rPr>
          <w:rFonts w:ascii="Times New Roman" w:eastAsia="楷体" w:hAnsi="Times New Roman" w:cs="Times New Roman"/>
        </w:rPr>
        <w:t>CPU</w:t>
      </w:r>
      <w:r>
        <w:rPr>
          <w:rFonts w:ascii="Times New Roman" w:eastAsia="楷体" w:hAnsi="Times New Roman" w:cs="Times New Roman"/>
        </w:rPr>
        <w:t>时间。</w:t>
      </w:r>
    </w:p>
    <w:p w14:paraId="3B3BE1D3" w14:textId="77777777" w:rsidR="008E439A" w:rsidRDefault="00000000">
      <w:pPr>
        <w:widowControl/>
        <w:spacing w:after="60"/>
        <w:ind w:left="548" w:right="237" w:hanging="320"/>
      </w:pPr>
      <w:r>
        <w:rPr>
          <w:rFonts w:ascii="Times New Roman" w:eastAsia="楷体" w:hAnsi="Times New Roman" w:cs="Times New Roman"/>
        </w:rPr>
        <w:t xml:space="preserve">7  </w:t>
      </w:r>
      <w:r>
        <w:rPr>
          <w:rFonts w:ascii="Times New Roman" w:eastAsia="楷体" w:hAnsi="Times New Roman" w:cs="Times New Roman"/>
        </w:rPr>
        <w:t>预算耗尽后，从全部已访问的可行布局中统一重建非支配集，输出布局坐标及三个目标值。</w:t>
      </w:r>
    </w:p>
    <w:p w14:paraId="03532995" w14:textId="77777777" w:rsidR="008E439A" w:rsidRDefault="00000000">
      <w:pPr>
        <w:pStyle w:val="21"/>
        <w:ind w:left="228" w:right="237"/>
      </w:pPr>
      <w:r>
        <w:rPr>
          <w:rFonts w:cs="Times New Roman"/>
        </w:rPr>
        <w:t>精确增量评价与计算复杂度</w:t>
      </w:r>
    </w:p>
    <w:p w14:paraId="286EE903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尾流核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  <w:sz w:val="22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2"/>
              </w:rPr>
              <m:t>qij</m:t>
            </m:r>
          </m:sub>
        </m:sSub>
      </m:oMath>
      <w:r>
        <w:rPr>
          <w:rFonts w:ascii="Times New Roman" w:eastAsia="楷体" w:hAnsi="Times New Roman" w:cs="Times New Roman"/>
        </w:rPr>
        <w:t>保存候选点</w:t>
      </w:r>
      <w:r>
        <w:rPr>
          <w:rFonts w:ascii="Times New Roman" w:eastAsia="楷体" w:hAnsi="Times New Roman" w:cs="Times New Roman"/>
        </w:rPr>
        <w:t>j</w:t>
      </w:r>
      <w:r>
        <w:rPr>
          <w:rFonts w:ascii="Times New Roman" w:eastAsia="楷体" w:hAnsi="Times New Roman" w:cs="Times New Roman"/>
        </w:rPr>
        <w:t>对点</w:t>
      </w:r>
      <w:proofErr w:type="spellStart"/>
      <w:r>
        <w:rPr>
          <w:rFonts w:ascii="Times New Roman" w:eastAsia="楷体" w:hAnsi="Times New Roman" w:cs="Times New Roman"/>
        </w:rPr>
        <w:t>i</w:t>
      </w:r>
      <w:proofErr w:type="spellEnd"/>
      <w:r>
        <w:rPr>
          <w:rFonts w:ascii="Times New Roman" w:eastAsia="楷体" w:hAnsi="Times New Roman" w:cs="Times New Roman"/>
        </w:rPr>
        <w:t>的亏损平方。完整累加需要遍历所有已选风机对；当父子布局只改变少量机位时，对共同保留的受影响风机可以减去移出点的贡献，再加上移入点的贡献。新增受影响风机仍从完整的新布局累加，保证结果与全量计算一致。</w:t>
      </w:r>
    </w:p>
    <w:p w14:paraId="41EDCE31" w14:textId="77777777" w:rsidR="008E439A" w:rsidRDefault="00000000">
      <w:pPr>
        <w:pStyle w:val="ReportEquation"/>
        <w:keepNext/>
        <w:keepLines/>
        <w:tabs>
          <w:tab w:val="center" w:pos="4309"/>
          <w:tab w:val="right" w:pos="9014"/>
        </w:tabs>
        <w:spacing w:before="120" w:after="140" w:line="240" w:lineRule="auto"/>
        <w:ind w:left="228" w:right="237"/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W</m:t>
            </m:r>
          </m:e>
          <m:sub>
            <m:r>
              <w:rPr>
                <w:rFonts w:ascii="Cambria Math" w:eastAsia="Cambria Math" w:hAnsi="Cambria Math" w:cs="Cambria Math"/>
              </w:rPr>
              <m:t>iq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new</m:t>
            </m:r>
          </m:sup>
        </m:sSubSup>
        <m:r>
          <w:rPr>
            <w:rFonts w:ascii="Cambria Math" w:eastAsia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W</m:t>
            </m:r>
          </m:e>
          <m:sub>
            <m:r>
              <w:rPr>
                <w:rFonts w:ascii="Cambria Math" w:eastAsia="Cambria Math" w:hAnsi="Cambria Math" w:cs="Cambria Math"/>
              </w:rPr>
              <m:t>iq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old</m:t>
            </m:r>
          </m:sup>
        </m:sSubSup>
        <m:r>
          <w:rPr>
            <w:rFonts w:ascii="Cambria Math" w:eastAsia="Cambria Math" w:hAnsi="Cambria Math" w:cs="Cambria Math"/>
          </w:rPr>
          <m:t>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j∈D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qij</m:t>
                </m:r>
              </m:sub>
            </m:sSub>
          </m:e>
        </m:nary>
        <m:r>
          <w:rPr>
            <w:rFonts w:ascii="Cambria Math" w:eastAsia="Cambria Math" w:hAnsi="Cambria Math" w:cs="Cambria Math"/>
          </w:rPr>
          <m:t>+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j∈A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qij</m:t>
                </m:r>
              </m:sub>
            </m:sSub>
          </m:e>
        </m:nary>
      </m:oMath>
      <w:r>
        <w:rPr>
          <w:rFonts w:cs="Times New Roman"/>
          <w:sz w:val="21"/>
        </w:rPr>
        <w:tab/>
        <w:t>(8)</w:t>
      </w:r>
    </w:p>
    <w:p w14:paraId="5B0BFDD3" w14:textId="77777777" w:rsidR="008E439A" w:rsidRDefault="00000000">
      <w:pPr>
        <w:pStyle w:val="ReportNote"/>
        <w:spacing w:after="100"/>
        <w:ind w:left="228" w:right="237"/>
      </w:pPr>
      <w:r>
        <w:rPr>
          <w:rFonts w:cs="Times New Roman"/>
        </w:rPr>
        <w:t>D</w:t>
      </w:r>
      <w:r>
        <w:rPr>
          <w:rFonts w:cs="Times New Roman"/>
        </w:rPr>
        <w:t>和</w:t>
      </w:r>
      <w:r>
        <w:rPr>
          <w:rFonts w:cs="Times New Roman"/>
        </w:rPr>
        <w:t>A</w:t>
      </w:r>
      <w:r>
        <w:rPr>
          <w:rFonts w:cs="Times New Roman"/>
        </w:rPr>
        <w:t>分别为移出与移入机位集合；该式应用于共同保留的受影响风机。</w:t>
      </w:r>
    </w:p>
    <w:p w14:paraId="76156130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设</w:t>
      </w:r>
      <w:r>
        <w:rPr>
          <w:rFonts w:ascii="Times New Roman" w:eastAsia="楷体" w:hAnsi="Times New Roman" w:cs="Times New Roman"/>
        </w:rPr>
        <w:t>Q</w:t>
      </w:r>
      <w:r>
        <w:rPr>
          <w:rFonts w:ascii="Times New Roman" w:eastAsia="楷体" w:hAnsi="Times New Roman" w:cs="Times New Roman"/>
        </w:rPr>
        <w:t>为风向数，</w:t>
      </w:r>
      <w:r>
        <w:rPr>
          <w:rFonts w:ascii="Times New Roman" w:eastAsia="楷体" w:hAnsi="Times New Roman" w:cs="Times New Roman"/>
        </w:rPr>
        <w:t>k</w:t>
      </w:r>
      <w:r>
        <w:rPr>
          <w:rFonts w:ascii="Times New Roman" w:eastAsia="楷体" w:hAnsi="Times New Roman" w:cs="Times New Roman"/>
        </w:rPr>
        <w:t>为替换机位数。尾流核预计算与存储均为</w:t>
      </w:r>
      <w:r>
        <w:rPr>
          <w:rFonts w:ascii="Times New Roman" w:eastAsia="楷体" w:hAnsi="Times New Roman" w:cs="Times New Roman"/>
        </w:rPr>
        <w:t>O(QM²)</w:t>
      </w:r>
      <w:r>
        <w:rPr>
          <w:rFonts w:ascii="Times New Roman" w:eastAsia="楷体" w:hAnsi="Times New Roman" w:cs="Times New Roman"/>
        </w:rPr>
        <w:t>，全量尾流累加为</w:t>
      </w:r>
      <w:r>
        <w:rPr>
          <w:rFonts w:ascii="Times New Roman" w:eastAsia="楷体" w:hAnsi="Times New Roman" w:cs="Times New Roman"/>
        </w:rPr>
        <w:t>O(QN²)</w:t>
      </w:r>
      <w:r>
        <w:rPr>
          <w:rFonts w:ascii="Times New Roman" w:eastAsia="楷体" w:hAnsi="Times New Roman" w:cs="Times New Roman"/>
        </w:rPr>
        <w:t>，局部更新为</w:t>
      </w:r>
      <w:r>
        <w:rPr>
          <w:rFonts w:ascii="Times New Roman" w:eastAsia="楷体" w:hAnsi="Times New Roman" w:cs="Times New Roman"/>
        </w:rPr>
        <w:t>O(</w:t>
      </w:r>
      <w:proofErr w:type="spellStart"/>
      <w:r>
        <w:rPr>
          <w:rFonts w:ascii="Times New Roman" w:eastAsia="楷体" w:hAnsi="Times New Roman" w:cs="Times New Roman"/>
        </w:rPr>
        <w:t>QNk</w:t>
      </w:r>
      <w:proofErr w:type="spellEnd"/>
      <w:r>
        <w:rPr>
          <w:rFonts w:ascii="Times New Roman" w:eastAsia="楷体" w:hAnsi="Times New Roman" w:cs="Times New Roman"/>
        </w:rPr>
        <w:t>)</w:t>
      </w:r>
      <w:r>
        <w:rPr>
          <w:rFonts w:ascii="Times New Roman" w:eastAsia="楷体" w:hAnsi="Times New Roman" w:cs="Times New Roman"/>
        </w:rPr>
        <w:t>；在</w:t>
      </w:r>
      <w:r>
        <w:rPr>
          <w:rFonts w:ascii="Times New Roman" w:eastAsia="楷体" w:hAnsi="Times New Roman" w:cs="Times New Roman"/>
        </w:rPr>
        <w:t>M</w:t>
      </w:r>
      <w:r>
        <w:rPr>
          <w:rFonts w:ascii="Times New Roman" w:eastAsia="楷体" w:hAnsi="Times New Roman" w:cs="Times New Roman"/>
        </w:rPr>
        <w:t>＝</w:t>
      </w:r>
      <w:r>
        <w:rPr>
          <w:rFonts w:ascii="Times New Roman" w:eastAsia="楷体" w:hAnsi="Times New Roman" w:cs="Times New Roman"/>
        </w:rPr>
        <w:t>1600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Q</w:t>
      </w:r>
      <w:r>
        <w:rPr>
          <w:rFonts w:ascii="Times New Roman" w:eastAsia="楷体" w:hAnsi="Times New Roman" w:cs="Times New Roman"/>
        </w:rPr>
        <w:t>＝</w:t>
      </w:r>
      <w:r>
        <w:rPr>
          <w:rFonts w:ascii="Times New Roman" w:eastAsia="楷体" w:hAnsi="Times New Roman" w:cs="Times New Roman"/>
        </w:rPr>
        <w:t>24</w:t>
      </w:r>
      <w:r>
        <w:rPr>
          <w:rFonts w:ascii="Times New Roman" w:eastAsia="楷体" w:hAnsi="Times New Roman" w:cs="Times New Roman"/>
        </w:rPr>
        <w:t>时，双精度尾流核约占</w:t>
      </w:r>
      <w:r>
        <w:rPr>
          <w:rFonts w:ascii="Times New Roman" w:eastAsia="楷体" w:hAnsi="Times New Roman" w:cs="Times New Roman"/>
        </w:rPr>
        <w:t>469 MiB</w:t>
      </w:r>
      <w:r>
        <w:rPr>
          <w:rFonts w:ascii="Times New Roman" w:eastAsia="楷体" w:hAnsi="Times New Roman" w:cs="Times New Roman"/>
        </w:rPr>
        <w:t>。</w:t>
      </w:r>
      <w:r>
        <w:rPr>
          <w:rFonts w:ascii="Times New Roman" w:eastAsia="楷体" w:hAnsi="Times New Roman" w:cs="Times New Roman"/>
        </w:rPr>
        <w:lastRenderedPageBreak/>
        <w:t>缓存采用只读映射，多个运行复用同一模型数据。连接网络统一用稠密</w:t>
      </w:r>
      <w:r>
        <w:rPr>
          <w:rFonts w:ascii="Times New Roman" w:eastAsia="楷体" w:hAnsi="Times New Roman" w:cs="Times New Roman"/>
        </w:rPr>
        <w:t>Prim</w:t>
      </w:r>
      <w:r>
        <w:rPr>
          <w:rFonts w:ascii="Times New Roman" w:eastAsia="楷体" w:hAnsi="Times New Roman" w:cs="Times New Roman"/>
        </w:rPr>
        <w:t>精确求解完整图最小生成树，其复杂度为</w:t>
      </w:r>
      <w:r>
        <w:rPr>
          <w:rFonts w:ascii="Times New Roman" w:eastAsia="楷体" w:hAnsi="Times New Roman" w:cs="Times New Roman"/>
        </w:rPr>
        <w:t>O(N²)</w:t>
      </w:r>
      <w:r>
        <w:rPr>
          <w:rFonts w:ascii="Times New Roman" w:eastAsia="楷体" w:hAnsi="Times New Roman" w:cs="Times New Roman"/>
        </w:rPr>
        <w:t>，不通过稀疏删边改变成本目标。</w:t>
      </w:r>
    </w:p>
    <w:p w14:paraId="2D3E70F7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随机键排序为</w:t>
      </w:r>
      <w:r>
        <w:rPr>
          <w:rFonts w:ascii="Times New Roman" w:eastAsia="楷体" w:hAnsi="Times New Roman" w:cs="Times New Roman"/>
        </w:rPr>
        <w:t>O(M log M)</w:t>
      </w:r>
      <w:r>
        <w:rPr>
          <w:rFonts w:ascii="Times New Roman" w:eastAsia="楷体" w:hAnsi="Times New Roman" w:cs="Times New Roman"/>
        </w:rPr>
        <w:t>，冲突图上的一次贪心构造在稠密实现下最多需要</w:t>
      </w:r>
      <w:r>
        <w:rPr>
          <w:rFonts w:ascii="Times New Roman" w:eastAsia="楷体" w:hAnsi="Times New Roman" w:cs="Times New Roman"/>
        </w:rPr>
        <w:t>O(NM)</w:t>
      </w:r>
      <w:r>
        <w:rPr>
          <w:rFonts w:ascii="Times New Roman" w:eastAsia="楷体" w:hAnsi="Times New Roman" w:cs="Times New Roman"/>
        </w:rPr>
        <w:t>操作；有界尝试次数保持常数。工作种群规模为</w:t>
      </w:r>
      <w:r>
        <w:rPr>
          <w:rFonts w:ascii="Times New Roman" w:eastAsia="楷体" w:hAnsi="Times New Roman" w:cs="Times New Roman"/>
        </w:rPr>
        <w:t>P</w:t>
      </w:r>
      <w:r>
        <w:rPr>
          <w:rFonts w:ascii="Times New Roman" w:eastAsia="楷体" w:hAnsi="Times New Roman" w:cs="Times New Roman"/>
        </w:rPr>
        <w:t>时，三目标距离的成对比较为</w:t>
      </w:r>
      <w:r>
        <w:rPr>
          <w:rFonts w:ascii="Times New Roman" w:eastAsia="楷体" w:hAnsi="Times New Roman" w:cs="Times New Roman"/>
        </w:rPr>
        <w:t>O(P²)</w:t>
      </w:r>
      <w:r>
        <w:rPr>
          <w:rFonts w:ascii="Times New Roman" w:eastAsia="楷体" w:hAnsi="Times New Roman" w:cs="Times New Roman"/>
        </w:rPr>
        <w:t>，</w:t>
      </w:r>
      <w:r>
        <w:rPr>
          <w:rFonts w:ascii="Times New Roman" w:eastAsia="楷体" w:hAnsi="Times New Roman" w:cs="Times New Roman"/>
        </w:rPr>
        <w:t>CC+</w:t>
      </w:r>
      <w:r>
        <w:rPr>
          <w:rFonts w:ascii="Times New Roman" w:eastAsia="楷体" w:hAnsi="Times New Roman" w:cs="Times New Roman"/>
        </w:rPr>
        <w:t>若使用长度</w:t>
      </w:r>
      <w:r>
        <w:rPr>
          <w:rFonts w:ascii="Times New Roman" w:eastAsia="楷体" w:hAnsi="Times New Roman" w:cs="Times New Roman"/>
        </w:rPr>
        <w:t>M</w:t>
      </w:r>
      <w:r>
        <w:rPr>
          <w:rFonts w:ascii="Times New Roman" w:eastAsia="楷体" w:hAnsi="Times New Roman" w:cs="Times New Roman"/>
        </w:rPr>
        <w:t>的机位成员向量计算物理差异则为</w:t>
      </w:r>
      <w:r>
        <w:rPr>
          <w:rFonts w:ascii="Times New Roman" w:eastAsia="楷体" w:hAnsi="Times New Roman" w:cs="Times New Roman"/>
        </w:rPr>
        <w:t>O(P²M)</w:t>
      </w:r>
      <w:r>
        <w:rPr>
          <w:rFonts w:ascii="Times New Roman" w:eastAsia="楷体" w:hAnsi="Times New Roman" w:cs="Times New Roman"/>
        </w:rPr>
        <w:t>。</w:t>
      </w:r>
      <w:r>
        <w:rPr>
          <w:rFonts w:ascii="Times New Roman" w:eastAsia="楷体" w:hAnsi="Times New Roman" w:cs="Times New Roman"/>
        </w:rPr>
        <w:t>LM+</w:t>
      </w:r>
      <w:r>
        <w:rPr>
          <w:rFonts w:ascii="Times New Roman" w:eastAsia="楷体" w:hAnsi="Times New Roman" w:cs="Times New Roman"/>
        </w:rPr>
        <w:t>与</w:t>
      </w:r>
      <w:r>
        <w:rPr>
          <w:rFonts w:ascii="Times New Roman" w:eastAsia="楷体" w:hAnsi="Times New Roman" w:cs="Times New Roman"/>
        </w:rPr>
        <w:t>DG+</w:t>
      </w:r>
      <w:r>
        <w:rPr>
          <w:rFonts w:ascii="Times New Roman" w:eastAsia="楷体" w:hAnsi="Times New Roman" w:cs="Times New Roman"/>
        </w:rPr>
        <w:t>每次局部筛选的主要代价为</w:t>
      </w:r>
      <w:r>
        <w:rPr>
          <w:rFonts w:ascii="Times New Roman" w:eastAsia="楷体" w:hAnsi="Times New Roman" w:cs="Times New Roman"/>
        </w:rPr>
        <w:t>O(MN)</w:t>
      </w:r>
      <w:r>
        <w:rPr>
          <w:rFonts w:ascii="Times New Roman" w:eastAsia="楷体" w:hAnsi="Times New Roman" w:cs="Times New Roman"/>
        </w:rPr>
        <w:t>。因此，尾流增量更新降低了局部累加成本，完整算法仍需承担连接、可行性检查和筛选开销。我们把共同的精确评价加速提供给全部基线，用实测</w:t>
      </w:r>
      <w:r>
        <w:rPr>
          <w:rFonts w:ascii="Times New Roman" w:eastAsia="楷体" w:hAnsi="Times New Roman" w:cs="Times New Roman"/>
        </w:rPr>
        <w:t>CPU</w:t>
      </w:r>
      <w:r>
        <w:rPr>
          <w:rFonts w:ascii="Times New Roman" w:eastAsia="楷体" w:hAnsi="Times New Roman" w:cs="Times New Roman"/>
        </w:rPr>
        <w:t>时间判断改进算子的实际收益。</w:t>
      </w:r>
    </w:p>
    <w:p w14:paraId="4F807764" w14:textId="77777777" w:rsidR="008E439A" w:rsidRDefault="00000000">
      <w:pPr>
        <w:pStyle w:val="11"/>
        <w:ind w:left="228" w:right="237"/>
      </w:pPr>
      <w:r>
        <w:rPr>
          <w:rFonts w:cs="Times New Roman"/>
        </w:rPr>
        <w:t>五</w:t>
      </w:r>
      <w:r>
        <w:rPr>
          <w:rFonts w:cs="Times New Roman"/>
        </w:rPr>
        <w:t xml:space="preserve"> </w:t>
      </w:r>
      <w:r>
        <w:rPr>
          <w:rFonts w:cs="Times New Roman"/>
        </w:rPr>
        <w:t>实验设计与验证方法</w:t>
      </w:r>
    </w:p>
    <w:p w14:paraId="0E7111FF" w14:textId="77777777" w:rsidR="008E439A" w:rsidRDefault="00000000">
      <w:pPr>
        <w:pStyle w:val="21"/>
        <w:ind w:left="228" w:right="237"/>
      </w:pPr>
      <w:r>
        <w:rPr>
          <w:rFonts w:cs="Times New Roman"/>
        </w:rPr>
        <w:t>算例和预算</w:t>
      </w:r>
    </w:p>
    <w:p w14:paraId="22CC0EDF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正式实验在冻结模型与算法版本后进行，使用</w:t>
      </w:r>
      <w:r>
        <w:rPr>
          <w:rFonts w:ascii="Times New Roman" w:eastAsia="楷体" w:hAnsi="Times New Roman" w:cs="Times New Roman"/>
        </w:rPr>
        <w:t>1101</w:t>
      </w:r>
      <w:r>
        <w:rPr>
          <w:rFonts w:ascii="Times New Roman" w:eastAsia="楷体" w:hAnsi="Times New Roman" w:cs="Times New Roman"/>
        </w:rPr>
        <w:t>至</w:t>
      </w:r>
      <w:r>
        <w:rPr>
          <w:rFonts w:ascii="Times New Roman" w:eastAsia="楷体" w:hAnsi="Times New Roman" w:cs="Times New Roman"/>
        </w:rPr>
        <w:t>1110</w:t>
      </w:r>
      <w:r>
        <w:rPr>
          <w:rFonts w:ascii="Times New Roman" w:eastAsia="楷体" w:hAnsi="Times New Roman" w:cs="Times New Roman"/>
        </w:rPr>
        <w:t>这</w:t>
      </w:r>
      <w:r>
        <w:rPr>
          <w:rFonts w:ascii="Times New Roman" w:eastAsia="楷体" w:hAnsi="Times New Roman" w:cs="Times New Roman"/>
        </w:rPr>
        <w:t>10</w:t>
      </w:r>
      <w:r>
        <w:rPr>
          <w:rFonts w:ascii="Times New Roman" w:eastAsia="楷体" w:hAnsi="Times New Roman" w:cs="Times New Roman"/>
        </w:rPr>
        <w:t>个新随机种子。算例</w:t>
      </w: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</w:rPr>
        <w:t>和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采用相同风况与平地地形，分别设置</w:t>
      </w:r>
      <w:r>
        <w:rPr>
          <w:rFonts w:ascii="Times New Roman" w:eastAsia="楷体" w:hAnsi="Times New Roman" w:cs="Times New Roman"/>
        </w:rPr>
        <w:t>800</w:t>
      </w:r>
      <w:r>
        <w:rPr>
          <w:rFonts w:ascii="Times New Roman" w:eastAsia="楷体" w:hAnsi="Times New Roman" w:cs="Times New Roman"/>
        </w:rPr>
        <w:t>和</w:t>
      </w:r>
      <w:r>
        <w:rPr>
          <w:rFonts w:ascii="Times New Roman" w:eastAsia="楷体" w:hAnsi="Times New Roman" w:cs="Times New Roman"/>
        </w:rPr>
        <w:t>1600</w:t>
      </w:r>
      <w:r>
        <w:rPr>
          <w:rFonts w:ascii="Times New Roman" w:eastAsia="楷体" w:hAnsi="Times New Roman" w:cs="Times New Roman"/>
        </w:rPr>
        <w:t>个候选点，用于比较候选空间扩大后的表现；算例</w:t>
      </w:r>
      <w:r>
        <w:rPr>
          <w:rFonts w:ascii="Times New Roman" w:eastAsia="楷体" w:hAnsi="Times New Roman" w:cs="Times New Roman"/>
        </w:rPr>
        <w:t>C</w:t>
      </w:r>
      <w:r>
        <w:rPr>
          <w:rFonts w:ascii="Times New Roman" w:eastAsia="楷体" w:hAnsi="Times New Roman" w:cs="Times New Roman"/>
        </w:rPr>
        <w:t>采用另一组风况与合成山脊地形，检验方法在更复杂场景中的适应性。</w:t>
      </w:r>
      <w:r>
        <w:rPr>
          <w:rFonts w:ascii="Times New Roman" w:eastAsia="楷体" w:hAnsi="Times New Roman" w:cs="Times New Roman"/>
        </w:rPr>
        <w:t>C</w:t>
      </w:r>
      <w:r>
        <w:rPr>
          <w:rFonts w:ascii="Times New Roman" w:eastAsia="楷体" w:hAnsi="Times New Roman" w:cs="Times New Roman"/>
        </w:rPr>
        <w:t>同时改变风况和地形，其结果按场景整体解释。三个算例均安装</w:t>
      </w:r>
      <w:r>
        <w:rPr>
          <w:rFonts w:ascii="Times New Roman" w:eastAsia="楷体" w:hAnsi="Times New Roman" w:cs="Times New Roman"/>
        </w:rPr>
        <w:t>400</w:t>
      </w:r>
      <w:r>
        <w:rPr>
          <w:rFonts w:ascii="Times New Roman" w:eastAsia="楷体" w:hAnsi="Times New Roman" w:cs="Times New Roman"/>
        </w:rPr>
        <w:t>台</w:t>
      </w:r>
      <w:r>
        <w:rPr>
          <w:rFonts w:ascii="Times New Roman" w:eastAsia="楷体" w:hAnsi="Times New Roman" w:cs="Times New Roman"/>
        </w:rPr>
        <w:t>1.5 MW</w:t>
      </w:r>
      <w:r>
        <w:rPr>
          <w:rFonts w:ascii="Times New Roman" w:eastAsia="楷体" w:hAnsi="Times New Roman" w:cs="Times New Roman"/>
        </w:rPr>
        <w:t>机组，总容量</w:t>
      </w:r>
      <w:r>
        <w:rPr>
          <w:rFonts w:ascii="Times New Roman" w:eastAsia="楷体" w:hAnsi="Times New Roman" w:cs="Times New Roman"/>
        </w:rPr>
        <w:t>600 MW</w:t>
      </w:r>
      <w:r>
        <w:rPr>
          <w:rFonts w:ascii="Times New Roman" w:eastAsia="楷体" w:hAnsi="Times New Roman" w:cs="Times New Roman"/>
        </w:rPr>
        <w:t>。</w:t>
      </w:r>
    </w:p>
    <w:p w14:paraId="09635370" w14:textId="77777777" w:rsidR="008E439A" w:rsidRDefault="00000000">
      <w:pPr>
        <w:pStyle w:val="ReportCaption"/>
        <w:keepNext/>
        <w:keepLines/>
        <w:spacing w:before="100" w:after="60"/>
        <w:ind w:left="228" w:right="237"/>
      </w:pPr>
      <w:r>
        <w:rPr>
          <w:rFonts w:cs="Times New Roman"/>
        </w:rPr>
        <w:t>表</w:t>
      </w:r>
      <w:r>
        <w:rPr>
          <w:rFonts w:cs="Times New Roman"/>
        </w:rPr>
        <w:t xml:space="preserve">2 </w:t>
      </w:r>
      <w:r>
        <w:rPr>
          <w:rFonts w:cs="Times New Roman"/>
        </w:rPr>
        <w:t>正式实验的算例与共同设置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1701"/>
        <w:gridCol w:w="2098"/>
        <w:gridCol w:w="1757"/>
        <w:gridCol w:w="2608"/>
      </w:tblGrid>
      <w:tr w:rsidR="008E439A" w14:paraId="10DD0215" w14:textId="77777777">
        <w:trPr>
          <w:cantSplit/>
          <w:tblHeader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849BAC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b/>
                <w:sz w:val="21"/>
              </w:rPr>
              <w:t>算例</w:t>
            </w:r>
          </w:p>
        </w:tc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4E0DC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b/>
                <w:sz w:val="21"/>
              </w:rPr>
              <w:t>风况</w:t>
            </w:r>
          </w:p>
        </w:tc>
        <w:tc>
          <w:tcPr>
            <w:tcW w:w="20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34DC8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b/>
                <w:sz w:val="21"/>
              </w:rPr>
              <w:t>地形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0BE737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b/>
                <w:sz w:val="21"/>
              </w:rPr>
              <w:t>候选点数</w:t>
            </w:r>
          </w:p>
        </w:tc>
        <w:tc>
          <w:tcPr>
            <w:tcW w:w="2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B22909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b/>
                <w:sz w:val="21"/>
              </w:rPr>
              <w:t>允许区域</w:t>
            </w:r>
            <w:r>
              <w:rPr>
                <w:rFonts w:ascii="Times New Roman" w:eastAsia="楷体" w:hAnsi="Times New Roman" w:cs="Times New Roman"/>
                <w:b/>
                <w:sz w:val="21"/>
              </w:rPr>
              <w:t xml:space="preserve"> / km²</w:t>
            </w:r>
          </w:p>
        </w:tc>
      </w:tr>
      <w:tr w:rsidR="008E439A" w14:paraId="71B87591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A5A1DF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A</w:t>
            </w:r>
          </w:p>
        </w:tc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3F8B01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obs_00</w:t>
            </w:r>
          </w:p>
        </w:tc>
        <w:tc>
          <w:tcPr>
            <w:tcW w:w="20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C47889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平地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50EB12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800</w:t>
            </w:r>
          </w:p>
        </w:tc>
        <w:tc>
          <w:tcPr>
            <w:tcW w:w="2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57006F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95.25</w:t>
            </w:r>
          </w:p>
        </w:tc>
      </w:tr>
      <w:tr w:rsidR="008E439A" w14:paraId="63AAE97E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83344F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B</w:t>
            </w:r>
          </w:p>
        </w:tc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7AA59F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obs_00</w:t>
            </w:r>
          </w:p>
        </w:tc>
        <w:tc>
          <w:tcPr>
            <w:tcW w:w="20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30A651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平地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695E4C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1600</w:t>
            </w:r>
          </w:p>
        </w:tc>
        <w:tc>
          <w:tcPr>
            <w:tcW w:w="2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536087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95.25</w:t>
            </w:r>
          </w:p>
        </w:tc>
      </w:tr>
      <w:tr w:rsidR="008E439A" w14:paraId="0B947AD8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CC676F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C</w:t>
            </w:r>
          </w:p>
        </w:tc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A8CCF0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obs_01</w:t>
            </w:r>
          </w:p>
        </w:tc>
        <w:tc>
          <w:tcPr>
            <w:tcW w:w="20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CAF531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合成山脊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2D491F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1600</w:t>
            </w:r>
          </w:p>
        </w:tc>
        <w:tc>
          <w:tcPr>
            <w:tcW w:w="2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5AE875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91.84</w:t>
            </w:r>
          </w:p>
        </w:tc>
      </w:tr>
    </w:tbl>
    <w:p w14:paraId="5A3955A2" w14:textId="77777777" w:rsidR="008E439A" w:rsidRDefault="00000000">
      <w:pPr>
        <w:pStyle w:val="ReportNote"/>
        <w:spacing w:after="60" w:line="20" w:lineRule="exact"/>
        <w:ind w:left="228" w:right="237"/>
      </w:pPr>
      <w:r>
        <w:rPr>
          <w:rFonts w:cs="Times New Roman"/>
          <w:sz w:val="2"/>
        </w:rPr>
        <w:t xml:space="preserve"> </w:t>
      </w:r>
    </w:p>
    <w:p w14:paraId="64970549" w14:textId="77777777" w:rsidR="008E439A" w:rsidRDefault="00000000">
      <w:pPr>
        <w:pStyle w:val="ReportNote"/>
        <w:ind w:left="228" w:right="237"/>
      </w:pPr>
      <w:r>
        <w:rPr>
          <w:rFonts w:cs="Times New Roman"/>
        </w:rPr>
        <w:t>共同设置：</w:t>
      </w:r>
      <w:r>
        <w:rPr>
          <w:rFonts w:cs="Times New Roman"/>
        </w:rPr>
        <w:t>400</w:t>
      </w:r>
      <w:r>
        <w:rPr>
          <w:rFonts w:cs="Times New Roman"/>
        </w:rPr>
        <w:t>台风机，初始</w:t>
      </w:r>
      <w:r>
        <w:rPr>
          <w:rFonts w:cs="Times New Roman"/>
        </w:rPr>
        <w:t>100</w:t>
      </w:r>
      <w:r>
        <w:rPr>
          <w:rFonts w:cs="Times New Roman"/>
        </w:rPr>
        <w:t>个布局，</w:t>
      </w:r>
      <w:r>
        <w:rPr>
          <w:rFonts w:cs="Times New Roman"/>
        </w:rPr>
        <w:t>10000</w:t>
      </w:r>
      <w:r>
        <w:rPr>
          <w:rFonts w:cs="Times New Roman"/>
        </w:rPr>
        <w:t>次评价请求；最小间距</w:t>
      </w:r>
      <w:r>
        <w:rPr>
          <w:rFonts w:cs="Times New Roman"/>
        </w:rPr>
        <w:t>308 m</w:t>
      </w:r>
      <w:r>
        <w:rPr>
          <w:rFonts w:cs="Times New Roman"/>
        </w:rPr>
        <w:t>，随机种子</w:t>
      </w:r>
      <w:r>
        <w:rPr>
          <w:rFonts w:cs="Times New Roman"/>
        </w:rPr>
        <w:t>1101–1110</w:t>
      </w:r>
      <w:r>
        <w:rPr>
          <w:rFonts w:cs="Times New Roman"/>
        </w:rPr>
        <w:t>。</w:t>
      </w:r>
    </w:p>
    <w:p w14:paraId="10B2AEC5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每个算例运行三种基线及其对应改进版，每组</w:t>
      </w:r>
      <w:r>
        <w:rPr>
          <w:rFonts w:ascii="Times New Roman" w:eastAsia="楷体" w:hAnsi="Times New Roman" w:cs="Times New Roman"/>
        </w:rPr>
        <w:t>10</w:t>
      </w:r>
      <w:r>
        <w:rPr>
          <w:rFonts w:ascii="Times New Roman" w:eastAsia="楷体" w:hAnsi="Times New Roman" w:cs="Times New Roman"/>
        </w:rPr>
        <w:t>次，共</w:t>
      </w:r>
      <w:r>
        <w:rPr>
          <w:rFonts w:ascii="Times New Roman" w:eastAsia="楷体" w:hAnsi="Times New Roman" w:cs="Times New Roman"/>
        </w:rPr>
        <w:t>180</w:t>
      </w:r>
      <w:r>
        <w:rPr>
          <w:rFonts w:ascii="Times New Roman" w:eastAsia="楷体" w:hAnsi="Times New Roman" w:cs="Times New Roman"/>
        </w:rPr>
        <w:t>次。每次计入初始评价的总预算为</w:t>
      </w:r>
      <w:r>
        <w:rPr>
          <w:rFonts w:ascii="Times New Roman" w:eastAsia="楷体" w:hAnsi="Times New Roman" w:cs="Times New Roman"/>
        </w:rPr>
        <w:t>10000</w:t>
      </w:r>
      <w:r>
        <w:rPr>
          <w:rFonts w:ascii="Times New Roman" w:eastAsia="楷体" w:hAnsi="Times New Roman" w:cs="Times New Roman"/>
        </w:rPr>
        <w:t>次。相同算例和种子的六种方法使用完全相同的前</w:t>
      </w:r>
      <w:r>
        <w:rPr>
          <w:rFonts w:ascii="Times New Roman" w:eastAsia="楷体" w:hAnsi="Times New Roman" w:cs="Times New Roman"/>
        </w:rPr>
        <w:t>100</w:t>
      </w:r>
      <w:r>
        <w:rPr>
          <w:rFonts w:ascii="Times New Roman" w:eastAsia="楷体" w:hAnsi="Times New Roman" w:cs="Times New Roman"/>
        </w:rPr>
        <w:t>个布局和目标值，候选集、成本参数、尾流模型、评价缓存规则均一致。缓存准备单独完成，正式比较以单工作进程、单数值计算线程串行执行；计算机为</w:t>
      </w:r>
      <w:r>
        <w:rPr>
          <w:rFonts w:ascii="Times New Roman" w:eastAsia="楷体" w:hAnsi="Times New Roman" w:cs="Times New Roman"/>
        </w:rPr>
        <w:t>Intel Core Ultra 5 125H</w:t>
      </w:r>
      <w:r>
        <w:rPr>
          <w:rFonts w:ascii="Times New Roman" w:eastAsia="楷体" w:hAnsi="Times New Roman" w:cs="Times New Roman"/>
        </w:rPr>
        <w:t>处理器，</w:t>
      </w:r>
      <w:r>
        <w:rPr>
          <w:rFonts w:ascii="Times New Roman" w:eastAsia="楷体" w:hAnsi="Times New Roman" w:cs="Times New Roman"/>
        </w:rPr>
        <w:t>Python 3.12.4</w:t>
      </w:r>
      <w:r>
        <w:rPr>
          <w:rFonts w:ascii="Times New Roman" w:eastAsia="楷体" w:hAnsi="Times New Roman" w:cs="Times New Roman"/>
        </w:rPr>
        <w:t>。</w:t>
      </w:r>
      <w:r>
        <w:rPr>
          <w:rFonts w:ascii="Times New Roman" w:eastAsia="楷体" w:hAnsi="Times New Roman" w:cs="Times New Roman"/>
        </w:rPr>
        <w:t>180</w:t>
      </w:r>
      <w:r>
        <w:rPr>
          <w:rFonts w:ascii="Times New Roman" w:eastAsia="楷体" w:hAnsi="Times New Roman" w:cs="Times New Roman"/>
        </w:rPr>
        <w:t>次运行累计使用约</w:t>
      </w:r>
      <w:r>
        <w:rPr>
          <w:rFonts w:ascii="Times New Roman" w:eastAsia="楷体" w:hAnsi="Times New Roman" w:cs="Times New Roman"/>
        </w:rPr>
        <w:t>11.00 CPU</w:t>
      </w:r>
      <w:r>
        <w:rPr>
          <w:rFonts w:ascii="Times New Roman" w:eastAsia="楷体" w:hAnsi="Times New Roman" w:cs="Times New Roman"/>
        </w:rPr>
        <w:t>小时。</w:t>
      </w:r>
    </w:p>
    <w:p w14:paraId="31E76899" w14:textId="77777777" w:rsidR="008E439A" w:rsidRDefault="00000000">
      <w:pPr>
        <w:pStyle w:val="21"/>
        <w:ind w:left="228" w:right="237"/>
      </w:pPr>
      <w:r>
        <w:rPr>
          <w:rFonts w:cs="Times New Roman"/>
        </w:rPr>
        <w:t>质量指标与公平比较</w:t>
      </w:r>
    </w:p>
    <w:p w14:paraId="15A495CB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我们以超体积</w:t>
      </w:r>
      <w:r>
        <w:rPr>
          <w:rFonts w:ascii="Times New Roman" w:eastAsia="楷体" w:hAnsi="Times New Roman" w:cs="Times New Roman"/>
        </w:rPr>
        <w:t>HV</w:t>
      </w:r>
      <w:r>
        <w:rPr>
          <w:rFonts w:ascii="Times New Roman" w:eastAsia="楷体" w:hAnsi="Times New Roman" w:cs="Times New Roman"/>
        </w:rPr>
        <w:t>衡量非支配解集在三个目标上的覆盖范围</w:t>
      </w:r>
      <w:r>
        <w:rPr>
          <w:rFonts w:ascii="Times New Roman" w:eastAsia="楷体" w:hAnsi="Times New Roman" w:cs="Times New Roman"/>
        </w:rPr>
        <w:t>[9]</w:t>
      </w:r>
      <w:r>
        <w:rPr>
          <w:rFonts w:ascii="Times New Roman" w:eastAsia="楷体" w:hAnsi="Times New Roman" w:cs="Times New Roman"/>
        </w:rPr>
        <w:t>。对同一算例，将全部</w:t>
      </w:r>
      <w:r>
        <w:rPr>
          <w:rFonts w:ascii="Times New Roman" w:eastAsia="楷体" w:hAnsi="Times New Roman" w:cs="Times New Roman"/>
        </w:rPr>
        <w:t>60</w:t>
      </w:r>
      <w:r>
        <w:rPr>
          <w:rFonts w:ascii="Times New Roman" w:eastAsia="楷体" w:hAnsi="Times New Roman" w:cs="Times New Roman"/>
        </w:rPr>
        <w:t>次运行访问过的可行目标值合并，确定共同的理想值与上界，再归一化到统一坐标系，参考点设为</w:t>
      </w:r>
      <w:r>
        <w:rPr>
          <w:rFonts w:ascii="Times New Roman" w:eastAsia="楷体" w:hAnsi="Times New Roman" w:cs="Times New Roman"/>
        </w:rPr>
        <w:t>(1.1,1.1,1.1)</w:t>
      </w:r>
      <w:r>
        <w:rPr>
          <w:rFonts w:ascii="Times New Roman" w:eastAsia="楷体" w:hAnsi="Times New Roman" w:cs="Times New Roman"/>
        </w:rPr>
        <w:t>。</w:t>
      </w:r>
      <w:r>
        <w:rPr>
          <w:rFonts w:ascii="Times New Roman" w:eastAsia="楷体" w:hAnsi="Times New Roman" w:cs="Times New Roman"/>
        </w:rPr>
        <w:t>HV</w:t>
      </w:r>
      <w:r>
        <w:rPr>
          <w:rFonts w:ascii="Times New Roman" w:eastAsia="楷体" w:hAnsi="Times New Roman" w:cs="Times New Roman"/>
        </w:rPr>
        <w:t>同时响应收敛与权衡范围，因此适合评价解集；其增幅不能直接解释为发电量的增幅。</w:t>
      </w:r>
    </w:p>
    <w:p w14:paraId="661348E9" w14:textId="77777777" w:rsidR="008E439A" w:rsidRDefault="00000000">
      <w:pPr>
        <w:pStyle w:val="ReportEquation"/>
        <w:keepNext/>
        <w:keepLines/>
        <w:tabs>
          <w:tab w:val="center" w:pos="4309"/>
          <w:tab w:val="right" w:pos="9014"/>
        </w:tabs>
        <w:spacing w:before="120" w:after="140" w:line="240" w:lineRule="auto"/>
        <w:ind w:left="228" w:right="237"/>
      </w:pPr>
      <w:r>
        <w:lastRenderedPageBreak/>
        <w:tab/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>HV</m:t>
        </m:r>
        <m:r>
          <w:rPr>
            <w:rFonts w:ascii="Cambria Math" w:eastAsia="Cambria Math" w:hAnsi="Cambria Math" w:cs="Cambria Math"/>
          </w:rPr>
          <m:t>(S)=</m:t>
        </m:r>
        <m:r>
          <m:rPr>
            <m:sty m:val="p"/>
          </m:rPr>
          <w:rPr>
            <w:rFonts w:ascii="Cambria Math" w:eastAsia="Cambria Math" w:hAnsi="Cambria Math" w:cs="Cambria Math"/>
          </w:rPr>
          <m:t>Vol</m:t>
        </m:r>
        <m:r>
          <w:rPr>
            <w:rFonts w:ascii="Cambria Math" w:eastAsia="Cambria Math" w:hAnsi="Cambria Math" w:cs="Cambria Math"/>
          </w:rPr>
          <m:t>(</m:t>
        </m:r>
        <m:nary>
          <m:naryPr>
            <m:chr m:val="⋃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y∈S</m:t>
            </m:r>
          </m:sub>
          <m:sup/>
          <m:e>
            <m:r>
              <w:rPr>
                <w:rFonts w:ascii="Cambria Math" w:eastAsia="Cambria Math" w:hAnsi="Cambria Math" w:cs="Cambria Math"/>
              </w:rPr>
              <m:t>[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</w:rPr>
              <m:t>]×[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</w:rPr>
              <m:t>]×[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3</m:t>
                </m:r>
              </m:sub>
            </m:sSub>
            <m:r>
              <w:rPr>
                <w:rFonts w:ascii="Cambria Math" w:eastAsia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3</m:t>
                </m:r>
              </m:sub>
            </m:sSub>
            <m:r>
              <w:rPr>
                <w:rFonts w:ascii="Cambria Math" w:eastAsia="Cambria Math" w:hAnsi="Cambria Math" w:cs="Cambria Math"/>
              </w:rPr>
              <m:t>]</m:t>
            </m:r>
          </m:e>
        </m:nary>
        <m:r>
          <w:rPr>
            <w:rFonts w:ascii="Cambria Math" w:eastAsia="Cambria Math" w:hAnsi="Cambria Math" w:cs="Cambria Math"/>
          </w:rPr>
          <m:t>)</m:t>
        </m:r>
      </m:oMath>
      <w:r>
        <w:rPr>
          <w:rFonts w:cs="Times New Roman"/>
          <w:sz w:val="21"/>
        </w:rPr>
        <w:tab/>
        <w:t>(9)</w:t>
      </w:r>
    </w:p>
    <w:p w14:paraId="0CE10D61" w14:textId="77777777" w:rsidR="008E439A" w:rsidRDefault="00000000">
      <w:pPr>
        <w:pStyle w:val="ReportNote"/>
        <w:spacing w:after="100"/>
        <w:ind w:left="228" w:right="237"/>
      </w:pPr>
      <w:r>
        <w:rPr>
          <w:rFonts w:cs="Times New Roman"/>
        </w:rPr>
        <w:t>S</w:t>
      </w:r>
      <w:r>
        <w:rPr>
          <w:rFonts w:cs="Times New Roman"/>
        </w:rPr>
        <w:t>为归一化的非支配目标集，</w:t>
      </w:r>
      <w:r>
        <w:rPr>
          <w:rFonts w:cs="Times New Roman"/>
        </w:rPr>
        <w:t>r</w:t>
      </w:r>
      <w:r>
        <w:rPr>
          <w:rFonts w:cs="Times New Roman"/>
        </w:rPr>
        <w:t>为共同参考点。</w:t>
      </w:r>
    </w:p>
    <w:p w14:paraId="30CB09F2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主要比较采用两种口径。第一种在</w:t>
      </w:r>
      <w:r>
        <w:rPr>
          <w:rFonts w:ascii="Times New Roman" w:eastAsia="楷体" w:hAnsi="Times New Roman" w:cs="Times New Roman"/>
        </w:rPr>
        <w:t>10000</w:t>
      </w:r>
      <w:r>
        <w:rPr>
          <w:rFonts w:ascii="Times New Roman" w:eastAsia="楷体" w:hAnsi="Times New Roman" w:cs="Times New Roman"/>
        </w:rPr>
        <w:t>次评价请求后比较最终</w:t>
      </w:r>
      <w:r>
        <w:rPr>
          <w:rFonts w:ascii="Times New Roman" w:eastAsia="楷体" w:hAnsi="Times New Roman" w:cs="Times New Roman"/>
        </w:rPr>
        <w:t>HV</w:t>
      </w:r>
      <w:r>
        <w:rPr>
          <w:rFonts w:ascii="Times New Roman" w:eastAsia="楷体" w:hAnsi="Times New Roman" w:cs="Times New Roman"/>
        </w:rPr>
        <w:t>，反映有限评价预算的利用效果；第二种以每个配对基线跑满预算所用的</w:t>
      </w:r>
      <w:r>
        <w:rPr>
          <w:rFonts w:ascii="Times New Roman" w:eastAsia="楷体" w:hAnsi="Times New Roman" w:cs="Times New Roman"/>
        </w:rPr>
        <w:t>CPU</w:t>
      </w:r>
      <w:r>
        <w:rPr>
          <w:rFonts w:ascii="Times New Roman" w:eastAsia="楷体" w:hAnsi="Times New Roman" w:cs="Times New Roman"/>
        </w:rPr>
        <w:t>时间为上限，取改进版在此时刻之前最后一个已记录的解集进行比较。改进版提前完成时保持最终质量，不插值使用未来结果。此外，记录达到配对基线最终</w:t>
      </w:r>
      <w:r>
        <w:rPr>
          <w:rFonts w:ascii="Times New Roman" w:eastAsia="楷体" w:hAnsi="Times New Roman" w:cs="Times New Roman"/>
        </w:rPr>
        <w:t>HV</w:t>
      </w:r>
      <w:r>
        <w:rPr>
          <w:rFonts w:ascii="Times New Roman" w:eastAsia="楷体" w:hAnsi="Times New Roman" w:cs="Times New Roman"/>
        </w:rPr>
        <w:t>的时间、未达到的次数、可行率和重复请求率。所有算法均以全部已访问可行布局重建最终前沿，避免内部档案大小不同影响比较。</w:t>
      </w:r>
    </w:p>
    <w:p w14:paraId="78495C3B" w14:textId="77777777" w:rsidR="008E439A" w:rsidRDefault="00000000">
      <w:pPr>
        <w:pStyle w:val="21"/>
        <w:ind w:left="228" w:right="237"/>
      </w:pPr>
      <w:r>
        <w:rPr>
          <w:rFonts w:cs="Times New Roman"/>
        </w:rPr>
        <w:t>统计检验与结果核查</w:t>
      </w:r>
    </w:p>
    <w:p w14:paraId="3164430A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每个算例和算法家族形成</w:t>
      </w:r>
      <w:r>
        <w:rPr>
          <w:rFonts w:ascii="Times New Roman" w:eastAsia="楷体" w:hAnsi="Times New Roman" w:cs="Times New Roman"/>
        </w:rPr>
        <w:t>10</w:t>
      </w:r>
      <w:r>
        <w:rPr>
          <w:rFonts w:ascii="Times New Roman" w:eastAsia="楷体" w:hAnsi="Times New Roman" w:cs="Times New Roman"/>
        </w:rPr>
        <w:t>个配对差值，采用精确双侧符号翻转检验，枚举</w:t>
      </w:r>
      <w:r>
        <w:rPr>
          <w:rFonts w:ascii="Times New Roman" w:eastAsia="楷体" w:hAnsi="Times New Roman" w:cs="Times New Roman"/>
        </w:rPr>
        <w:t>1024</w:t>
      </w:r>
      <w:r>
        <w:rPr>
          <w:rFonts w:ascii="Times New Roman" w:eastAsia="楷体" w:hAnsi="Times New Roman" w:cs="Times New Roman"/>
        </w:rPr>
        <w:t>种符号组合。三种算法、三个算例和两种主要口径共</w:t>
      </w:r>
      <w:r>
        <w:rPr>
          <w:rFonts w:ascii="Times New Roman" w:eastAsia="楷体" w:hAnsi="Times New Roman" w:cs="Times New Roman"/>
        </w:rPr>
        <w:t>18</w:t>
      </w:r>
      <w:r>
        <w:rPr>
          <w:rFonts w:ascii="Times New Roman" w:eastAsia="楷体" w:hAnsi="Times New Roman" w:cs="Times New Roman"/>
        </w:rPr>
        <w:t>项比较，统一使用</w:t>
      </w:r>
      <w:r>
        <w:rPr>
          <w:rFonts w:ascii="Times New Roman" w:eastAsia="楷体" w:hAnsi="Times New Roman" w:cs="Times New Roman"/>
        </w:rPr>
        <w:t>Holm</w:t>
      </w:r>
      <w:r>
        <w:rPr>
          <w:rFonts w:ascii="Times New Roman" w:eastAsia="楷体" w:hAnsi="Times New Roman" w:cs="Times New Roman"/>
        </w:rPr>
        <w:t>方法控制多重比较误差</w:t>
      </w:r>
      <w:r>
        <w:rPr>
          <w:rFonts w:ascii="Times New Roman" w:eastAsia="楷体" w:hAnsi="Times New Roman" w:cs="Times New Roman"/>
        </w:rPr>
        <w:t>[10]</w:t>
      </w:r>
      <w:r>
        <w:rPr>
          <w:rFonts w:ascii="Times New Roman" w:eastAsia="楷体" w:hAnsi="Times New Roman" w:cs="Times New Roman"/>
        </w:rPr>
        <w:t>，阈值为</w:t>
      </w:r>
      <w:r>
        <w:rPr>
          <w:rFonts w:ascii="Times New Roman" w:eastAsia="楷体" w:hAnsi="Times New Roman" w:cs="Times New Roman"/>
        </w:rPr>
        <w:t>0.05</w:t>
      </w:r>
      <w:r>
        <w:rPr>
          <w:rFonts w:ascii="Times New Roman" w:eastAsia="楷体" w:hAnsi="Times New Roman" w:cs="Times New Roman"/>
        </w:rPr>
        <w:t>。同时报告均值、标准差、实际变化幅度及配对胜负，避免把统计判断与改进幅度混为一谈。</w:t>
      </w:r>
    </w:p>
    <w:p w14:paraId="6E6C96FE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完整核查覆盖</w:t>
      </w:r>
      <w:r>
        <w:rPr>
          <w:rFonts w:ascii="Times New Roman" w:eastAsia="楷体" w:hAnsi="Times New Roman" w:cs="Times New Roman"/>
        </w:rPr>
        <w:t>180</w:t>
      </w:r>
      <w:r>
        <w:rPr>
          <w:rFonts w:ascii="Times New Roman" w:eastAsia="楷体" w:hAnsi="Times New Roman" w:cs="Times New Roman"/>
        </w:rPr>
        <w:t>万条布局记录的风机数量、候选点身份、禁布区域及间距，并核对成本恒等式。保存的非支配集由另一套扫描算法重建，</w:t>
      </w:r>
      <w:r>
        <w:rPr>
          <w:rFonts w:ascii="Times New Roman" w:eastAsia="楷体" w:hAnsi="Times New Roman" w:cs="Times New Roman"/>
        </w:rPr>
        <w:t>HV</w:t>
      </w:r>
      <w:r>
        <w:rPr>
          <w:rFonts w:ascii="Times New Roman" w:eastAsia="楷体" w:hAnsi="Times New Roman" w:cs="Times New Roman"/>
        </w:rPr>
        <w:t>用三维分层面积积分独立复算。对每个算例首个种子的六种方法，按三个目标极值抽取布局，去重后共</w:t>
      </w:r>
      <w:r>
        <w:rPr>
          <w:rFonts w:ascii="Times New Roman" w:eastAsia="楷体" w:hAnsi="Times New Roman" w:cs="Times New Roman"/>
        </w:rPr>
        <w:t>44</w:t>
      </w:r>
      <w:r>
        <w:rPr>
          <w:rFonts w:ascii="Times New Roman" w:eastAsia="楷体" w:hAnsi="Times New Roman" w:cs="Times New Roman"/>
        </w:rPr>
        <w:t>个样本重新计算全量尾流和独立最小生成树；最大目标相对误差为</w:t>
      </w:r>
      <w:r>
        <w:rPr>
          <w:rFonts w:ascii="Times New Roman" w:eastAsia="楷体" w:hAnsi="Times New Roman" w:cs="Times New Roman"/>
        </w:rPr>
        <w:t>6.23×10⁻¹²</w:t>
      </w:r>
      <w:r>
        <w:rPr>
          <w:rFonts w:ascii="Times New Roman" w:eastAsia="楷体" w:hAnsi="Times New Roman" w:cs="Times New Roman"/>
        </w:rPr>
        <w:t>。全部检查通过，本文据此使用最终结果开展分析。</w:t>
      </w:r>
    </w:p>
    <w:p w14:paraId="56E98F99" w14:textId="77777777" w:rsidR="008E439A" w:rsidRDefault="00000000">
      <w:pPr>
        <w:pStyle w:val="11"/>
        <w:ind w:left="228" w:right="237"/>
      </w:pPr>
      <w:r>
        <w:rPr>
          <w:rFonts w:cs="Times New Roman"/>
        </w:rPr>
        <w:t>六</w:t>
      </w:r>
      <w:r>
        <w:rPr>
          <w:rFonts w:cs="Times New Roman"/>
        </w:rPr>
        <w:t xml:space="preserve"> </w:t>
      </w:r>
      <w:r>
        <w:rPr>
          <w:rFonts w:cs="Times New Roman"/>
        </w:rPr>
        <w:t>实验结果与机理分析</w:t>
      </w:r>
    </w:p>
    <w:p w14:paraId="5936CE33" w14:textId="77777777" w:rsidR="008E439A" w:rsidRDefault="00000000">
      <w:pPr>
        <w:pStyle w:val="21"/>
        <w:ind w:left="228" w:right="237"/>
      </w:pPr>
      <w:r>
        <w:rPr>
          <w:rFonts w:cs="Times New Roman"/>
        </w:rPr>
        <w:t>最终质量与稳定性</w:t>
      </w:r>
    </w:p>
    <w:p w14:paraId="269170C4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表</w:t>
      </w:r>
      <w:r>
        <w:rPr>
          <w:rFonts w:ascii="Times New Roman" w:eastAsia="楷体" w:hAnsi="Times New Roman" w:cs="Times New Roman"/>
        </w:rPr>
        <w:t>3</w:t>
      </w:r>
      <w:r>
        <w:rPr>
          <w:rFonts w:ascii="Times New Roman" w:eastAsia="楷体" w:hAnsi="Times New Roman" w:cs="Times New Roman"/>
        </w:rPr>
        <w:t>给出最终</w:t>
      </w:r>
      <w:r>
        <w:rPr>
          <w:rFonts w:ascii="Times New Roman" w:eastAsia="楷体" w:hAnsi="Times New Roman" w:cs="Times New Roman"/>
        </w:rPr>
        <w:t>HV</w:t>
      </w:r>
      <w:r>
        <w:rPr>
          <w:rFonts w:ascii="Times New Roman" w:eastAsia="楷体" w:hAnsi="Times New Roman" w:cs="Times New Roman"/>
        </w:rPr>
        <w:t>与</w:t>
      </w:r>
      <w:r>
        <w:rPr>
          <w:rFonts w:ascii="Times New Roman" w:eastAsia="楷体" w:hAnsi="Times New Roman" w:cs="Times New Roman"/>
        </w:rPr>
        <w:t>CPU</w:t>
      </w:r>
      <w:r>
        <w:rPr>
          <w:rFonts w:ascii="Times New Roman" w:eastAsia="楷体" w:hAnsi="Times New Roman" w:cs="Times New Roman"/>
        </w:rPr>
        <w:t>时间，表</w:t>
      </w:r>
      <w:r>
        <w:rPr>
          <w:rFonts w:ascii="Times New Roman" w:eastAsia="楷体" w:hAnsi="Times New Roman" w:cs="Times New Roman"/>
        </w:rPr>
        <w:t>4</w:t>
      </w:r>
      <w:r>
        <w:rPr>
          <w:rFonts w:ascii="Times New Roman" w:eastAsia="楷体" w:hAnsi="Times New Roman" w:cs="Times New Roman"/>
        </w:rPr>
        <w:t>给出对应的配对比较。为便于图表阅读，将三种基线简称为</w:t>
      </w:r>
      <w:r>
        <w:rPr>
          <w:rFonts w:ascii="Times New Roman" w:eastAsia="楷体" w:hAnsi="Times New Roman" w:cs="Times New Roman"/>
        </w:rPr>
        <w:t>CC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LM</w:t>
      </w:r>
      <w:r>
        <w:rPr>
          <w:rFonts w:ascii="Times New Roman" w:eastAsia="楷体" w:hAnsi="Times New Roman" w:cs="Times New Roman"/>
        </w:rPr>
        <w:t>和</w:t>
      </w:r>
      <w:r>
        <w:rPr>
          <w:rFonts w:ascii="Times New Roman" w:eastAsia="楷体" w:hAnsi="Times New Roman" w:cs="Times New Roman"/>
        </w:rPr>
        <w:t>DG</w:t>
      </w:r>
      <w:r>
        <w:rPr>
          <w:rFonts w:ascii="Times New Roman" w:eastAsia="楷体" w:hAnsi="Times New Roman" w:cs="Times New Roman"/>
        </w:rPr>
        <w:t>，对应改进版记为</w:t>
      </w:r>
      <w:r>
        <w:rPr>
          <w:rFonts w:ascii="Times New Roman" w:eastAsia="楷体" w:hAnsi="Times New Roman" w:cs="Times New Roman"/>
        </w:rPr>
        <w:t>CC+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LM+</w:t>
      </w:r>
      <w:r>
        <w:rPr>
          <w:rFonts w:ascii="Times New Roman" w:eastAsia="楷体" w:hAnsi="Times New Roman" w:cs="Times New Roman"/>
        </w:rPr>
        <w:t>和</w:t>
      </w:r>
      <w:r>
        <w:rPr>
          <w:rFonts w:ascii="Times New Roman" w:eastAsia="楷体" w:hAnsi="Times New Roman" w:cs="Times New Roman"/>
        </w:rPr>
        <w:t>DG+</w:t>
      </w:r>
      <w:r>
        <w:rPr>
          <w:rFonts w:ascii="Times New Roman" w:eastAsia="楷体" w:hAnsi="Times New Roman" w:cs="Times New Roman"/>
        </w:rPr>
        <w:t>。三个算例内部的归一化范围一致，跨算例只比较各自相对基线的变化与稳定性。</w:t>
      </w:r>
    </w:p>
    <w:p w14:paraId="349FDACF" w14:textId="77777777" w:rsidR="008E439A" w:rsidRDefault="00000000">
      <w:pPr>
        <w:pStyle w:val="ReportCaption"/>
        <w:keepNext/>
        <w:keepLines/>
        <w:spacing w:before="100" w:after="60"/>
        <w:ind w:left="228" w:right="237"/>
      </w:pPr>
      <w:r>
        <w:rPr>
          <w:rFonts w:cs="Times New Roman"/>
        </w:rPr>
        <w:t>表</w:t>
      </w:r>
      <w:r>
        <w:rPr>
          <w:rFonts w:cs="Times New Roman"/>
        </w:rPr>
        <w:t xml:space="preserve">3 </w:t>
      </w:r>
      <w:r>
        <w:rPr>
          <w:rFonts w:cs="Times New Roman"/>
        </w:rPr>
        <w:t>最终</w:t>
      </w:r>
      <w:r>
        <w:rPr>
          <w:rFonts w:cs="Times New Roman"/>
        </w:rPr>
        <w:t>HV</w:t>
      </w:r>
      <w:r>
        <w:rPr>
          <w:rFonts w:cs="Times New Roman"/>
        </w:rPr>
        <w:t>与完整预算</w:t>
      </w:r>
      <w:r>
        <w:rPr>
          <w:rFonts w:cs="Times New Roman"/>
        </w:rPr>
        <w:t>CPU</w:t>
      </w:r>
      <w:r>
        <w:rPr>
          <w:rFonts w:cs="Times New Roman"/>
        </w:rPr>
        <w:t>时间</w:t>
      </w:r>
      <w:r>
        <w:rPr>
          <w:rFonts w:cs="Times New Roman"/>
        </w:rPr>
        <w:t xml:space="preserve"> </w:t>
      </w:r>
      <w:r>
        <w:rPr>
          <w:rFonts w:cs="Times New Roman"/>
        </w:rPr>
        <w:t>均值</w:t>
      </w:r>
      <w:r>
        <w:rPr>
          <w:rFonts w:cs="Times New Roman"/>
        </w:rPr>
        <w:t>±</w:t>
      </w:r>
      <w:r>
        <w:rPr>
          <w:rFonts w:cs="Times New Roman"/>
        </w:rPr>
        <w:t>标准差</w:t>
      </w:r>
      <w:r>
        <w:rPr>
          <w:rFonts w:cs="Times New Roman"/>
        </w:rPr>
        <w:t xml:space="preserve"> n</w:t>
      </w:r>
      <w:r>
        <w:rPr>
          <w:rFonts w:cs="Times New Roman"/>
        </w:rPr>
        <w:t>＝</w:t>
      </w:r>
      <w:r>
        <w:rPr>
          <w:rFonts w:cs="Times New Roman"/>
        </w:rPr>
        <w:t>10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1361"/>
        <w:gridCol w:w="3402"/>
        <w:gridCol w:w="3402"/>
      </w:tblGrid>
      <w:tr w:rsidR="008E439A" w14:paraId="676869CC" w14:textId="77777777">
        <w:trPr>
          <w:cantSplit/>
          <w:tblHeader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99F53D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b/>
                <w:sz w:val="21"/>
              </w:rPr>
              <w:t>算例</w:t>
            </w:r>
          </w:p>
        </w:tc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620E48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b/>
                <w:sz w:val="21"/>
              </w:rPr>
              <w:t>方法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ADA5D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b/>
                <w:sz w:val="21"/>
              </w:rPr>
              <w:t>HV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280584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b/>
                <w:sz w:val="21"/>
              </w:rPr>
              <w:t>CPU</w:t>
            </w:r>
            <w:r>
              <w:rPr>
                <w:rFonts w:ascii="Times New Roman" w:eastAsia="楷体" w:hAnsi="Times New Roman" w:cs="Times New Roman"/>
                <w:b/>
                <w:sz w:val="21"/>
              </w:rPr>
              <w:t>时间</w:t>
            </w:r>
            <w:r>
              <w:rPr>
                <w:rFonts w:ascii="Times New Roman" w:eastAsia="楷体" w:hAnsi="Times New Roman" w:cs="Times New Roman"/>
                <w:b/>
                <w:sz w:val="21"/>
              </w:rPr>
              <w:t xml:space="preserve"> / s</w:t>
            </w:r>
          </w:p>
        </w:tc>
      </w:tr>
      <w:tr w:rsidR="008E439A" w14:paraId="6E65F22A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AFB6F0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A</w:t>
            </w:r>
          </w:p>
        </w:tc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09EA62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CC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71793D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0.3660 ± 0.0251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4BF26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272.11 ± 21.09</w:t>
            </w:r>
          </w:p>
        </w:tc>
      </w:tr>
      <w:tr w:rsidR="008E439A" w14:paraId="5433A890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081B89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A</w:t>
            </w:r>
          </w:p>
        </w:tc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152E5C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CC+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A0663A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0.4235 ± 0.0203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7E7AA4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187.35 ± 4.62</w:t>
            </w:r>
          </w:p>
        </w:tc>
      </w:tr>
      <w:tr w:rsidR="008E439A" w14:paraId="55BB0899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D684FC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A</w:t>
            </w:r>
          </w:p>
        </w:tc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8AE3C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LM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0102D9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0.2167 ± 0.0262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D70A82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82.25 ± 17.26</w:t>
            </w:r>
          </w:p>
        </w:tc>
      </w:tr>
      <w:tr w:rsidR="008E439A" w14:paraId="7EFDA396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5BAAA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A</w:t>
            </w:r>
          </w:p>
        </w:tc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16C082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LM+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E41045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0.4510 ± 0.0460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511E20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148.77 ± 12.17</w:t>
            </w:r>
          </w:p>
        </w:tc>
      </w:tr>
      <w:tr w:rsidR="008E439A" w14:paraId="3CF0C59F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79BC55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A</w:t>
            </w:r>
          </w:p>
        </w:tc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3AF90C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DG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7117FB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0.2351 ± 0.0220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B1AAC2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182.71 ± 25.85</w:t>
            </w:r>
          </w:p>
        </w:tc>
      </w:tr>
      <w:tr w:rsidR="008E439A" w14:paraId="6CE41B30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DA2E57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A</w:t>
            </w:r>
          </w:p>
        </w:tc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30A7AD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DG+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DA396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0.4546 ± 0.0364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9A88E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192.87 ± 38.43</w:t>
            </w:r>
          </w:p>
        </w:tc>
      </w:tr>
      <w:tr w:rsidR="008E439A" w14:paraId="5438726E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F3E4D8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B</w:t>
            </w:r>
          </w:p>
        </w:tc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9EF53A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CC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2AC35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0.2165 ± 0.0126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0523BB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317.30 ± 18.53</w:t>
            </w:r>
          </w:p>
        </w:tc>
      </w:tr>
      <w:tr w:rsidR="008E439A" w14:paraId="7B5030D5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8ADA54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B</w:t>
            </w:r>
          </w:p>
        </w:tc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E67F5D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CC+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B0EB1F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0.2268 ± 0.0095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390A62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246.53 ± 28.67</w:t>
            </w:r>
          </w:p>
        </w:tc>
      </w:tr>
      <w:tr w:rsidR="008E439A" w14:paraId="01AA5A08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6E5669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B</w:t>
            </w:r>
          </w:p>
        </w:tc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5DDDF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LM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4DAB25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0.1488 ± 0.0090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ABA374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111.37 ± 27.47</w:t>
            </w:r>
          </w:p>
        </w:tc>
      </w:tr>
      <w:tr w:rsidR="008E439A" w14:paraId="1F8966B2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4CA3EB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B</w:t>
            </w:r>
          </w:p>
        </w:tc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39655C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LM+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F24A85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0.4622 ± 0.0089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21B0D3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229.28 ± 20.58</w:t>
            </w:r>
          </w:p>
        </w:tc>
      </w:tr>
      <w:tr w:rsidR="008E439A" w14:paraId="20A25DCB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357E8C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lastRenderedPageBreak/>
              <w:t>B</w:t>
            </w:r>
          </w:p>
        </w:tc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4B06E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DG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313146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0.1706 ± 0.0103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3BFE95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258.58 ± 35.06</w:t>
            </w:r>
          </w:p>
        </w:tc>
      </w:tr>
      <w:tr w:rsidR="008E439A" w14:paraId="753E154A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F4E90D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B</w:t>
            </w:r>
          </w:p>
        </w:tc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9D42F5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DG+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E836D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0.4604 ± 0.0204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4BEF2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284.28 ± 33.76</w:t>
            </w:r>
          </w:p>
        </w:tc>
      </w:tr>
      <w:tr w:rsidR="008E439A" w14:paraId="4686A9F1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3ADBE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C</w:t>
            </w:r>
          </w:p>
        </w:tc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ED4797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CC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E01F1C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0.1735 ± 0.0132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1631F1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339.29 ± 38.58</w:t>
            </w:r>
          </w:p>
        </w:tc>
      </w:tr>
      <w:tr w:rsidR="008E439A" w14:paraId="2B4EF39D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24FA7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C</w:t>
            </w:r>
          </w:p>
        </w:tc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268FFD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CC+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6E99FB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0.1804 ± 0.0067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15E715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249.55 ± 18.70</w:t>
            </w:r>
          </w:p>
        </w:tc>
      </w:tr>
      <w:tr w:rsidR="008E439A" w14:paraId="32CC2ED6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E4967E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C</w:t>
            </w:r>
          </w:p>
        </w:tc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6E2C0C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LM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9CC51E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0.0753 ± 0.0096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42D403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97.72 ± 17.41</w:t>
            </w:r>
          </w:p>
        </w:tc>
      </w:tr>
      <w:tr w:rsidR="008E439A" w14:paraId="31F4BEE9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2DA6F9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C</w:t>
            </w:r>
          </w:p>
        </w:tc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6B997E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LM+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EC33FD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0.3781 ± 0.0355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935A1B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227.09 ± 22.46</w:t>
            </w:r>
          </w:p>
        </w:tc>
      </w:tr>
      <w:tr w:rsidR="008E439A" w14:paraId="264F34BC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4CC936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C</w:t>
            </w:r>
          </w:p>
        </w:tc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CFEAEB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DG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740C17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0.0940 ± 0.0079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00BC93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253.45 ± 20.69</w:t>
            </w:r>
          </w:p>
        </w:tc>
      </w:tr>
      <w:tr w:rsidR="008E439A" w14:paraId="3FF8821F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A6E843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C</w:t>
            </w:r>
          </w:p>
        </w:tc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29359E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DG+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FAE216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0.3595 ± 0.0247</w:t>
            </w:r>
          </w:p>
        </w:tc>
        <w:tc>
          <w:tcPr>
            <w:tcW w:w="340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C05136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279.57 ± 31.49</w:t>
            </w:r>
          </w:p>
        </w:tc>
      </w:tr>
    </w:tbl>
    <w:p w14:paraId="3BA4C2B1" w14:textId="77777777" w:rsidR="008E439A" w:rsidRDefault="00000000">
      <w:pPr>
        <w:pStyle w:val="ReportNote"/>
        <w:spacing w:after="60" w:line="20" w:lineRule="exact"/>
        <w:ind w:left="228" w:right="237"/>
      </w:pPr>
      <w:r>
        <w:rPr>
          <w:rFonts w:cs="Times New Roman"/>
          <w:sz w:val="2"/>
        </w:rPr>
        <w:t xml:space="preserve"> </w:t>
      </w:r>
    </w:p>
    <w:p w14:paraId="3ACDDB90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LM+</w:t>
      </w:r>
      <w:r>
        <w:rPr>
          <w:rFonts w:ascii="Times New Roman" w:eastAsia="楷体" w:hAnsi="Times New Roman" w:cs="Times New Roman"/>
        </w:rPr>
        <w:t>和</w:t>
      </w:r>
      <w:r>
        <w:rPr>
          <w:rFonts w:ascii="Times New Roman" w:eastAsia="楷体" w:hAnsi="Times New Roman" w:cs="Times New Roman"/>
        </w:rPr>
        <w:t>DG+</w:t>
      </w:r>
      <w:r>
        <w:rPr>
          <w:rFonts w:ascii="Times New Roman" w:eastAsia="楷体" w:hAnsi="Times New Roman" w:cs="Times New Roman"/>
        </w:rPr>
        <w:t>在三个算例中均取得</w:t>
      </w:r>
      <w:r>
        <w:rPr>
          <w:rFonts w:ascii="Times New Roman" w:eastAsia="楷体" w:hAnsi="Times New Roman" w:cs="Times New Roman"/>
        </w:rPr>
        <w:t>10</w:t>
      </w:r>
      <w:r>
        <w:rPr>
          <w:rFonts w:ascii="Times New Roman" w:eastAsia="楷体" w:hAnsi="Times New Roman" w:cs="Times New Roman"/>
        </w:rPr>
        <w:t>胜</w:t>
      </w:r>
      <w:r>
        <w:rPr>
          <w:rFonts w:ascii="Times New Roman" w:eastAsia="楷体" w:hAnsi="Times New Roman" w:cs="Times New Roman"/>
        </w:rPr>
        <w:t>0</w:t>
      </w:r>
      <w:r>
        <w:rPr>
          <w:rFonts w:ascii="Times New Roman" w:eastAsia="楷体" w:hAnsi="Times New Roman" w:cs="Times New Roman"/>
        </w:rPr>
        <w:t>负，两种主要口径的</w:t>
      </w:r>
      <w:r>
        <w:rPr>
          <w:rFonts w:ascii="Times New Roman" w:eastAsia="楷体" w:hAnsi="Times New Roman" w:cs="Times New Roman"/>
        </w:rPr>
        <w:t>Holm</w:t>
      </w:r>
      <w:r>
        <w:rPr>
          <w:rFonts w:ascii="Times New Roman" w:eastAsia="楷体" w:hAnsi="Times New Roman" w:cs="Times New Roman"/>
        </w:rPr>
        <w:t>校正</w:t>
      </w:r>
      <w:r>
        <w:rPr>
          <w:rFonts w:ascii="Times New Roman" w:eastAsia="楷体" w:hAnsi="Times New Roman" w:cs="Times New Roman"/>
        </w:rPr>
        <w:t>p</w:t>
      </w:r>
      <w:r>
        <w:rPr>
          <w:rFonts w:ascii="Times New Roman" w:eastAsia="楷体" w:hAnsi="Times New Roman" w:cs="Times New Roman"/>
        </w:rPr>
        <w:t>值均为</w:t>
      </w:r>
      <w:r>
        <w:rPr>
          <w:rFonts w:ascii="Times New Roman" w:eastAsia="楷体" w:hAnsi="Times New Roman" w:cs="Times New Roman"/>
        </w:rPr>
        <w:t>0.0352</w:t>
      </w:r>
      <w:r>
        <w:rPr>
          <w:rFonts w:ascii="Times New Roman" w:eastAsia="楷体" w:hAnsi="Times New Roman" w:cs="Times New Roman"/>
        </w:rPr>
        <w:t>。</w:t>
      </w:r>
      <w:r>
        <w:rPr>
          <w:rFonts w:ascii="Times New Roman" w:eastAsia="楷体" w:hAnsi="Times New Roman" w:cs="Times New Roman"/>
        </w:rPr>
        <w:t>LM+</w:t>
      </w:r>
      <w:r>
        <w:rPr>
          <w:rFonts w:ascii="Times New Roman" w:eastAsia="楷体" w:hAnsi="Times New Roman" w:cs="Times New Roman"/>
        </w:rPr>
        <w:t>的平均</w:t>
      </w:r>
      <w:r>
        <w:rPr>
          <w:rFonts w:ascii="Times New Roman" w:eastAsia="楷体" w:hAnsi="Times New Roman" w:cs="Times New Roman"/>
        </w:rPr>
        <w:t>HV</w:t>
      </w:r>
      <w:r>
        <w:rPr>
          <w:rFonts w:ascii="Times New Roman" w:eastAsia="楷体" w:hAnsi="Times New Roman" w:cs="Times New Roman"/>
        </w:rPr>
        <w:t>分别提高</w:t>
      </w:r>
      <w:r>
        <w:rPr>
          <w:rFonts w:ascii="Times New Roman" w:eastAsia="楷体" w:hAnsi="Times New Roman" w:cs="Times New Roman"/>
        </w:rPr>
        <w:t>108.11%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210.65%</w:t>
      </w:r>
      <w:r>
        <w:rPr>
          <w:rFonts w:ascii="Times New Roman" w:eastAsia="楷体" w:hAnsi="Times New Roman" w:cs="Times New Roman"/>
        </w:rPr>
        <w:t>和</w:t>
      </w:r>
      <w:r>
        <w:rPr>
          <w:rFonts w:ascii="Times New Roman" w:eastAsia="楷体" w:hAnsi="Times New Roman" w:cs="Times New Roman"/>
        </w:rPr>
        <w:t>401.93%</w:t>
      </w:r>
      <w:r>
        <w:rPr>
          <w:rFonts w:ascii="Times New Roman" w:eastAsia="楷体" w:hAnsi="Times New Roman" w:cs="Times New Roman"/>
        </w:rPr>
        <w:t>，</w:t>
      </w:r>
      <w:r>
        <w:rPr>
          <w:rFonts w:ascii="Times New Roman" w:eastAsia="楷体" w:hAnsi="Times New Roman" w:cs="Times New Roman"/>
        </w:rPr>
        <w:t>DG+</w:t>
      </w:r>
      <w:r>
        <w:rPr>
          <w:rFonts w:ascii="Times New Roman" w:eastAsia="楷体" w:hAnsi="Times New Roman" w:cs="Times New Roman"/>
        </w:rPr>
        <w:t>分别提高</w:t>
      </w:r>
      <w:r>
        <w:rPr>
          <w:rFonts w:ascii="Times New Roman" w:eastAsia="楷体" w:hAnsi="Times New Roman" w:cs="Times New Roman"/>
        </w:rPr>
        <w:t>93.37%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169.93%</w:t>
      </w:r>
      <w:r>
        <w:rPr>
          <w:rFonts w:ascii="Times New Roman" w:eastAsia="楷体" w:hAnsi="Times New Roman" w:cs="Times New Roman"/>
        </w:rPr>
        <w:t>和</w:t>
      </w:r>
      <w:r>
        <w:rPr>
          <w:rFonts w:ascii="Times New Roman" w:eastAsia="楷体" w:hAnsi="Times New Roman" w:cs="Times New Roman"/>
        </w:rPr>
        <w:t>282.35%</w:t>
      </w:r>
      <w:r>
        <w:rPr>
          <w:rFonts w:ascii="Times New Roman" w:eastAsia="楷体" w:hAnsi="Times New Roman" w:cs="Times New Roman"/>
        </w:rPr>
        <w:t>。随着候选空间扩大，改进版能够覆盖基线较少到达的紧凑布局区域，同时保留发电较高的解，因而获得更大的超体积。这里的大百分比首先反映原基线覆盖范围较窄，须结合物理目标与布局进一步解释。</w:t>
      </w:r>
    </w:p>
    <w:p w14:paraId="066D064C" w14:textId="77777777" w:rsidR="008E439A" w:rsidRDefault="00000000">
      <w:pPr>
        <w:pStyle w:val="ReportCaption"/>
        <w:keepNext/>
        <w:keepLines/>
        <w:spacing w:before="100" w:after="60"/>
        <w:ind w:left="228" w:right="237"/>
      </w:pPr>
      <w:r>
        <w:rPr>
          <w:rFonts w:cs="Times New Roman"/>
        </w:rPr>
        <w:t>表</w:t>
      </w:r>
      <w:r>
        <w:rPr>
          <w:rFonts w:cs="Times New Roman"/>
        </w:rPr>
        <w:t xml:space="preserve">4 </w:t>
      </w:r>
      <w:r>
        <w:rPr>
          <w:rFonts w:cs="Times New Roman"/>
        </w:rPr>
        <w:t>改进版相对各自基线的质量变化与配对检验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077"/>
        <w:gridCol w:w="1814"/>
        <w:gridCol w:w="2098"/>
        <w:gridCol w:w="1191"/>
        <w:gridCol w:w="2098"/>
      </w:tblGrid>
      <w:tr w:rsidR="008E439A" w14:paraId="1AF8633A" w14:textId="77777777">
        <w:trPr>
          <w:cantSplit/>
          <w:tblHeader/>
          <w:jc w:val="center"/>
        </w:trPr>
        <w:tc>
          <w:tcPr>
            <w:tcW w:w="6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974310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b/>
                <w:sz w:val="21"/>
              </w:rPr>
              <w:t>算例</w:t>
            </w:r>
          </w:p>
        </w:tc>
        <w:tc>
          <w:tcPr>
            <w:tcW w:w="107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F49229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b/>
                <w:sz w:val="21"/>
              </w:rPr>
              <w:t>改进版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97DE1A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b/>
                <w:sz w:val="21"/>
              </w:rPr>
              <w:t>同请求数</w:t>
            </w:r>
            <w:r>
              <w:rPr>
                <w:rFonts w:ascii="Times New Roman" w:eastAsia="楷体" w:hAnsi="Times New Roman" w:cs="Times New Roman"/>
                <w:b/>
                <w:sz w:val="21"/>
              </w:rPr>
              <w:br/>
              <w:t>HV</w:t>
            </w:r>
            <w:r>
              <w:rPr>
                <w:rFonts w:ascii="Times New Roman" w:eastAsia="楷体" w:hAnsi="Times New Roman" w:cs="Times New Roman"/>
                <w:b/>
                <w:sz w:val="21"/>
              </w:rPr>
              <w:t>提升</w:t>
            </w:r>
          </w:p>
        </w:tc>
        <w:tc>
          <w:tcPr>
            <w:tcW w:w="20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304F8E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b/>
                <w:sz w:val="21"/>
              </w:rPr>
              <w:t>同</w:t>
            </w:r>
            <w:r>
              <w:rPr>
                <w:rFonts w:ascii="Times New Roman" w:eastAsia="楷体" w:hAnsi="Times New Roman" w:cs="Times New Roman"/>
                <w:b/>
                <w:sz w:val="21"/>
              </w:rPr>
              <w:t>CPU</w:t>
            </w:r>
            <w:r>
              <w:rPr>
                <w:rFonts w:ascii="Times New Roman" w:eastAsia="楷体" w:hAnsi="Times New Roman" w:cs="Times New Roman"/>
                <w:b/>
                <w:sz w:val="21"/>
              </w:rPr>
              <w:t>预算</w:t>
            </w:r>
            <w:r>
              <w:rPr>
                <w:rFonts w:ascii="Times New Roman" w:eastAsia="楷体" w:hAnsi="Times New Roman" w:cs="Times New Roman"/>
                <w:b/>
                <w:sz w:val="21"/>
              </w:rPr>
              <w:br/>
              <w:t>HV</w:t>
            </w:r>
            <w:r>
              <w:rPr>
                <w:rFonts w:ascii="Times New Roman" w:eastAsia="楷体" w:hAnsi="Times New Roman" w:cs="Times New Roman"/>
                <w:b/>
                <w:sz w:val="21"/>
              </w:rPr>
              <w:t>提升</w:t>
            </w:r>
          </w:p>
        </w:tc>
        <w:tc>
          <w:tcPr>
            <w:tcW w:w="119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68D8B2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b/>
                <w:sz w:val="21"/>
              </w:rPr>
              <w:t>胜</w:t>
            </w:r>
            <w:r>
              <w:rPr>
                <w:rFonts w:ascii="Times New Roman" w:eastAsia="楷体" w:hAnsi="Times New Roman" w:cs="Times New Roman"/>
                <w:b/>
                <w:sz w:val="21"/>
              </w:rPr>
              <w:t xml:space="preserve"> / </w:t>
            </w:r>
            <w:r>
              <w:rPr>
                <w:rFonts w:ascii="Times New Roman" w:eastAsia="楷体" w:hAnsi="Times New Roman" w:cs="Times New Roman"/>
                <w:b/>
                <w:sz w:val="21"/>
              </w:rPr>
              <w:t>负</w:t>
            </w:r>
          </w:p>
        </w:tc>
        <w:tc>
          <w:tcPr>
            <w:tcW w:w="20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4E03E7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b/>
                <w:sz w:val="21"/>
              </w:rPr>
              <w:t>Holm</w:t>
            </w:r>
            <w:r>
              <w:rPr>
                <w:rFonts w:ascii="Times New Roman" w:eastAsia="楷体" w:hAnsi="Times New Roman" w:cs="Times New Roman"/>
                <w:b/>
                <w:sz w:val="21"/>
              </w:rPr>
              <w:t>校正</w:t>
            </w:r>
            <w:r>
              <w:rPr>
                <w:rFonts w:ascii="Times New Roman" w:eastAsia="楷体" w:hAnsi="Times New Roman" w:cs="Times New Roman"/>
                <w:b/>
                <w:sz w:val="21"/>
              </w:rPr>
              <w:t>p</w:t>
            </w:r>
          </w:p>
        </w:tc>
      </w:tr>
      <w:tr w:rsidR="008E439A" w14:paraId="5CCE4CFF" w14:textId="77777777">
        <w:trPr>
          <w:cantSplit/>
          <w:jc w:val="center"/>
        </w:trPr>
        <w:tc>
          <w:tcPr>
            <w:tcW w:w="6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036549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A</w:t>
            </w:r>
          </w:p>
        </w:tc>
        <w:tc>
          <w:tcPr>
            <w:tcW w:w="107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18AB9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CC+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438F95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+15.71%</w:t>
            </w:r>
          </w:p>
        </w:tc>
        <w:tc>
          <w:tcPr>
            <w:tcW w:w="20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E81FB3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+15.71%</w:t>
            </w:r>
          </w:p>
        </w:tc>
        <w:tc>
          <w:tcPr>
            <w:tcW w:w="119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4BDF7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9 / 1</w:t>
            </w:r>
          </w:p>
        </w:tc>
        <w:tc>
          <w:tcPr>
            <w:tcW w:w="20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C87F74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0.0352</w:t>
            </w:r>
          </w:p>
        </w:tc>
      </w:tr>
      <w:tr w:rsidR="008E439A" w14:paraId="01E87707" w14:textId="77777777">
        <w:trPr>
          <w:cantSplit/>
          <w:jc w:val="center"/>
        </w:trPr>
        <w:tc>
          <w:tcPr>
            <w:tcW w:w="6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6CB3E4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A</w:t>
            </w:r>
          </w:p>
        </w:tc>
        <w:tc>
          <w:tcPr>
            <w:tcW w:w="107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3E2930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LM+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BEFDEA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+108.11%</w:t>
            </w:r>
          </w:p>
        </w:tc>
        <w:tc>
          <w:tcPr>
            <w:tcW w:w="20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1FCE01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+102.91%</w:t>
            </w:r>
          </w:p>
        </w:tc>
        <w:tc>
          <w:tcPr>
            <w:tcW w:w="119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2EC798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10 / 0</w:t>
            </w:r>
          </w:p>
        </w:tc>
        <w:tc>
          <w:tcPr>
            <w:tcW w:w="20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ABD3C8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0.0352</w:t>
            </w:r>
          </w:p>
        </w:tc>
      </w:tr>
      <w:tr w:rsidR="008E439A" w14:paraId="1BDD51A5" w14:textId="77777777">
        <w:trPr>
          <w:cantSplit/>
          <w:jc w:val="center"/>
        </w:trPr>
        <w:tc>
          <w:tcPr>
            <w:tcW w:w="6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2AF313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A</w:t>
            </w:r>
          </w:p>
        </w:tc>
        <w:tc>
          <w:tcPr>
            <w:tcW w:w="107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BC0E33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DG+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799365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+93.37%</w:t>
            </w:r>
          </w:p>
        </w:tc>
        <w:tc>
          <w:tcPr>
            <w:tcW w:w="20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184D81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+92.53%</w:t>
            </w:r>
          </w:p>
        </w:tc>
        <w:tc>
          <w:tcPr>
            <w:tcW w:w="119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2101A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10 / 0</w:t>
            </w:r>
          </w:p>
        </w:tc>
        <w:tc>
          <w:tcPr>
            <w:tcW w:w="20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107ECD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0.0352</w:t>
            </w:r>
          </w:p>
        </w:tc>
      </w:tr>
      <w:tr w:rsidR="008E439A" w14:paraId="50E5FDD0" w14:textId="77777777">
        <w:trPr>
          <w:cantSplit/>
          <w:jc w:val="center"/>
        </w:trPr>
        <w:tc>
          <w:tcPr>
            <w:tcW w:w="6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91F23F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B</w:t>
            </w:r>
          </w:p>
        </w:tc>
        <w:tc>
          <w:tcPr>
            <w:tcW w:w="107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07236B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CC+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6931E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+4.75%</w:t>
            </w:r>
          </w:p>
        </w:tc>
        <w:tc>
          <w:tcPr>
            <w:tcW w:w="20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A6B82B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+4.75%</w:t>
            </w:r>
          </w:p>
        </w:tc>
        <w:tc>
          <w:tcPr>
            <w:tcW w:w="119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F43464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8 / 2</w:t>
            </w:r>
          </w:p>
        </w:tc>
        <w:tc>
          <w:tcPr>
            <w:tcW w:w="20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8ADA50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0.1484</w:t>
            </w:r>
          </w:p>
        </w:tc>
      </w:tr>
      <w:tr w:rsidR="008E439A" w14:paraId="06FE38BD" w14:textId="77777777">
        <w:trPr>
          <w:cantSplit/>
          <w:jc w:val="center"/>
        </w:trPr>
        <w:tc>
          <w:tcPr>
            <w:tcW w:w="6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46EABB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B</w:t>
            </w:r>
          </w:p>
        </w:tc>
        <w:tc>
          <w:tcPr>
            <w:tcW w:w="107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A7DD6E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LM+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6821A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+210.65%</w:t>
            </w:r>
          </w:p>
        </w:tc>
        <w:tc>
          <w:tcPr>
            <w:tcW w:w="20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1A01AE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+190.38%</w:t>
            </w:r>
          </w:p>
        </w:tc>
        <w:tc>
          <w:tcPr>
            <w:tcW w:w="119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BF28B6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10 / 0</w:t>
            </w:r>
          </w:p>
        </w:tc>
        <w:tc>
          <w:tcPr>
            <w:tcW w:w="20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897FF3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0.0352</w:t>
            </w:r>
          </w:p>
        </w:tc>
      </w:tr>
      <w:tr w:rsidR="008E439A" w14:paraId="4CBCA556" w14:textId="77777777">
        <w:trPr>
          <w:cantSplit/>
          <w:jc w:val="center"/>
        </w:trPr>
        <w:tc>
          <w:tcPr>
            <w:tcW w:w="6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D36B9F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B</w:t>
            </w:r>
          </w:p>
        </w:tc>
        <w:tc>
          <w:tcPr>
            <w:tcW w:w="107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D49F1D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DG+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E8C1AD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+169.93%</w:t>
            </w:r>
          </w:p>
        </w:tc>
        <w:tc>
          <w:tcPr>
            <w:tcW w:w="20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5ACEC7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+168.94%</w:t>
            </w:r>
          </w:p>
        </w:tc>
        <w:tc>
          <w:tcPr>
            <w:tcW w:w="119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BBACB1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10 / 0</w:t>
            </w:r>
          </w:p>
        </w:tc>
        <w:tc>
          <w:tcPr>
            <w:tcW w:w="20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DCDAA4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0.0352</w:t>
            </w:r>
          </w:p>
        </w:tc>
      </w:tr>
      <w:tr w:rsidR="008E439A" w14:paraId="3CE9A5F0" w14:textId="77777777">
        <w:trPr>
          <w:cantSplit/>
          <w:jc w:val="center"/>
        </w:trPr>
        <w:tc>
          <w:tcPr>
            <w:tcW w:w="6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1FB379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C</w:t>
            </w:r>
          </w:p>
        </w:tc>
        <w:tc>
          <w:tcPr>
            <w:tcW w:w="107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3523FD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CC+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B284A3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+4.02%</w:t>
            </w:r>
          </w:p>
        </w:tc>
        <w:tc>
          <w:tcPr>
            <w:tcW w:w="20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975859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+4.02%</w:t>
            </w:r>
          </w:p>
        </w:tc>
        <w:tc>
          <w:tcPr>
            <w:tcW w:w="119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254758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6 / 4</w:t>
            </w:r>
          </w:p>
        </w:tc>
        <w:tc>
          <w:tcPr>
            <w:tcW w:w="20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2EBBDC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0.4414</w:t>
            </w:r>
          </w:p>
        </w:tc>
      </w:tr>
      <w:tr w:rsidR="008E439A" w14:paraId="202D57EF" w14:textId="77777777">
        <w:trPr>
          <w:cantSplit/>
          <w:jc w:val="center"/>
        </w:trPr>
        <w:tc>
          <w:tcPr>
            <w:tcW w:w="6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8FB8CF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C</w:t>
            </w:r>
          </w:p>
        </w:tc>
        <w:tc>
          <w:tcPr>
            <w:tcW w:w="107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B1C820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LM+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572ED2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+401.93%</w:t>
            </w:r>
          </w:p>
        </w:tc>
        <w:tc>
          <w:tcPr>
            <w:tcW w:w="20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ABF4CB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+369.65%</w:t>
            </w:r>
          </w:p>
        </w:tc>
        <w:tc>
          <w:tcPr>
            <w:tcW w:w="119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DB0D07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10 / 0</w:t>
            </w:r>
          </w:p>
        </w:tc>
        <w:tc>
          <w:tcPr>
            <w:tcW w:w="20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8F93FD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0.0352</w:t>
            </w:r>
          </w:p>
        </w:tc>
      </w:tr>
      <w:tr w:rsidR="008E439A" w14:paraId="51EE9FF7" w14:textId="77777777">
        <w:trPr>
          <w:cantSplit/>
          <w:jc w:val="center"/>
        </w:trPr>
        <w:tc>
          <w:tcPr>
            <w:tcW w:w="6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932B98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C</w:t>
            </w:r>
          </w:p>
        </w:tc>
        <w:tc>
          <w:tcPr>
            <w:tcW w:w="107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C096F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DG+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02CF67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+282.35%</w:t>
            </w:r>
          </w:p>
        </w:tc>
        <w:tc>
          <w:tcPr>
            <w:tcW w:w="20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DB615B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+281.34%</w:t>
            </w:r>
          </w:p>
        </w:tc>
        <w:tc>
          <w:tcPr>
            <w:tcW w:w="119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2D014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10 / 0</w:t>
            </w:r>
          </w:p>
        </w:tc>
        <w:tc>
          <w:tcPr>
            <w:tcW w:w="20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655806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0.0352</w:t>
            </w:r>
          </w:p>
        </w:tc>
      </w:tr>
    </w:tbl>
    <w:p w14:paraId="4A7BB300" w14:textId="77777777" w:rsidR="008E439A" w:rsidRDefault="00000000">
      <w:pPr>
        <w:pStyle w:val="ReportNote"/>
        <w:spacing w:after="60" w:line="20" w:lineRule="exact"/>
        <w:ind w:left="228" w:right="237"/>
      </w:pPr>
      <w:r>
        <w:rPr>
          <w:rFonts w:cs="Times New Roman"/>
          <w:sz w:val="2"/>
        </w:rPr>
        <w:t xml:space="preserve"> </w:t>
      </w:r>
    </w:p>
    <w:p w14:paraId="068EF2E7" w14:textId="77777777" w:rsidR="008E439A" w:rsidRDefault="00000000">
      <w:pPr>
        <w:pStyle w:val="ReportNote"/>
        <w:ind w:left="228" w:right="237"/>
      </w:pPr>
      <w:r>
        <w:rPr>
          <w:rFonts w:cs="Times New Roman"/>
        </w:rPr>
        <w:t>百分比为改进版均值相对各自基线均值的变化；胜负按</w:t>
      </w:r>
      <w:r>
        <w:rPr>
          <w:rFonts w:cs="Times New Roman"/>
        </w:rPr>
        <w:t>10</w:t>
      </w:r>
      <w:r>
        <w:rPr>
          <w:rFonts w:cs="Times New Roman"/>
        </w:rPr>
        <w:t>个配对种子的同请求数</w:t>
      </w:r>
      <w:r>
        <w:rPr>
          <w:rFonts w:cs="Times New Roman"/>
        </w:rPr>
        <w:t>HV</w:t>
      </w:r>
      <w:r>
        <w:rPr>
          <w:rFonts w:cs="Times New Roman"/>
        </w:rPr>
        <w:t>计。此批次两种主要口径的校正</w:t>
      </w:r>
      <w:r>
        <w:rPr>
          <w:rFonts w:cs="Times New Roman"/>
        </w:rPr>
        <w:t>p</w:t>
      </w:r>
      <w:r>
        <w:rPr>
          <w:rFonts w:cs="Times New Roman"/>
        </w:rPr>
        <w:t>值相同。</w:t>
      </w:r>
    </w:p>
    <w:p w14:paraId="35092A9C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CC+</w:t>
      </w:r>
      <w:r>
        <w:rPr>
          <w:rFonts w:ascii="Times New Roman" w:eastAsia="楷体" w:hAnsi="Times New Roman" w:cs="Times New Roman"/>
        </w:rPr>
        <w:t>在算例</w:t>
      </w: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</w:rPr>
        <w:t>中的</w:t>
      </w:r>
      <w:r>
        <w:rPr>
          <w:rFonts w:ascii="Times New Roman" w:eastAsia="楷体" w:hAnsi="Times New Roman" w:cs="Times New Roman"/>
        </w:rPr>
        <w:t>HV</w:t>
      </w:r>
      <w:r>
        <w:rPr>
          <w:rFonts w:ascii="Times New Roman" w:eastAsia="楷体" w:hAnsi="Times New Roman" w:cs="Times New Roman"/>
        </w:rPr>
        <w:t>提升为</w:t>
      </w:r>
      <w:r>
        <w:rPr>
          <w:rFonts w:ascii="Times New Roman" w:eastAsia="楷体" w:hAnsi="Times New Roman" w:cs="Times New Roman"/>
        </w:rPr>
        <w:t>15.71%</w:t>
      </w:r>
      <w:r>
        <w:rPr>
          <w:rFonts w:ascii="Times New Roman" w:eastAsia="楷体" w:hAnsi="Times New Roman" w:cs="Times New Roman"/>
        </w:rPr>
        <w:t>，</w:t>
      </w:r>
      <w:r>
        <w:rPr>
          <w:rFonts w:ascii="Times New Roman" w:eastAsia="楷体" w:hAnsi="Times New Roman" w:cs="Times New Roman"/>
        </w:rPr>
        <w:t>9</w:t>
      </w:r>
      <w:r>
        <w:rPr>
          <w:rFonts w:ascii="Times New Roman" w:eastAsia="楷体" w:hAnsi="Times New Roman" w:cs="Times New Roman"/>
        </w:rPr>
        <w:t>胜</w:t>
      </w:r>
      <w:r>
        <w:rPr>
          <w:rFonts w:ascii="Times New Roman" w:eastAsia="楷体" w:hAnsi="Times New Roman" w:cs="Times New Roman"/>
        </w:rPr>
        <w:t>1</w:t>
      </w:r>
      <w:r>
        <w:rPr>
          <w:rFonts w:ascii="Times New Roman" w:eastAsia="楷体" w:hAnsi="Times New Roman" w:cs="Times New Roman"/>
        </w:rPr>
        <w:t>负，校正后仍达到显著水平；在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C</w:t>
      </w:r>
      <w:r>
        <w:rPr>
          <w:rFonts w:ascii="Times New Roman" w:eastAsia="楷体" w:hAnsi="Times New Roman" w:cs="Times New Roman"/>
        </w:rPr>
        <w:t>中分别提高</w:t>
      </w:r>
      <w:r>
        <w:rPr>
          <w:rFonts w:ascii="Times New Roman" w:eastAsia="楷体" w:hAnsi="Times New Roman" w:cs="Times New Roman"/>
        </w:rPr>
        <w:t>4.75%</w:t>
      </w:r>
      <w:r>
        <w:rPr>
          <w:rFonts w:ascii="Times New Roman" w:eastAsia="楷体" w:hAnsi="Times New Roman" w:cs="Times New Roman"/>
        </w:rPr>
        <w:t>和</w:t>
      </w:r>
      <w:r>
        <w:rPr>
          <w:rFonts w:ascii="Times New Roman" w:eastAsia="楷体" w:hAnsi="Times New Roman" w:cs="Times New Roman"/>
        </w:rPr>
        <w:t>4.02%</w:t>
      </w:r>
      <w:r>
        <w:rPr>
          <w:rFonts w:ascii="Times New Roman" w:eastAsia="楷体" w:hAnsi="Times New Roman" w:cs="Times New Roman"/>
        </w:rPr>
        <w:t>，胜负为</w:t>
      </w:r>
      <w:r>
        <w:rPr>
          <w:rFonts w:ascii="Times New Roman" w:eastAsia="楷体" w:hAnsi="Times New Roman" w:cs="Times New Roman"/>
        </w:rPr>
        <w:t>8</w:t>
      </w:r>
      <w:r>
        <w:rPr>
          <w:rFonts w:ascii="Times New Roman" w:eastAsia="楷体" w:hAnsi="Times New Roman" w:cs="Times New Roman"/>
        </w:rPr>
        <w:t>胜</w:t>
      </w:r>
      <w:r>
        <w:rPr>
          <w:rFonts w:ascii="Times New Roman" w:eastAsia="楷体" w:hAnsi="Times New Roman" w:cs="Times New Roman"/>
        </w:rPr>
        <w:t>2</w:t>
      </w:r>
      <w:r>
        <w:rPr>
          <w:rFonts w:ascii="Times New Roman" w:eastAsia="楷体" w:hAnsi="Times New Roman" w:cs="Times New Roman"/>
        </w:rPr>
        <w:t>负、</w:t>
      </w:r>
      <w:r>
        <w:rPr>
          <w:rFonts w:ascii="Times New Roman" w:eastAsia="楷体" w:hAnsi="Times New Roman" w:cs="Times New Roman"/>
        </w:rPr>
        <w:t>6</w:t>
      </w:r>
      <w:r>
        <w:rPr>
          <w:rFonts w:ascii="Times New Roman" w:eastAsia="楷体" w:hAnsi="Times New Roman" w:cs="Times New Roman"/>
        </w:rPr>
        <w:t>胜</w:t>
      </w:r>
      <w:r>
        <w:rPr>
          <w:rFonts w:ascii="Times New Roman" w:eastAsia="楷体" w:hAnsi="Times New Roman" w:cs="Times New Roman"/>
        </w:rPr>
        <w:t>4</w:t>
      </w:r>
      <w:r>
        <w:rPr>
          <w:rFonts w:ascii="Times New Roman" w:eastAsia="楷体" w:hAnsi="Times New Roman" w:cs="Times New Roman"/>
        </w:rPr>
        <w:t>负，校正</w:t>
      </w:r>
      <w:r>
        <w:rPr>
          <w:rFonts w:ascii="Times New Roman" w:eastAsia="楷体" w:hAnsi="Times New Roman" w:cs="Times New Roman"/>
        </w:rPr>
        <w:t>p</w:t>
      </w:r>
      <w:r>
        <w:rPr>
          <w:rFonts w:ascii="Times New Roman" w:eastAsia="楷体" w:hAnsi="Times New Roman" w:cs="Times New Roman"/>
        </w:rPr>
        <w:t>值为</w:t>
      </w:r>
      <w:r>
        <w:rPr>
          <w:rFonts w:ascii="Times New Roman" w:eastAsia="楷体" w:hAnsi="Times New Roman" w:cs="Times New Roman"/>
        </w:rPr>
        <w:t>0.1484</w:t>
      </w:r>
      <w:r>
        <w:rPr>
          <w:rFonts w:ascii="Times New Roman" w:eastAsia="楷体" w:hAnsi="Times New Roman" w:cs="Times New Roman"/>
        </w:rPr>
        <w:t>和</w:t>
      </w:r>
      <w:r>
        <w:rPr>
          <w:rFonts w:ascii="Times New Roman" w:eastAsia="楷体" w:hAnsi="Times New Roman" w:cs="Times New Roman"/>
        </w:rPr>
        <w:t>0.4414</w:t>
      </w:r>
      <w:r>
        <w:rPr>
          <w:rFonts w:ascii="Times New Roman" w:eastAsia="楷体" w:hAnsi="Times New Roman" w:cs="Times New Roman"/>
        </w:rPr>
        <w:t>。它的平均质量保持正向变化，但候选空间增大后，收益稳定性明显弱于</w:t>
      </w:r>
      <w:r>
        <w:rPr>
          <w:rFonts w:ascii="Times New Roman" w:eastAsia="楷体" w:hAnsi="Times New Roman" w:cs="Times New Roman"/>
        </w:rPr>
        <w:t>LM+</w:t>
      </w:r>
      <w:r>
        <w:rPr>
          <w:rFonts w:ascii="Times New Roman" w:eastAsia="楷体" w:hAnsi="Times New Roman" w:cs="Times New Roman"/>
        </w:rPr>
        <w:t>和</w:t>
      </w:r>
      <w:r>
        <w:rPr>
          <w:rFonts w:ascii="Times New Roman" w:eastAsia="楷体" w:hAnsi="Times New Roman" w:cs="Times New Roman"/>
        </w:rPr>
        <w:t>DG+</w:t>
      </w:r>
      <w:r>
        <w:rPr>
          <w:rFonts w:ascii="Times New Roman" w:eastAsia="楷体" w:hAnsi="Times New Roman" w:cs="Times New Roman"/>
        </w:rPr>
        <w:t>。因此，本课题将</w:t>
      </w:r>
      <w:r>
        <w:rPr>
          <w:rFonts w:ascii="Times New Roman" w:eastAsia="楷体" w:hAnsi="Times New Roman" w:cs="Times New Roman"/>
        </w:rPr>
        <w:t>CC+</w:t>
      </w:r>
      <w:r>
        <w:rPr>
          <w:rFonts w:ascii="Times New Roman" w:eastAsia="楷体" w:hAnsi="Times New Roman" w:cs="Times New Roman"/>
        </w:rPr>
        <w:t>定位为较低计算开销的协同求解方案，将</w:t>
      </w:r>
      <w:r>
        <w:rPr>
          <w:rFonts w:ascii="Times New Roman" w:eastAsia="楷体" w:hAnsi="Times New Roman" w:cs="Times New Roman"/>
        </w:rPr>
        <w:t>LM+</w:t>
      </w:r>
      <w:r>
        <w:rPr>
          <w:rFonts w:ascii="Times New Roman" w:eastAsia="楷体" w:hAnsi="Times New Roman" w:cs="Times New Roman"/>
        </w:rPr>
        <w:t>与</w:t>
      </w:r>
      <w:r>
        <w:rPr>
          <w:rFonts w:ascii="Times New Roman" w:eastAsia="楷体" w:hAnsi="Times New Roman" w:cs="Times New Roman"/>
        </w:rPr>
        <w:t>DG+</w:t>
      </w:r>
      <w:r>
        <w:rPr>
          <w:rFonts w:ascii="Times New Roman" w:eastAsia="楷体" w:hAnsi="Times New Roman" w:cs="Times New Roman"/>
        </w:rPr>
        <w:t>作为扩大</w:t>
      </w:r>
      <w:r>
        <w:rPr>
          <w:rFonts w:ascii="Times New Roman" w:eastAsia="楷体" w:hAnsi="Times New Roman" w:cs="Times New Roman"/>
        </w:rPr>
        <w:t>Pareto</w:t>
      </w:r>
      <w:r>
        <w:rPr>
          <w:rFonts w:ascii="Times New Roman" w:eastAsia="楷体" w:hAnsi="Times New Roman" w:cs="Times New Roman"/>
        </w:rPr>
        <w:t>权衡范围的主要方法。</w:t>
      </w:r>
    </w:p>
    <w:p w14:paraId="3BB48055" w14:textId="77777777" w:rsidR="008E439A" w:rsidRDefault="00000000">
      <w:pPr>
        <w:pStyle w:val="21"/>
        <w:ind w:left="228" w:right="237"/>
      </w:pPr>
      <w:r>
        <w:rPr>
          <w:rFonts w:cs="Times New Roman"/>
        </w:rPr>
        <w:t>收敛过程与同时间质量</w:t>
      </w:r>
    </w:p>
    <w:p w14:paraId="16AC18AB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图</w:t>
      </w:r>
      <w:r>
        <w:rPr>
          <w:rFonts w:ascii="Times New Roman" w:eastAsia="楷体" w:hAnsi="Times New Roman" w:cs="Times New Roman"/>
        </w:rPr>
        <w:t>2</w:t>
      </w:r>
      <w:r>
        <w:rPr>
          <w:rFonts w:ascii="Times New Roman" w:eastAsia="楷体" w:hAnsi="Times New Roman" w:cs="Times New Roman"/>
        </w:rPr>
        <w:t>显示，在相同评价请求数下，</w:t>
      </w:r>
      <w:r>
        <w:rPr>
          <w:rFonts w:ascii="Times New Roman" w:eastAsia="楷体" w:hAnsi="Times New Roman" w:cs="Times New Roman"/>
        </w:rPr>
        <w:t>LM+</w:t>
      </w:r>
      <w:r>
        <w:rPr>
          <w:rFonts w:ascii="Times New Roman" w:eastAsia="楷体" w:hAnsi="Times New Roman" w:cs="Times New Roman"/>
        </w:rPr>
        <w:t>和</w:t>
      </w:r>
      <w:r>
        <w:rPr>
          <w:rFonts w:ascii="Times New Roman" w:eastAsia="楷体" w:hAnsi="Times New Roman" w:cs="Times New Roman"/>
        </w:rPr>
        <w:t>DG+</w:t>
      </w:r>
      <w:r>
        <w:rPr>
          <w:rFonts w:ascii="Times New Roman" w:eastAsia="楷体" w:hAnsi="Times New Roman" w:cs="Times New Roman"/>
        </w:rPr>
        <w:t>较早获得更高</w:t>
      </w:r>
      <w:r>
        <w:rPr>
          <w:rFonts w:ascii="Times New Roman" w:eastAsia="楷体" w:hAnsi="Times New Roman" w:cs="Times New Roman"/>
        </w:rPr>
        <w:t>HV</w:t>
      </w:r>
      <w:r>
        <w:rPr>
          <w:rFonts w:ascii="Times New Roman" w:eastAsia="楷体" w:hAnsi="Times New Roman" w:cs="Times New Roman"/>
        </w:rPr>
        <w:t>，随后继续扩展解集；基线则较早进入缓慢变化阶段。</w:t>
      </w:r>
      <w:r>
        <w:rPr>
          <w:rFonts w:ascii="Times New Roman" w:eastAsia="楷体" w:hAnsi="Times New Roman" w:cs="Times New Roman"/>
        </w:rPr>
        <w:t>CC+</w:t>
      </w:r>
      <w:r>
        <w:rPr>
          <w:rFonts w:ascii="Times New Roman" w:eastAsia="楷体" w:hAnsi="Times New Roman" w:cs="Times New Roman"/>
        </w:rPr>
        <w:t>的曲线与基线更接近，说明它的局部可行更新主</w:t>
      </w:r>
      <w:r>
        <w:rPr>
          <w:rFonts w:ascii="Times New Roman" w:eastAsia="楷体" w:hAnsi="Times New Roman" w:cs="Times New Roman"/>
        </w:rPr>
        <w:lastRenderedPageBreak/>
        <w:t>要改善了计算组织，并没有在所有场景中同步取得同等幅度的前沿推进。曲线中的阴影表示改进版</w:t>
      </w:r>
      <w:r>
        <w:rPr>
          <w:rFonts w:ascii="Times New Roman" w:eastAsia="楷体" w:hAnsi="Times New Roman" w:cs="Times New Roman"/>
        </w:rPr>
        <w:t>10</w:t>
      </w:r>
      <w:r>
        <w:rPr>
          <w:rFonts w:ascii="Times New Roman" w:eastAsia="楷体" w:hAnsi="Times New Roman" w:cs="Times New Roman"/>
        </w:rPr>
        <w:t>次运行的标准差，最终统计仍以表</w:t>
      </w:r>
      <w:r>
        <w:rPr>
          <w:rFonts w:ascii="Times New Roman" w:eastAsia="楷体" w:hAnsi="Times New Roman" w:cs="Times New Roman"/>
        </w:rPr>
        <w:t>3</w:t>
      </w:r>
      <w:r>
        <w:rPr>
          <w:rFonts w:ascii="Times New Roman" w:eastAsia="楷体" w:hAnsi="Times New Roman" w:cs="Times New Roman"/>
        </w:rPr>
        <w:t>、表</w:t>
      </w:r>
      <w:r>
        <w:rPr>
          <w:rFonts w:ascii="Times New Roman" w:eastAsia="楷体" w:hAnsi="Times New Roman" w:cs="Times New Roman"/>
        </w:rPr>
        <w:t>4</w:t>
      </w:r>
      <w:r>
        <w:rPr>
          <w:rFonts w:ascii="Times New Roman" w:eastAsia="楷体" w:hAnsi="Times New Roman" w:cs="Times New Roman"/>
        </w:rPr>
        <w:t>的完整配对结果为准。</w:t>
      </w:r>
    </w:p>
    <w:p w14:paraId="633B1F27" w14:textId="77777777" w:rsidR="008E439A" w:rsidRDefault="00000000">
      <w:pPr>
        <w:keepNext/>
        <w:keepLines/>
        <w:widowControl/>
        <w:spacing w:before="60" w:after="0"/>
        <w:ind w:left="228" w:right="237" w:firstLine="0"/>
        <w:jc w:val="center"/>
      </w:pPr>
      <w:r>
        <w:rPr>
          <w:noProof/>
        </w:rPr>
        <w:drawing>
          <wp:inline distT="0" distB="0" distL="0" distR="0" wp14:anchorId="36A4BA41" wp14:editId="688A0FAD">
            <wp:extent cx="5616000" cy="5854517"/>
            <wp:effectExtent l="0" t="0" r="0" b="0"/>
            <wp:docPr id="2" name="Picture 2" descr="图2 相同评价请求预算下的HV收敛曲线 实线为改进版 虚线为基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rgence_reques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85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FC7F" w14:textId="77777777" w:rsidR="008E439A" w:rsidRDefault="00000000">
      <w:pPr>
        <w:pStyle w:val="ReportCaption"/>
        <w:keepLines/>
        <w:spacing w:before="100" w:after="60"/>
        <w:ind w:left="228" w:right="237"/>
      </w:pPr>
      <w:r>
        <w:rPr>
          <w:rFonts w:cs="Times New Roman"/>
        </w:rPr>
        <w:t>图</w:t>
      </w:r>
      <w:r>
        <w:rPr>
          <w:rFonts w:cs="Times New Roman"/>
        </w:rPr>
        <w:t xml:space="preserve">2 </w:t>
      </w:r>
      <w:r>
        <w:rPr>
          <w:rFonts w:cs="Times New Roman"/>
        </w:rPr>
        <w:t>相同评价请求预算下的</w:t>
      </w:r>
      <w:r>
        <w:rPr>
          <w:rFonts w:cs="Times New Roman"/>
        </w:rPr>
        <w:t>HV</w:t>
      </w:r>
      <w:r>
        <w:rPr>
          <w:rFonts w:cs="Times New Roman"/>
        </w:rPr>
        <w:t>收敛曲线</w:t>
      </w:r>
      <w:r>
        <w:rPr>
          <w:rFonts w:cs="Times New Roman"/>
        </w:rPr>
        <w:t xml:space="preserve"> </w:t>
      </w:r>
      <w:r>
        <w:rPr>
          <w:rFonts w:cs="Times New Roman"/>
        </w:rPr>
        <w:t>实线为改进版</w:t>
      </w:r>
      <w:r>
        <w:rPr>
          <w:rFonts w:cs="Times New Roman"/>
        </w:rPr>
        <w:t xml:space="preserve"> </w:t>
      </w:r>
      <w:r>
        <w:rPr>
          <w:rFonts w:cs="Times New Roman"/>
        </w:rPr>
        <w:t>虚线为基线</w:t>
      </w:r>
    </w:p>
    <w:p w14:paraId="68B19277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完整预算的</w:t>
      </w:r>
      <w:r>
        <w:rPr>
          <w:rFonts w:ascii="Times New Roman" w:eastAsia="楷体" w:hAnsi="Times New Roman" w:cs="Times New Roman"/>
        </w:rPr>
        <w:t>CPU</w:t>
      </w:r>
      <w:r>
        <w:rPr>
          <w:rFonts w:ascii="Times New Roman" w:eastAsia="楷体" w:hAnsi="Times New Roman" w:cs="Times New Roman"/>
        </w:rPr>
        <w:t>时间呈现不同规律。</w:t>
      </w:r>
      <w:r>
        <w:rPr>
          <w:rFonts w:ascii="Times New Roman" w:eastAsia="楷体" w:hAnsi="Times New Roman" w:cs="Times New Roman"/>
        </w:rPr>
        <w:t>CC+</w:t>
      </w:r>
      <w:r>
        <w:rPr>
          <w:rFonts w:ascii="Times New Roman" w:eastAsia="楷体" w:hAnsi="Times New Roman" w:cs="Times New Roman"/>
        </w:rPr>
        <w:t>在</w:t>
      </w: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C</w:t>
      </w:r>
      <w:r>
        <w:rPr>
          <w:rFonts w:ascii="Times New Roman" w:eastAsia="楷体" w:hAnsi="Times New Roman" w:cs="Times New Roman"/>
        </w:rPr>
        <w:t>中分别减少</w:t>
      </w:r>
      <w:r>
        <w:rPr>
          <w:rFonts w:ascii="Times New Roman" w:eastAsia="楷体" w:hAnsi="Times New Roman" w:cs="Times New Roman"/>
        </w:rPr>
        <w:t>31.15%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22.30%</w:t>
      </w:r>
      <w:r>
        <w:rPr>
          <w:rFonts w:ascii="Times New Roman" w:eastAsia="楷体" w:hAnsi="Times New Roman" w:cs="Times New Roman"/>
        </w:rPr>
        <w:t>和</w:t>
      </w:r>
      <w:r>
        <w:rPr>
          <w:rFonts w:ascii="Times New Roman" w:eastAsia="楷体" w:hAnsi="Times New Roman" w:cs="Times New Roman"/>
        </w:rPr>
        <w:t>26.45%</w:t>
      </w:r>
      <w:r>
        <w:rPr>
          <w:rFonts w:ascii="Times New Roman" w:eastAsia="楷体" w:hAnsi="Times New Roman" w:cs="Times New Roman"/>
        </w:rPr>
        <w:t>；</w:t>
      </w:r>
      <w:r>
        <w:rPr>
          <w:rFonts w:ascii="Times New Roman" w:eastAsia="楷体" w:hAnsi="Times New Roman" w:cs="Times New Roman"/>
        </w:rPr>
        <w:t>LM+</w:t>
      </w:r>
      <w:r>
        <w:rPr>
          <w:rFonts w:ascii="Times New Roman" w:eastAsia="楷体" w:hAnsi="Times New Roman" w:cs="Times New Roman"/>
        </w:rPr>
        <w:t>分别增加</w:t>
      </w:r>
      <w:r>
        <w:rPr>
          <w:rFonts w:ascii="Times New Roman" w:eastAsia="楷体" w:hAnsi="Times New Roman" w:cs="Times New Roman"/>
        </w:rPr>
        <w:t>80.88%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105.88%</w:t>
      </w:r>
      <w:r>
        <w:rPr>
          <w:rFonts w:ascii="Times New Roman" w:eastAsia="楷体" w:hAnsi="Times New Roman" w:cs="Times New Roman"/>
        </w:rPr>
        <w:t>和</w:t>
      </w:r>
      <w:r>
        <w:rPr>
          <w:rFonts w:ascii="Times New Roman" w:eastAsia="楷体" w:hAnsi="Times New Roman" w:cs="Times New Roman"/>
        </w:rPr>
        <w:t>132.38%</w:t>
      </w:r>
      <w:r>
        <w:rPr>
          <w:rFonts w:ascii="Times New Roman" w:eastAsia="楷体" w:hAnsi="Times New Roman" w:cs="Times New Roman"/>
        </w:rPr>
        <w:t>；</w:t>
      </w:r>
      <w:r>
        <w:rPr>
          <w:rFonts w:ascii="Times New Roman" w:eastAsia="楷体" w:hAnsi="Times New Roman" w:cs="Times New Roman"/>
        </w:rPr>
        <w:t>DG+</w:t>
      </w:r>
      <w:r>
        <w:rPr>
          <w:rFonts w:ascii="Times New Roman" w:eastAsia="楷体" w:hAnsi="Times New Roman" w:cs="Times New Roman"/>
        </w:rPr>
        <w:t>增加</w:t>
      </w:r>
      <w:r>
        <w:rPr>
          <w:rFonts w:ascii="Times New Roman" w:eastAsia="楷体" w:hAnsi="Times New Roman" w:cs="Times New Roman"/>
        </w:rPr>
        <w:t>5.56%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9.94%</w:t>
      </w:r>
      <w:r>
        <w:rPr>
          <w:rFonts w:ascii="Times New Roman" w:eastAsia="楷体" w:hAnsi="Times New Roman" w:cs="Times New Roman"/>
        </w:rPr>
        <w:t>和</w:t>
      </w:r>
      <w:r>
        <w:rPr>
          <w:rFonts w:ascii="Times New Roman" w:eastAsia="楷体" w:hAnsi="Times New Roman" w:cs="Times New Roman"/>
        </w:rPr>
        <w:t>10.31%</w:t>
      </w:r>
      <w:r>
        <w:rPr>
          <w:rFonts w:ascii="Times New Roman" w:eastAsia="楷体" w:hAnsi="Times New Roman" w:cs="Times New Roman"/>
        </w:rPr>
        <w:t>。</w:t>
      </w:r>
      <w:r>
        <w:rPr>
          <w:rFonts w:ascii="Times New Roman" w:eastAsia="楷体" w:hAnsi="Times New Roman" w:cs="Times New Roman"/>
        </w:rPr>
        <w:t>LM+</w:t>
      </w:r>
      <w:r>
        <w:rPr>
          <w:rFonts w:ascii="Times New Roman" w:eastAsia="楷体" w:hAnsi="Times New Roman" w:cs="Times New Roman"/>
        </w:rPr>
        <w:t>保留更多有效搜索状态，计算了更多新布局；</w:t>
      </w:r>
      <w:r>
        <w:rPr>
          <w:rFonts w:ascii="Times New Roman" w:eastAsia="楷体" w:hAnsi="Times New Roman" w:cs="Times New Roman"/>
        </w:rPr>
        <w:t>DG+</w:t>
      </w:r>
      <w:r>
        <w:rPr>
          <w:rFonts w:ascii="Times New Roman" w:eastAsia="楷体" w:hAnsi="Times New Roman" w:cs="Times New Roman"/>
        </w:rPr>
        <w:t>增加物理筛选与局部交换，也付出了额外开销。因此，不能只用</w:t>
      </w:r>
      <w:r>
        <w:rPr>
          <w:rFonts w:ascii="Times New Roman" w:eastAsia="楷体" w:hAnsi="Times New Roman" w:cs="Times New Roman"/>
        </w:rPr>
        <w:t>“</w:t>
      </w:r>
      <w:r>
        <w:rPr>
          <w:rFonts w:ascii="Times New Roman" w:eastAsia="楷体" w:hAnsi="Times New Roman" w:cs="Times New Roman"/>
        </w:rPr>
        <w:t>每次运行总耗时</w:t>
      </w:r>
      <w:r>
        <w:rPr>
          <w:rFonts w:ascii="Times New Roman" w:eastAsia="楷体" w:hAnsi="Times New Roman" w:cs="Times New Roman"/>
        </w:rPr>
        <w:t>”</w:t>
      </w:r>
      <w:r>
        <w:rPr>
          <w:rFonts w:ascii="Times New Roman" w:eastAsia="楷体" w:hAnsi="Times New Roman" w:cs="Times New Roman"/>
        </w:rPr>
        <w:t>评价这些改进是否提高了求解效率。</w:t>
      </w:r>
    </w:p>
    <w:p w14:paraId="7F4CC2A8" w14:textId="77777777" w:rsidR="008E439A" w:rsidRDefault="00000000">
      <w:pPr>
        <w:keepNext/>
        <w:keepLines/>
        <w:widowControl/>
        <w:spacing w:before="60" w:after="0"/>
        <w:ind w:left="228" w:right="237" w:firstLine="0"/>
        <w:jc w:val="center"/>
      </w:pPr>
      <w:r>
        <w:rPr>
          <w:noProof/>
        </w:rPr>
        <w:lastRenderedPageBreak/>
        <w:drawing>
          <wp:inline distT="0" distB="0" distL="0" distR="0" wp14:anchorId="1388454E" wp14:editId="6DD77290">
            <wp:extent cx="5616000" cy="5854517"/>
            <wp:effectExtent l="0" t="0" r="0" b="0"/>
            <wp:docPr id="3" name="Picture 3" descr="图3 以累计CPU时间为横轴的HV变化 各运行完成后保持最终质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rgence_cp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85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A8A8" w14:textId="77777777" w:rsidR="008E439A" w:rsidRDefault="00000000">
      <w:pPr>
        <w:pStyle w:val="ReportCaption"/>
        <w:keepLines/>
        <w:spacing w:before="100" w:after="60"/>
        <w:ind w:left="228" w:right="237"/>
      </w:pPr>
      <w:r>
        <w:rPr>
          <w:rFonts w:cs="Times New Roman"/>
        </w:rPr>
        <w:t>图</w:t>
      </w:r>
      <w:r>
        <w:rPr>
          <w:rFonts w:cs="Times New Roman"/>
        </w:rPr>
        <w:t xml:space="preserve">3 </w:t>
      </w:r>
      <w:r>
        <w:rPr>
          <w:rFonts w:cs="Times New Roman"/>
        </w:rPr>
        <w:t>以累计</w:t>
      </w:r>
      <w:r>
        <w:rPr>
          <w:rFonts w:cs="Times New Roman"/>
        </w:rPr>
        <w:t>CPU</w:t>
      </w:r>
      <w:r>
        <w:rPr>
          <w:rFonts w:cs="Times New Roman"/>
        </w:rPr>
        <w:t>时间为横轴的</w:t>
      </w:r>
      <w:r>
        <w:rPr>
          <w:rFonts w:cs="Times New Roman"/>
        </w:rPr>
        <w:t>HV</w:t>
      </w:r>
      <w:r>
        <w:rPr>
          <w:rFonts w:cs="Times New Roman"/>
        </w:rPr>
        <w:t>变化</w:t>
      </w:r>
      <w:r>
        <w:rPr>
          <w:rFonts w:cs="Times New Roman"/>
        </w:rPr>
        <w:t xml:space="preserve"> </w:t>
      </w:r>
      <w:r>
        <w:rPr>
          <w:rFonts w:cs="Times New Roman"/>
        </w:rPr>
        <w:t>各运行完成后保持最终质量</w:t>
      </w:r>
    </w:p>
    <w:p w14:paraId="7F571828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在相同</w:t>
      </w:r>
      <w:r>
        <w:rPr>
          <w:rFonts w:ascii="Times New Roman" w:eastAsia="楷体" w:hAnsi="Times New Roman" w:cs="Times New Roman"/>
        </w:rPr>
        <w:t>CPU</w:t>
      </w:r>
      <w:r>
        <w:rPr>
          <w:rFonts w:ascii="Times New Roman" w:eastAsia="楷体" w:hAnsi="Times New Roman" w:cs="Times New Roman"/>
        </w:rPr>
        <w:t>预算下，</w:t>
      </w:r>
      <w:r>
        <w:rPr>
          <w:rFonts w:ascii="Times New Roman" w:eastAsia="楷体" w:hAnsi="Times New Roman" w:cs="Times New Roman"/>
        </w:rPr>
        <w:t>LM+</w:t>
      </w:r>
      <w:r>
        <w:rPr>
          <w:rFonts w:ascii="Times New Roman" w:eastAsia="楷体" w:hAnsi="Times New Roman" w:cs="Times New Roman"/>
        </w:rPr>
        <w:t>在三个算例中的</w:t>
      </w:r>
      <w:r>
        <w:rPr>
          <w:rFonts w:ascii="Times New Roman" w:eastAsia="楷体" w:hAnsi="Times New Roman" w:cs="Times New Roman"/>
        </w:rPr>
        <w:t>HV</w:t>
      </w:r>
      <w:r>
        <w:rPr>
          <w:rFonts w:ascii="Times New Roman" w:eastAsia="楷体" w:hAnsi="Times New Roman" w:cs="Times New Roman"/>
        </w:rPr>
        <w:t>仍分别提高</w:t>
      </w:r>
      <w:r>
        <w:rPr>
          <w:rFonts w:ascii="Times New Roman" w:eastAsia="楷体" w:hAnsi="Times New Roman" w:cs="Times New Roman"/>
        </w:rPr>
        <w:t>102.91%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190.38%</w:t>
      </w:r>
      <w:r>
        <w:rPr>
          <w:rFonts w:ascii="Times New Roman" w:eastAsia="楷体" w:hAnsi="Times New Roman" w:cs="Times New Roman"/>
        </w:rPr>
        <w:t>和</w:t>
      </w:r>
      <w:r>
        <w:rPr>
          <w:rFonts w:ascii="Times New Roman" w:eastAsia="楷体" w:hAnsi="Times New Roman" w:cs="Times New Roman"/>
        </w:rPr>
        <w:t>369.65%</w:t>
      </w:r>
      <w:r>
        <w:rPr>
          <w:rFonts w:ascii="Times New Roman" w:eastAsia="楷体" w:hAnsi="Times New Roman" w:cs="Times New Roman"/>
        </w:rPr>
        <w:t>，</w:t>
      </w:r>
      <w:r>
        <w:rPr>
          <w:rFonts w:ascii="Times New Roman" w:eastAsia="楷体" w:hAnsi="Times New Roman" w:cs="Times New Roman"/>
        </w:rPr>
        <w:t>DG+</w:t>
      </w:r>
      <w:r>
        <w:rPr>
          <w:rFonts w:ascii="Times New Roman" w:eastAsia="楷体" w:hAnsi="Times New Roman" w:cs="Times New Roman"/>
        </w:rPr>
        <w:t>提高</w:t>
      </w:r>
      <w:r>
        <w:rPr>
          <w:rFonts w:ascii="Times New Roman" w:eastAsia="楷体" w:hAnsi="Times New Roman" w:cs="Times New Roman"/>
        </w:rPr>
        <w:t>92.53%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168.94%</w:t>
      </w:r>
      <w:r>
        <w:rPr>
          <w:rFonts w:ascii="Times New Roman" w:eastAsia="楷体" w:hAnsi="Times New Roman" w:cs="Times New Roman"/>
        </w:rPr>
        <w:t>和</w:t>
      </w:r>
      <w:r>
        <w:rPr>
          <w:rFonts w:ascii="Times New Roman" w:eastAsia="楷体" w:hAnsi="Times New Roman" w:cs="Times New Roman"/>
        </w:rPr>
        <w:t>281.34%</w:t>
      </w:r>
      <w:r>
        <w:rPr>
          <w:rFonts w:ascii="Times New Roman" w:eastAsia="楷体" w:hAnsi="Times New Roman" w:cs="Times New Roman"/>
        </w:rPr>
        <w:t>，全部为</w:t>
      </w:r>
      <w:r>
        <w:rPr>
          <w:rFonts w:ascii="Times New Roman" w:eastAsia="楷体" w:hAnsi="Times New Roman" w:cs="Times New Roman"/>
        </w:rPr>
        <w:t>10</w:t>
      </w:r>
      <w:r>
        <w:rPr>
          <w:rFonts w:ascii="Times New Roman" w:eastAsia="楷体" w:hAnsi="Times New Roman" w:cs="Times New Roman"/>
        </w:rPr>
        <w:t>次配对胜出。达到各自基线最终质量所需</w:t>
      </w:r>
      <w:r>
        <w:rPr>
          <w:rFonts w:ascii="Times New Roman" w:eastAsia="楷体" w:hAnsi="Times New Roman" w:cs="Times New Roman"/>
        </w:rPr>
        <w:t>CPU</w:t>
      </w:r>
      <w:r>
        <w:rPr>
          <w:rFonts w:ascii="Times New Roman" w:eastAsia="楷体" w:hAnsi="Times New Roman" w:cs="Times New Roman"/>
        </w:rPr>
        <w:t>时间占比的中位数，</w:t>
      </w:r>
      <w:r>
        <w:rPr>
          <w:rFonts w:ascii="Times New Roman" w:eastAsia="楷体" w:hAnsi="Times New Roman" w:cs="Times New Roman"/>
        </w:rPr>
        <w:t>LM+</w:t>
      </w:r>
      <w:r>
        <w:rPr>
          <w:rFonts w:ascii="Times New Roman" w:eastAsia="楷体" w:hAnsi="Times New Roman" w:cs="Times New Roman"/>
        </w:rPr>
        <w:t>约为</w:t>
      </w:r>
      <w:r>
        <w:rPr>
          <w:rFonts w:ascii="Times New Roman" w:eastAsia="楷体" w:hAnsi="Times New Roman" w:cs="Times New Roman"/>
        </w:rPr>
        <w:t>6.49%</w:t>
      </w:r>
      <w:r>
        <w:rPr>
          <w:rFonts w:ascii="Times New Roman" w:eastAsia="楷体" w:hAnsi="Times New Roman" w:cs="Times New Roman"/>
        </w:rPr>
        <w:t>至</w:t>
      </w:r>
      <w:r>
        <w:rPr>
          <w:rFonts w:ascii="Times New Roman" w:eastAsia="楷体" w:hAnsi="Times New Roman" w:cs="Times New Roman"/>
        </w:rPr>
        <w:t>6.99%</w:t>
      </w:r>
      <w:r>
        <w:rPr>
          <w:rFonts w:ascii="Times New Roman" w:eastAsia="楷体" w:hAnsi="Times New Roman" w:cs="Times New Roman"/>
        </w:rPr>
        <w:t>，</w:t>
      </w:r>
      <w:r>
        <w:rPr>
          <w:rFonts w:ascii="Times New Roman" w:eastAsia="楷体" w:hAnsi="Times New Roman" w:cs="Times New Roman"/>
        </w:rPr>
        <w:t>DG+</w:t>
      </w:r>
      <w:r>
        <w:rPr>
          <w:rFonts w:ascii="Times New Roman" w:eastAsia="楷体" w:hAnsi="Times New Roman" w:cs="Times New Roman"/>
        </w:rPr>
        <w:t>约为</w:t>
      </w:r>
      <w:r>
        <w:rPr>
          <w:rFonts w:ascii="Times New Roman" w:eastAsia="楷体" w:hAnsi="Times New Roman" w:cs="Times New Roman"/>
        </w:rPr>
        <w:t>4.37%</w:t>
      </w:r>
      <w:r>
        <w:rPr>
          <w:rFonts w:ascii="Times New Roman" w:eastAsia="楷体" w:hAnsi="Times New Roman" w:cs="Times New Roman"/>
        </w:rPr>
        <w:t>至</w:t>
      </w:r>
      <w:r>
        <w:rPr>
          <w:rFonts w:ascii="Times New Roman" w:eastAsia="楷体" w:hAnsi="Times New Roman" w:cs="Times New Roman"/>
        </w:rPr>
        <w:t>5.21%</w:t>
      </w:r>
      <w:r>
        <w:rPr>
          <w:rFonts w:ascii="Times New Roman" w:eastAsia="楷体" w:hAnsi="Times New Roman" w:cs="Times New Roman"/>
        </w:rPr>
        <w:t>。这些结果表明，新增开销换来了更早达到有用质量、以及更充分探索目标权衡的能力。</w:t>
      </w:r>
      <w:r>
        <w:rPr>
          <w:rFonts w:ascii="Times New Roman" w:eastAsia="楷体" w:hAnsi="Times New Roman" w:cs="Times New Roman"/>
        </w:rPr>
        <w:t>CC+</w:t>
      </w:r>
      <w:r>
        <w:rPr>
          <w:rFonts w:ascii="Times New Roman" w:eastAsia="楷体" w:hAnsi="Times New Roman" w:cs="Times New Roman"/>
        </w:rPr>
        <w:t>的达到次数分别为</w:t>
      </w:r>
      <w:r>
        <w:rPr>
          <w:rFonts w:ascii="Times New Roman" w:eastAsia="楷体" w:hAnsi="Times New Roman" w:cs="Times New Roman"/>
        </w:rPr>
        <w:t>9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8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6</w:t>
      </w:r>
      <w:r>
        <w:rPr>
          <w:rFonts w:ascii="Times New Roman" w:eastAsia="楷体" w:hAnsi="Times New Roman" w:cs="Times New Roman"/>
        </w:rPr>
        <w:t>次，对未达到的运行保持记录，不把成功子集当作全部表现。</w:t>
      </w:r>
    </w:p>
    <w:p w14:paraId="4B46C2A6" w14:textId="77777777" w:rsidR="008E439A" w:rsidRDefault="00000000">
      <w:pPr>
        <w:pStyle w:val="21"/>
        <w:ind w:left="228" w:right="237"/>
      </w:pPr>
      <w:r>
        <w:rPr>
          <w:rFonts w:cs="Times New Roman"/>
        </w:rPr>
        <w:t>Pareto</w:t>
      </w:r>
      <w:r>
        <w:rPr>
          <w:rFonts w:cs="Times New Roman"/>
        </w:rPr>
        <w:t>前沿与工程取舍</w:t>
      </w:r>
    </w:p>
    <w:p w14:paraId="74A6278E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以算例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为例，图</w:t>
      </w:r>
      <w:r>
        <w:rPr>
          <w:rFonts w:ascii="Times New Roman" w:eastAsia="楷体" w:hAnsi="Times New Roman" w:cs="Times New Roman"/>
        </w:rPr>
        <w:t>4</w:t>
      </w:r>
      <w:r>
        <w:rPr>
          <w:rFonts w:ascii="Times New Roman" w:eastAsia="楷体" w:hAnsi="Times New Roman" w:cs="Times New Roman"/>
        </w:rPr>
        <w:t>和图</w:t>
      </w:r>
      <w:r>
        <w:rPr>
          <w:rFonts w:ascii="Times New Roman" w:eastAsia="楷体" w:hAnsi="Times New Roman" w:cs="Times New Roman"/>
        </w:rPr>
        <w:t>5</w:t>
      </w:r>
      <w:r>
        <w:rPr>
          <w:rFonts w:ascii="Times New Roman" w:eastAsia="楷体" w:hAnsi="Times New Roman" w:cs="Times New Roman"/>
        </w:rPr>
        <w:t>汇总每种方法</w:t>
      </w:r>
      <w:r>
        <w:rPr>
          <w:rFonts w:ascii="Times New Roman" w:eastAsia="楷体" w:hAnsi="Times New Roman" w:cs="Times New Roman"/>
        </w:rPr>
        <w:t>10</w:t>
      </w:r>
      <w:r>
        <w:rPr>
          <w:rFonts w:ascii="Times New Roman" w:eastAsia="楷体" w:hAnsi="Times New Roman" w:cs="Times New Roman"/>
        </w:rPr>
        <w:t>次运行的非支配目标。基线解较集中于较大包络区域，而</w:t>
      </w:r>
      <w:r>
        <w:rPr>
          <w:rFonts w:ascii="Times New Roman" w:eastAsia="楷体" w:hAnsi="Times New Roman" w:cs="Times New Roman"/>
        </w:rPr>
        <w:t>LM+</w:t>
      </w:r>
      <w:r>
        <w:rPr>
          <w:rFonts w:ascii="Times New Roman" w:eastAsia="楷体" w:hAnsi="Times New Roman" w:cs="Times New Roman"/>
        </w:rPr>
        <w:t>与</w:t>
      </w:r>
      <w:r>
        <w:rPr>
          <w:rFonts w:ascii="Times New Roman" w:eastAsia="楷体" w:hAnsi="Times New Roman" w:cs="Times New Roman"/>
        </w:rPr>
        <w:t>DG+</w:t>
      </w:r>
      <w:r>
        <w:rPr>
          <w:rFonts w:ascii="Times New Roman" w:eastAsia="楷体" w:hAnsi="Times New Roman" w:cs="Times New Roman"/>
        </w:rPr>
        <w:t>把前沿扩展到明显更紧凑的布局，形成从发电优先到面积优先的一系列选择。能量</w:t>
      </w:r>
      <w:r>
        <w:rPr>
          <w:rFonts w:ascii="Times New Roman" w:eastAsia="楷体" w:hAnsi="Times New Roman" w:cs="Times New Roman"/>
        </w:rPr>
        <w:t>—</w:t>
      </w:r>
      <w:r>
        <w:rPr>
          <w:rFonts w:ascii="Times New Roman" w:eastAsia="楷体" w:hAnsi="Times New Roman" w:cs="Times New Roman"/>
        </w:rPr>
        <w:t>成本投影总体呈负相关，这是固定容量下年发电量进入</w:t>
      </w:r>
      <w:r>
        <w:rPr>
          <w:rFonts w:ascii="Times New Roman" w:eastAsia="楷体" w:hAnsi="Times New Roman" w:cs="Times New Roman"/>
        </w:rPr>
        <w:t>LCOE</w:t>
      </w:r>
      <w:r>
        <w:rPr>
          <w:rFonts w:ascii="Times New Roman" w:eastAsia="楷体" w:hAnsi="Times New Roman" w:cs="Times New Roman"/>
        </w:rPr>
        <w:t>分母的直接结果；同一能量附近仍有差异，来自连接长度及其投资变化。</w:t>
      </w:r>
    </w:p>
    <w:p w14:paraId="254856D8" w14:textId="77777777" w:rsidR="008E439A" w:rsidRDefault="00000000">
      <w:pPr>
        <w:keepNext/>
        <w:keepLines/>
        <w:widowControl/>
        <w:spacing w:before="60" w:after="0"/>
        <w:ind w:left="228" w:right="237" w:firstLine="0"/>
        <w:jc w:val="center"/>
      </w:pPr>
      <w:r>
        <w:rPr>
          <w:noProof/>
        </w:rPr>
        <w:lastRenderedPageBreak/>
        <w:drawing>
          <wp:inline distT="0" distB="0" distL="0" distR="0" wp14:anchorId="7D52E51C" wp14:editId="702C6B77">
            <wp:extent cx="5580000" cy="4732245"/>
            <wp:effectExtent l="0" t="0" r="0" b="0"/>
            <wp:docPr id="4" name="Picture 4" descr="图4 算例B的三维Pareto前沿 各方法合并10次运行后再次去除被支配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eto_3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5171" w14:textId="77777777" w:rsidR="008E439A" w:rsidRDefault="00000000">
      <w:pPr>
        <w:pStyle w:val="ReportCaption"/>
        <w:keepLines/>
        <w:spacing w:before="100" w:after="60"/>
        <w:ind w:left="228" w:right="237"/>
      </w:pPr>
      <w:r>
        <w:rPr>
          <w:rFonts w:cs="Times New Roman"/>
        </w:rPr>
        <w:t>图</w:t>
      </w:r>
      <w:r>
        <w:rPr>
          <w:rFonts w:cs="Times New Roman"/>
        </w:rPr>
        <w:t xml:space="preserve">4 </w:t>
      </w:r>
      <w:r>
        <w:rPr>
          <w:rFonts w:cs="Times New Roman"/>
        </w:rPr>
        <w:t>算例</w:t>
      </w:r>
      <w:r>
        <w:rPr>
          <w:rFonts w:cs="Times New Roman"/>
        </w:rPr>
        <w:t>B</w:t>
      </w:r>
      <w:r>
        <w:rPr>
          <w:rFonts w:cs="Times New Roman"/>
        </w:rPr>
        <w:t>的三维</w:t>
      </w:r>
      <w:r>
        <w:rPr>
          <w:rFonts w:cs="Times New Roman"/>
        </w:rPr>
        <w:t>Pareto</w:t>
      </w:r>
      <w:r>
        <w:rPr>
          <w:rFonts w:cs="Times New Roman"/>
        </w:rPr>
        <w:t>前沿</w:t>
      </w:r>
      <w:r>
        <w:rPr>
          <w:rFonts w:cs="Times New Roman"/>
        </w:rPr>
        <w:t xml:space="preserve"> </w:t>
      </w:r>
      <w:r>
        <w:rPr>
          <w:rFonts w:cs="Times New Roman"/>
        </w:rPr>
        <w:t>各方法合并</w:t>
      </w:r>
      <w:r>
        <w:rPr>
          <w:rFonts w:cs="Times New Roman"/>
        </w:rPr>
        <w:t>10</w:t>
      </w:r>
      <w:r>
        <w:rPr>
          <w:rFonts w:cs="Times New Roman"/>
        </w:rPr>
        <w:t>次运行后再次去除被支配点</w:t>
      </w:r>
    </w:p>
    <w:p w14:paraId="02994601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表</w:t>
      </w:r>
      <w:r>
        <w:rPr>
          <w:rFonts w:ascii="Times New Roman" w:eastAsia="楷体" w:hAnsi="Times New Roman" w:cs="Times New Roman"/>
        </w:rPr>
        <w:t>5</w:t>
      </w:r>
      <w:r>
        <w:rPr>
          <w:rFonts w:ascii="Times New Roman" w:eastAsia="楷体" w:hAnsi="Times New Roman" w:cs="Times New Roman"/>
        </w:rPr>
        <w:t>列出四个可直接解释的代表布局，均为实际保存的完整机位集合。算例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的发电优先布局达到</w:t>
      </w:r>
      <w:r>
        <w:rPr>
          <w:rFonts w:ascii="Times New Roman" w:eastAsia="楷体" w:hAnsi="Times New Roman" w:cs="Times New Roman"/>
        </w:rPr>
        <w:t>1522.53 GWh/</w:t>
      </w:r>
      <w:r>
        <w:rPr>
          <w:rFonts w:ascii="Times New Roman" w:eastAsia="楷体" w:hAnsi="Times New Roman" w:cs="Times New Roman"/>
        </w:rPr>
        <w:t>年，有效面积</w:t>
      </w:r>
      <w:r>
        <w:rPr>
          <w:rFonts w:ascii="Times New Roman" w:eastAsia="楷体" w:hAnsi="Times New Roman" w:cs="Times New Roman"/>
        </w:rPr>
        <w:t>93.84 km²</w:t>
      </w:r>
      <w:r>
        <w:rPr>
          <w:rFonts w:ascii="Times New Roman" w:eastAsia="楷体" w:hAnsi="Times New Roman" w:cs="Times New Roman"/>
        </w:rPr>
        <w:t>；紧凑优先布局把有效面积降至</w:t>
      </w:r>
      <w:r>
        <w:rPr>
          <w:rFonts w:ascii="Times New Roman" w:eastAsia="楷体" w:hAnsi="Times New Roman" w:cs="Times New Roman"/>
        </w:rPr>
        <w:t>70.18 km²</w:t>
      </w:r>
      <w:r>
        <w:rPr>
          <w:rFonts w:ascii="Times New Roman" w:eastAsia="楷体" w:hAnsi="Times New Roman" w:cs="Times New Roman"/>
        </w:rPr>
        <w:t>，年发电量为</w:t>
      </w:r>
      <w:r>
        <w:rPr>
          <w:rFonts w:ascii="Times New Roman" w:eastAsia="楷体" w:hAnsi="Times New Roman" w:cs="Times New Roman"/>
        </w:rPr>
        <w:t>1470.90 GWh</w:t>
      </w:r>
      <w:r>
        <w:rPr>
          <w:rFonts w:ascii="Times New Roman" w:eastAsia="楷体" w:hAnsi="Times New Roman" w:cs="Times New Roman"/>
        </w:rPr>
        <w:t>。两者相比，有效面积减少</w:t>
      </w:r>
      <w:r>
        <w:rPr>
          <w:rFonts w:ascii="Times New Roman" w:eastAsia="楷体" w:hAnsi="Times New Roman" w:cs="Times New Roman"/>
        </w:rPr>
        <w:t>25.21%</w:t>
      </w:r>
      <w:r>
        <w:rPr>
          <w:rFonts w:ascii="Times New Roman" w:eastAsia="楷体" w:hAnsi="Times New Roman" w:cs="Times New Roman"/>
        </w:rPr>
        <w:t>，发电量减少</w:t>
      </w:r>
      <w:r>
        <w:rPr>
          <w:rFonts w:ascii="Times New Roman" w:eastAsia="楷体" w:hAnsi="Times New Roman" w:cs="Times New Roman"/>
        </w:rPr>
        <w:t>3.39%</w:t>
      </w:r>
      <w:r>
        <w:rPr>
          <w:rFonts w:ascii="Times New Roman" w:eastAsia="楷体" w:hAnsi="Times New Roman" w:cs="Times New Roman"/>
        </w:rPr>
        <w:t>，</w:t>
      </w:r>
      <w:r>
        <w:rPr>
          <w:rFonts w:ascii="Times New Roman" w:eastAsia="楷体" w:hAnsi="Times New Roman" w:cs="Times New Roman"/>
        </w:rPr>
        <w:t>LCOE</w:t>
      </w:r>
      <w:r>
        <w:rPr>
          <w:rFonts w:ascii="Times New Roman" w:eastAsia="楷体" w:hAnsi="Times New Roman" w:cs="Times New Roman"/>
        </w:rPr>
        <w:t>增加约</w:t>
      </w:r>
      <w:r>
        <w:rPr>
          <w:rFonts w:ascii="Times New Roman" w:eastAsia="楷体" w:hAnsi="Times New Roman" w:cs="Times New Roman"/>
        </w:rPr>
        <w:t>3.20%</w:t>
      </w:r>
      <w:r>
        <w:rPr>
          <w:rFonts w:ascii="Times New Roman" w:eastAsia="楷体" w:hAnsi="Times New Roman" w:cs="Times New Roman"/>
        </w:rPr>
        <w:t>。因此，选择哪一个布局取决于用地约束和收益目标，而不是寻找一个在全部目标上同时达到各自极值的方案。</w:t>
      </w:r>
    </w:p>
    <w:p w14:paraId="4D1F41B2" w14:textId="77777777" w:rsidR="008E439A" w:rsidRDefault="00000000">
      <w:pPr>
        <w:pStyle w:val="ReportCaption"/>
        <w:keepNext/>
        <w:keepLines/>
        <w:spacing w:before="100" w:after="60"/>
        <w:ind w:left="228" w:right="237"/>
      </w:pPr>
      <w:r>
        <w:rPr>
          <w:rFonts w:cs="Times New Roman"/>
        </w:rPr>
        <w:t>表</w:t>
      </w:r>
      <w:r>
        <w:rPr>
          <w:rFonts w:cs="Times New Roman"/>
        </w:rPr>
        <w:t xml:space="preserve">5 </w:t>
      </w:r>
      <w:r>
        <w:rPr>
          <w:rFonts w:cs="Times New Roman"/>
        </w:rPr>
        <w:t>代表</w:t>
      </w:r>
      <w:r>
        <w:rPr>
          <w:rFonts w:cs="Times New Roman"/>
        </w:rPr>
        <w:t>Pareto</w:t>
      </w:r>
      <w:r>
        <w:rPr>
          <w:rFonts w:cs="Times New Roman"/>
        </w:rPr>
        <w:t>布局的物理指标</w:t>
      </w:r>
      <w:r>
        <w:rPr>
          <w:rFonts w:cs="Times New Roman"/>
        </w:rPr>
        <w:t xml:space="preserve"> </w:t>
      </w:r>
      <w:r>
        <w:rPr>
          <w:rFonts w:cs="Times New Roman"/>
        </w:rPr>
        <w:t>不同行对应不同实际布局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474"/>
        <w:gridCol w:w="794"/>
        <w:gridCol w:w="1644"/>
        <w:gridCol w:w="1531"/>
        <w:gridCol w:w="1417"/>
        <w:gridCol w:w="1361"/>
      </w:tblGrid>
      <w:tr w:rsidR="008E439A" w14:paraId="28D7E5E0" w14:textId="77777777">
        <w:trPr>
          <w:cantSplit/>
          <w:tblHeader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281F62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b/>
                <w:sz w:val="21"/>
              </w:rPr>
              <w:t>算例</w:t>
            </w:r>
          </w:p>
        </w:tc>
        <w:tc>
          <w:tcPr>
            <w:tcW w:w="147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48DBA6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b/>
                <w:sz w:val="21"/>
              </w:rPr>
              <w:t>布局选择</w:t>
            </w:r>
          </w:p>
        </w:tc>
        <w:tc>
          <w:tcPr>
            <w:tcW w:w="79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1F6279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b/>
                <w:sz w:val="21"/>
              </w:rPr>
              <w:t>方法</w:t>
            </w:r>
          </w:p>
        </w:tc>
        <w:tc>
          <w:tcPr>
            <w:tcW w:w="16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11767A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b/>
                <w:sz w:val="21"/>
              </w:rPr>
              <w:t>AEP</w:t>
            </w:r>
            <w:r>
              <w:rPr>
                <w:rFonts w:ascii="Times New Roman" w:eastAsia="楷体" w:hAnsi="Times New Roman" w:cs="Times New Roman"/>
                <w:b/>
                <w:sz w:val="21"/>
              </w:rPr>
              <w:br/>
              <w:t>GWh/</w:t>
            </w:r>
            <w:r>
              <w:rPr>
                <w:rFonts w:ascii="Times New Roman" w:eastAsia="楷体" w:hAnsi="Times New Roman" w:cs="Times New Roman"/>
                <w:b/>
                <w:sz w:val="21"/>
              </w:rPr>
              <w:t>年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FAFAD6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b/>
                <w:sz w:val="21"/>
              </w:rPr>
              <w:t>LCOE</w:t>
            </w:r>
            <w:r>
              <w:rPr>
                <w:rFonts w:ascii="Times New Roman" w:eastAsia="楷体" w:hAnsi="Times New Roman" w:cs="Times New Roman"/>
                <w:b/>
                <w:sz w:val="21"/>
              </w:rPr>
              <w:br/>
            </w:r>
            <w:r>
              <w:rPr>
                <w:rFonts w:ascii="Times New Roman" w:eastAsia="楷体" w:hAnsi="Times New Roman" w:cs="Times New Roman"/>
                <w:b/>
                <w:sz w:val="21"/>
              </w:rPr>
              <w:t>美元</w:t>
            </w:r>
            <w:r>
              <w:rPr>
                <w:rFonts w:ascii="Times New Roman" w:eastAsia="楷体" w:hAnsi="Times New Roman" w:cs="Times New Roman"/>
                <w:b/>
                <w:sz w:val="21"/>
              </w:rPr>
              <w:t>/MWh</w:t>
            </w:r>
          </w:p>
        </w:tc>
        <w:tc>
          <w:tcPr>
            <w:tcW w:w="14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75DFC0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b/>
                <w:sz w:val="21"/>
              </w:rPr>
              <w:t>有效面积</w:t>
            </w:r>
            <w:r>
              <w:rPr>
                <w:rFonts w:ascii="Times New Roman" w:eastAsia="楷体" w:hAnsi="Times New Roman" w:cs="Times New Roman"/>
                <w:b/>
                <w:sz w:val="21"/>
              </w:rPr>
              <w:br/>
              <w:t>km²</w:t>
            </w:r>
          </w:p>
        </w:tc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1593E6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b/>
                <w:sz w:val="21"/>
              </w:rPr>
              <w:t>总包络</w:t>
            </w:r>
            <w:r>
              <w:rPr>
                <w:rFonts w:ascii="Times New Roman" w:eastAsia="楷体" w:hAnsi="Times New Roman" w:cs="Times New Roman"/>
                <w:b/>
                <w:sz w:val="21"/>
              </w:rPr>
              <w:br/>
              <w:t>km²</w:t>
            </w:r>
          </w:p>
        </w:tc>
      </w:tr>
      <w:tr w:rsidR="008E439A" w14:paraId="6298B2E2" w14:textId="77777777">
        <w:trPr>
          <w:cantSplit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9A9E02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B</w:t>
            </w:r>
          </w:p>
        </w:tc>
        <w:tc>
          <w:tcPr>
            <w:tcW w:w="147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CB88D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发电优先</w:t>
            </w:r>
          </w:p>
        </w:tc>
        <w:tc>
          <w:tcPr>
            <w:tcW w:w="79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30BC96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DG+</w:t>
            </w:r>
          </w:p>
        </w:tc>
        <w:tc>
          <w:tcPr>
            <w:tcW w:w="16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BF8548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1522.53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68FD3D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62.545</w:t>
            </w:r>
          </w:p>
        </w:tc>
        <w:tc>
          <w:tcPr>
            <w:tcW w:w="14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C7DE16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93.84</w:t>
            </w:r>
          </w:p>
        </w:tc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9FAC10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96.36</w:t>
            </w:r>
          </w:p>
        </w:tc>
      </w:tr>
      <w:tr w:rsidR="008E439A" w14:paraId="104E1400" w14:textId="77777777">
        <w:trPr>
          <w:cantSplit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137679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B</w:t>
            </w:r>
          </w:p>
        </w:tc>
        <w:tc>
          <w:tcPr>
            <w:tcW w:w="147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B4C8C9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紧凑优先</w:t>
            </w:r>
          </w:p>
        </w:tc>
        <w:tc>
          <w:tcPr>
            <w:tcW w:w="79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87B624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LM+</w:t>
            </w:r>
          </w:p>
        </w:tc>
        <w:tc>
          <w:tcPr>
            <w:tcW w:w="16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6344DD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1470.90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5BE8F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64.544</w:t>
            </w:r>
          </w:p>
        </w:tc>
        <w:tc>
          <w:tcPr>
            <w:tcW w:w="14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7C398F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70.18</w:t>
            </w:r>
          </w:p>
        </w:tc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B8F2F9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72.68</w:t>
            </w:r>
          </w:p>
        </w:tc>
      </w:tr>
      <w:tr w:rsidR="008E439A" w14:paraId="713E1107" w14:textId="77777777">
        <w:trPr>
          <w:cantSplit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61F9CD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C</w:t>
            </w:r>
          </w:p>
        </w:tc>
        <w:tc>
          <w:tcPr>
            <w:tcW w:w="147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8F0FC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发电优先</w:t>
            </w:r>
          </w:p>
        </w:tc>
        <w:tc>
          <w:tcPr>
            <w:tcW w:w="79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01C046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DG+</w:t>
            </w:r>
          </w:p>
        </w:tc>
        <w:tc>
          <w:tcPr>
            <w:tcW w:w="16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3A1746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2746.41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B83BD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34.651</w:t>
            </w:r>
          </w:p>
        </w:tc>
        <w:tc>
          <w:tcPr>
            <w:tcW w:w="14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19C30C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90.67</w:t>
            </w:r>
          </w:p>
        </w:tc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5C97F2" w14:textId="77777777" w:rsidR="008E439A" w:rsidRDefault="00000000">
            <w:pPr>
              <w:keepNext/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96.58</w:t>
            </w:r>
          </w:p>
        </w:tc>
      </w:tr>
      <w:tr w:rsidR="008E439A" w14:paraId="34BE6BA7" w14:textId="77777777">
        <w:trPr>
          <w:cantSplit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202BF5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C</w:t>
            </w:r>
          </w:p>
        </w:tc>
        <w:tc>
          <w:tcPr>
            <w:tcW w:w="147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33DED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紧凑优先</w:t>
            </w:r>
          </w:p>
        </w:tc>
        <w:tc>
          <w:tcPr>
            <w:tcW w:w="79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ABAAE7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LM+</w:t>
            </w:r>
          </w:p>
        </w:tc>
        <w:tc>
          <w:tcPr>
            <w:tcW w:w="16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C838DB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2705.80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3A1AB3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35.092</w:t>
            </w:r>
          </w:p>
        </w:tc>
        <w:tc>
          <w:tcPr>
            <w:tcW w:w="14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1F2982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68.16</w:t>
            </w:r>
          </w:p>
        </w:tc>
        <w:tc>
          <w:tcPr>
            <w:tcW w:w="13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8829F4" w14:textId="77777777" w:rsidR="008E439A" w:rsidRDefault="00000000">
            <w:pPr>
              <w:snapToGrid w:val="0"/>
              <w:spacing w:after="0" w:line="240" w:lineRule="auto"/>
              <w:ind w:firstLine="0"/>
              <w:jc w:val="center"/>
            </w:pPr>
            <w:r>
              <w:rPr>
                <w:rFonts w:ascii="Times New Roman" w:eastAsia="楷体" w:hAnsi="Times New Roman" w:cs="Times New Roman"/>
                <w:sz w:val="21"/>
              </w:rPr>
              <w:t>74.07</w:t>
            </w:r>
          </w:p>
        </w:tc>
      </w:tr>
    </w:tbl>
    <w:p w14:paraId="0834C2BC" w14:textId="77777777" w:rsidR="008E439A" w:rsidRDefault="00000000">
      <w:pPr>
        <w:pStyle w:val="ReportNote"/>
        <w:spacing w:after="60" w:line="20" w:lineRule="exact"/>
        <w:ind w:left="228" w:right="237"/>
      </w:pPr>
      <w:r>
        <w:rPr>
          <w:rFonts w:cs="Times New Roman"/>
          <w:sz w:val="2"/>
        </w:rPr>
        <w:t xml:space="preserve"> </w:t>
      </w:r>
    </w:p>
    <w:p w14:paraId="6B1F4A56" w14:textId="77777777" w:rsidR="008E439A" w:rsidRDefault="00000000">
      <w:pPr>
        <w:keepNext/>
        <w:keepLines/>
        <w:widowControl/>
        <w:spacing w:before="60" w:after="0"/>
        <w:ind w:left="228" w:right="237" w:firstLine="0"/>
        <w:jc w:val="center"/>
      </w:pPr>
      <w:r>
        <w:rPr>
          <w:noProof/>
        </w:rPr>
        <w:lastRenderedPageBreak/>
        <w:drawing>
          <wp:inline distT="0" distB="0" distL="0" distR="0" wp14:anchorId="73239DA7" wp14:editId="3863FF63">
            <wp:extent cx="5112000" cy="3465705"/>
            <wp:effectExtent l="0" t="0" r="0" b="0"/>
            <wp:docPr id="5" name="Picture 5" descr="图5 算例B的能量成本与能量面积投影 圆点为改进版 三角为基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eto_projec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AD3F" w14:textId="77777777" w:rsidR="008E439A" w:rsidRDefault="00000000">
      <w:pPr>
        <w:pStyle w:val="ReportCaption"/>
        <w:keepLines/>
        <w:spacing w:before="100" w:after="60"/>
        <w:ind w:left="228" w:right="237"/>
      </w:pPr>
      <w:r>
        <w:rPr>
          <w:rFonts w:cs="Times New Roman"/>
        </w:rPr>
        <w:t>图</w:t>
      </w:r>
      <w:r>
        <w:rPr>
          <w:rFonts w:cs="Times New Roman"/>
        </w:rPr>
        <w:t xml:space="preserve">5 </w:t>
      </w:r>
      <w:r>
        <w:rPr>
          <w:rFonts w:cs="Times New Roman"/>
        </w:rPr>
        <w:t>算例</w:t>
      </w:r>
      <w:r>
        <w:rPr>
          <w:rFonts w:cs="Times New Roman"/>
        </w:rPr>
        <w:t>B</w:t>
      </w:r>
      <w:r>
        <w:rPr>
          <w:rFonts w:cs="Times New Roman"/>
        </w:rPr>
        <w:t>的能量成本与能量面积投影</w:t>
      </w:r>
      <w:r>
        <w:rPr>
          <w:rFonts w:cs="Times New Roman"/>
        </w:rPr>
        <w:t xml:space="preserve"> </w:t>
      </w:r>
      <w:r>
        <w:rPr>
          <w:rFonts w:cs="Times New Roman"/>
        </w:rPr>
        <w:t>圆点为改进版</w:t>
      </w:r>
      <w:r>
        <w:rPr>
          <w:rFonts w:cs="Times New Roman"/>
        </w:rPr>
        <w:t xml:space="preserve"> </w:t>
      </w:r>
      <w:r>
        <w:rPr>
          <w:rFonts w:cs="Times New Roman"/>
        </w:rPr>
        <w:t>三角为基线</w:t>
      </w:r>
    </w:p>
    <w:p w14:paraId="32CA01DC" w14:textId="77777777" w:rsidR="008E439A" w:rsidRDefault="00000000">
      <w:pPr>
        <w:keepNext/>
        <w:keepLines/>
        <w:widowControl/>
        <w:spacing w:before="60" w:after="0"/>
        <w:ind w:left="228" w:right="237" w:firstLine="0"/>
        <w:jc w:val="center"/>
      </w:pPr>
      <w:r>
        <w:rPr>
          <w:noProof/>
        </w:rPr>
        <w:drawing>
          <wp:inline distT="0" distB="0" distL="0" distR="0" wp14:anchorId="6F494C35" wp14:editId="69FD85E3">
            <wp:extent cx="5184000" cy="4756302"/>
            <wp:effectExtent l="0" t="0" r="0" b="0"/>
            <wp:docPr id="6" name="Picture 6" descr="图6 算例B的发电优先与紧凑优先布局 外轮廓为机位凸包 红色块为禁布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youts_flat_16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75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22B3" w14:textId="77777777" w:rsidR="008E439A" w:rsidRDefault="00000000">
      <w:pPr>
        <w:pStyle w:val="ReportCaption"/>
        <w:keepLines/>
        <w:spacing w:before="100" w:after="60"/>
        <w:ind w:left="228" w:right="237"/>
      </w:pPr>
      <w:r>
        <w:rPr>
          <w:rFonts w:cs="Times New Roman"/>
        </w:rPr>
        <w:t>图</w:t>
      </w:r>
      <w:r>
        <w:rPr>
          <w:rFonts w:cs="Times New Roman"/>
        </w:rPr>
        <w:t xml:space="preserve">6 </w:t>
      </w:r>
      <w:r>
        <w:rPr>
          <w:rFonts w:cs="Times New Roman"/>
        </w:rPr>
        <w:t>算例</w:t>
      </w:r>
      <w:r>
        <w:rPr>
          <w:rFonts w:cs="Times New Roman"/>
        </w:rPr>
        <w:t>B</w:t>
      </w:r>
      <w:r>
        <w:rPr>
          <w:rFonts w:cs="Times New Roman"/>
        </w:rPr>
        <w:t>的发电优先与紧凑优先布局</w:t>
      </w:r>
      <w:r>
        <w:rPr>
          <w:rFonts w:cs="Times New Roman"/>
        </w:rPr>
        <w:t xml:space="preserve"> </w:t>
      </w:r>
      <w:r>
        <w:rPr>
          <w:rFonts w:cs="Times New Roman"/>
        </w:rPr>
        <w:t>外轮廓为机位凸包</w:t>
      </w:r>
      <w:r>
        <w:rPr>
          <w:rFonts w:cs="Times New Roman"/>
        </w:rPr>
        <w:t xml:space="preserve"> </w:t>
      </w:r>
      <w:r>
        <w:rPr>
          <w:rFonts w:cs="Times New Roman"/>
        </w:rPr>
        <w:t>红色块为禁布区</w:t>
      </w:r>
    </w:p>
    <w:p w14:paraId="085DF556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lastRenderedPageBreak/>
        <w:t>算例</w:t>
      </w:r>
      <w:r>
        <w:rPr>
          <w:rFonts w:ascii="Times New Roman" w:eastAsia="楷体" w:hAnsi="Times New Roman" w:cs="Times New Roman"/>
        </w:rPr>
        <w:t>C</w:t>
      </w:r>
      <w:r>
        <w:rPr>
          <w:rFonts w:ascii="Times New Roman" w:eastAsia="楷体" w:hAnsi="Times New Roman" w:cs="Times New Roman"/>
        </w:rPr>
        <w:t>也形成了清楚的空间取舍。图</w:t>
      </w:r>
      <w:r>
        <w:rPr>
          <w:rFonts w:ascii="Times New Roman" w:eastAsia="楷体" w:hAnsi="Times New Roman" w:cs="Times New Roman"/>
        </w:rPr>
        <w:t>7</w:t>
      </w:r>
      <w:r>
        <w:rPr>
          <w:rFonts w:ascii="Times New Roman" w:eastAsia="楷体" w:hAnsi="Times New Roman" w:cs="Times New Roman"/>
        </w:rPr>
        <w:t>中的紧凑优先布局将有效面积由</w:t>
      </w:r>
      <w:r>
        <w:rPr>
          <w:rFonts w:ascii="Times New Roman" w:eastAsia="楷体" w:hAnsi="Times New Roman" w:cs="Times New Roman"/>
        </w:rPr>
        <w:t>90.67 km²</w:t>
      </w:r>
      <w:r>
        <w:rPr>
          <w:rFonts w:ascii="Times New Roman" w:eastAsia="楷体" w:hAnsi="Times New Roman" w:cs="Times New Roman"/>
        </w:rPr>
        <w:t>降至</w:t>
      </w:r>
      <w:r>
        <w:rPr>
          <w:rFonts w:ascii="Times New Roman" w:eastAsia="楷体" w:hAnsi="Times New Roman" w:cs="Times New Roman"/>
        </w:rPr>
        <w:t>68.16 km²</w:t>
      </w:r>
      <w:r>
        <w:rPr>
          <w:rFonts w:ascii="Times New Roman" w:eastAsia="楷体" w:hAnsi="Times New Roman" w:cs="Times New Roman"/>
        </w:rPr>
        <w:t>，年发电量由</w:t>
      </w:r>
      <w:r>
        <w:rPr>
          <w:rFonts w:ascii="Times New Roman" w:eastAsia="楷体" w:hAnsi="Times New Roman" w:cs="Times New Roman"/>
        </w:rPr>
        <w:t>2746.41 GWh</w:t>
      </w:r>
      <w:r>
        <w:rPr>
          <w:rFonts w:ascii="Times New Roman" w:eastAsia="楷体" w:hAnsi="Times New Roman" w:cs="Times New Roman"/>
        </w:rPr>
        <w:t>降至</w:t>
      </w:r>
      <w:r>
        <w:rPr>
          <w:rFonts w:ascii="Times New Roman" w:eastAsia="楷体" w:hAnsi="Times New Roman" w:cs="Times New Roman"/>
        </w:rPr>
        <w:t>2705.80 GWh</w:t>
      </w:r>
      <w:r>
        <w:rPr>
          <w:rFonts w:ascii="Times New Roman" w:eastAsia="楷体" w:hAnsi="Times New Roman" w:cs="Times New Roman"/>
        </w:rPr>
        <w:t>，减少约</w:t>
      </w:r>
      <w:r>
        <w:rPr>
          <w:rFonts w:ascii="Times New Roman" w:eastAsia="楷体" w:hAnsi="Times New Roman" w:cs="Times New Roman"/>
        </w:rPr>
        <w:t>1.48%</w:t>
      </w:r>
      <w:r>
        <w:rPr>
          <w:rFonts w:ascii="Times New Roman" w:eastAsia="楷体" w:hAnsi="Times New Roman" w:cs="Times New Roman"/>
        </w:rPr>
        <w:t>。总包络面积也由</w:t>
      </w:r>
      <w:r>
        <w:rPr>
          <w:rFonts w:ascii="Times New Roman" w:eastAsia="楷体" w:hAnsi="Times New Roman" w:cs="Times New Roman"/>
        </w:rPr>
        <w:t>96.58 km²</w:t>
      </w:r>
      <w:r>
        <w:rPr>
          <w:rFonts w:ascii="Times New Roman" w:eastAsia="楷体" w:hAnsi="Times New Roman" w:cs="Times New Roman"/>
        </w:rPr>
        <w:t>降至</w:t>
      </w:r>
      <w:r>
        <w:rPr>
          <w:rFonts w:ascii="Times New Roman" w:eastAsia="楷体" w:hAnsi="Times New Roman" w:cs="Times New Roman"/>
        </w:rPr>
        <w:t>74.07 km²</w:t>
      </w:r>
      <w:r>
        <w:rPr>
          <w:rFonts w:ascii="Times New Roman" w:eastAsia="楷体" w:hAnsi="Times New Roman" w:cs="Times New Roman"/>
        </w:rPr>
        <w:t>，说明面积收益来自机位集合的真实收缩。</w:t>
      </w:r>
      <w:r>
        <w:rPr>
          <w:rFonts w:ascii="Times New Roman" w:eastAsia="楷体" w:hAnsi="Times New Roman" w:cs="Times New Roman"/>
        </w:rPr>
        <w:t>C</w:t>
      </w:r>
      <w:r>
        <w:rPr>
          <w:rFonts w:ascii="Times New Roman" w:eastAsia="楷体" w:hAnsi="Times New Roman" w:cs="Times New Roman"/>
        </w:rPr>
        <w:t>的发电水平整体高于</w:t>
      </w: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，主要背景是采用了不同风况；这里比较的是</w:t>
      </w:r>
      <w:r>
        <w:rPr>
          <w:rFonts w:ascii="Times New Roman" w:eastAsia="楷体" w:hAnsi="Times New Roman" w:cs="Times New Roman"/>
        </w:rPr>
        <w:t>C</w:t>
      </w:r>
      <w:r>
        <w:rPr>
          <w:rFonts w:ascii="Times New Roman" w:eastAsia="楷体" w:hAnsi="Times New Roman" w:cs="Times New Roman"/>
        </w:rPr>
        <w:t>内部不同布局，不能把跨算例发电差异归因于山脊地形。</w:t>
      </w:r>
    </w:p>
    <w:p w14:paraId="1799A296" w14:textId="77777777" w:rsidR="008E439A" w:rsidRDefault="00000000">
      <w:pPr>
        <w:keepNext/>
        <w:keepLines/>
        <w:widowControl/>
        <w:spacing w:before="60" w:after="0"/>
        <w:ind w:left="228" w:right="237" w:firstLine="0"/>
        <w:jc w:val="center"/>
      </w:pPr>
      <w:r>
        <w:rPr>
          <w:noProof/>
        </w:rPr>
        <w:drawing>
          <wp:inline distT="0" distB="0" distL="0" distR="0" wp14:anchorId="3E064063" wp14:editId="10E0F786">
            <wp:extent cx="5184000" cy="4756302"/>
            <wp:effectExtent l="0" t="0" r="0" b="0"/>
            <wp:docPr id="7" name="Picture 7" descr="图7 算例C的发电优先与紧凑优先布局 地形底图叠加原始禁布区和超坡度区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youts_ridge_16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75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0CC3" w14:textId="77777777" w:rsidR="008E439A" w:rsidRDefault="00000000">
      <w:pPr>
        <w:pStyle w:val="ReportCaption"/>
        <w:keepLines/>
        <w:spacing w:before="100" w:after="60"/>
        <w:ind w:left="228" w:right="237"/>
      </w:pPr>
      <w:r>
        <w:rPr>
          <w:rFonts w:cs="Times New Roman"/>
        </w:rPr>
        <w:t>图</w:t>
      </w:r>
      <w:r>
        <w:rPr>
          <w:rFonts w:cs="Times New Roman"/>
        </w:rPr>
        <w:t xml:space="preserve">7 </w:t>
      </w:r>
      <w:r>
        <w:rPr>
          <w:rFonts w:cs="Times New Roman"/>
        </w:rPr>
        <w:t>算例</w:t>
      </w:r>
      <w:r>
        <w:rPr>
          <w:rFonts w:cs="Times New Roman"/>
        </w:rPr>
        <w:t>C</w:t>
      </w:r>
      <w:r>
        <w:rPr>
          <w:rFonts w:cs="Times New Roman"/>
        </w:rPr>
        <w:t>的发电优先与紧凑优先布局</w:t>
      </w:r>
      <w:r>
        <w:rPr>
          <w:rFonts w:cs="Times New Roman"/>
        </w:rPr>
        <w:t xml:space="preserve"> </w:t>
      </w:r>
      <w:r>
        <w:rPr>
          <w:rFonts w:cs="Times New Roman"/>
        </w:rPr>
        <w:t>地形底图叠加原始禁布区和超坡度区域</w:t>
      </w:r>
    </w:p>
    <w:p w14:paraId="02997E7E" w14:textId="77777777" w:rsidR="008E439A" w:rsidRDefault="00000000">
      <w:pPr>
        <w:pStyle w:val="21"/>
        <w:ind w:left="228" w:right="237"/>
      </w:pPr>
      <w:r>
        <w:rPr>
          <w:rFonts w:cs="Times New Roman"/>
        </w:rPr>
        <w:t>可行性</w:t>
      </w:r>
      <w:r>
        <w:rPr>
          <w:rFonts w:cs="Times New Roman"/>
        </w:rPr>
        <w:t xml:space="preserve"> </w:t>
      </w:r>
      <w:r>
        <w:rPr>
          <w:rFonts w:cs="Times New Roman"/>
        </w:rPr>
        <w:t>重复布局与搜索机制</w:t>
      </w:r>
    </w:p>
    <w:p w14:paraId="55965FBE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六种方法在三个算例中均达到</w:t>
      </w:r>
      <w:r>
        <w:rPr>
          <w:rFonts w:ascii="Times New Roman" w:eastAsia="楷体" w:hAnsi="Times New Roman" w:cs="Times New Roman"/>
        </w:rPr>
        <w:t>100%</w:t>
      </w:r>
      <w:r>
        <w:rPr>
          <w:rFonts w:ascii="Times New Roman" w:eastAsia="楷体" w:hAnsi="Times New Roman" w:cs="Times New Roman"/>
        </w:rPr>
        <w:t>的输出可行率，说明基线修复与改进约束处理都能完成本组容量配置。算法差异主要发生在可行域内部。图</w:t>
      </w:r>
      <w:r>
        <w:rPr>
          <w:rFonts w:ascii="Times New Roman" w:eastAsia="楷体" w:hAnsi="Times New Roman" w:cs="Times New Roman"/>
        </w:rPr>
        <w:t>8</w:t>
      </w:r>
      <w:r>
        <w:rPr>
          <w:rFonts w:ascii="Times New Roman" w:eastAsia="楷体" w:hAnsi="Times New Roman" w:cs="Times New Roman"/>
        </w:rPr>
        <w:t>显示，</w:t>
      </w:r>
      <w:r>
        <w:rPr>
          <w:rFonts w:ascii="Times New Roman" w:eastAsia="楷体" w:hAnsi="Times New Roman" w:cs="Times New Roman"/>
        </w:rPr>
        <w:t>LM+</w:t>
      </w:r>
      <w:r>
        <w:rPr>
          <w:rFonts w:ascii="Times New Roman" w:eastAsia="楷体" w:hAnsi="Times New Roman" w:cs="Times New Roman"/>
        </w:rPr>
        <w:t>把</w:t>
      </w: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C</w:t>
      </w:r>
      <w:r>
        <w:rPr>
          <w:rFonts w:ascii="Times New Roman" w:eastAsia="楷体" w:hAnsi="Times New Roman" w:cs="Times New Roman"/>
        </w:rPr>
        <w:t>的重复率分别由</w:t>
      </w:r>
      <w:r>
        <w:rPr>
          <w:rFonts w:ascii="Times New Roman" w:eastAsia="楷体" w:hAnsi="Times New Roman" w:cs="Times New Roman"/>
        </w:rPr>
        <w:t>81.47%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78.08%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82.04%</w:t>
      </w:r>
      <w:r>
        <w:rPr>
          <w:rFonts w:ascii="Times New Roman" w:eastAsia="楷体" w:hAnsi="Times New Roman" w:cs="Times New Roman"/>
        </w:rPr>
        <w:t>降至</w:t>
      </w:r>
      <w:r>
        <w:rPr>
          <w:rFonts w:ascii="Times New Roman" w:eastAsia="楷体" w:hAnsi="Times New Roman" w:cs="Times New Roman"/>
        </w:rPr>
        <w:t>51.57%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47.06%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47.91%</w:t>
      </w:r>
      <w:r>
        <w:rPr>
          <w:rFonts w:ascii="Times New Roman" w:eastAsia="楷体" w:hAnsi="Times New Roman" w:cs="Times New Roman"/>
        </w:rPr>
        <w:t>；对应的新可行布局数量分别从</w:t>
      </w:r>
      <w:r>
        <w:rPr>
          <w:rFonts w:ascii="Times New Roman" w:eastAsia="楷体" w:hAnsi="Times New Roman" w:cs="Times New Roman"/>
        </w:rPr>
        <w:t>1853</w:t>
      </w:r>
      <w:r>
        <w:rPr>
          <w:rFonts w:ascii="Times New Roman" w:eastAsia="楷体" w:hAnsi="Times New Roman" w:cs="Times New Roman"/>
        </w:rPr>
        <w:t>增至</w:t>
      </w:r>
      <w:r>
        <w:rPr>
          <w:rFonts w:ascii="Times New Roman" w:eastAsia="楷体" w:hAnsi="Times New Roman" w:cs="Times New Roman"/>
        </w:rPr>
        <w:t>4843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2192</w:t>
      </w:r>
      <w:r>
        <w:rPr>
          <w:rFonts w:ascii="Times New Roman" w:eastAsia="楷体" w:hAnsi="Times New Roman" w:cs="Times New Roman"/>
        </w:rPr>
        <w:t>增至</w:t>
      </w:r>
      <w:r>
        <w:rPr>
          <w:rFonts w:ascii="Times New Roman" w:eastAsia="楷体" w:hAnsi="Times New Roman" w:cs="Times New Roman"/>
        </w:rPr>
        <w:t>5294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1796</w:t>
      </w:r>
      <w:r>
        <w:rPr>
          <w:rFonts w:ascii="Times New Roman" w:eastAsia="楷体" w:hAnsi="Times New Roman" w:cs="Times New Roman"/>
        </w:rPr>
        <w:t>增至</w:t>
      </w:r>
      <w:r>
        <w:rPr>
          <w:rFonts w:ascii="Times New Roman" w:eastAsia="楷体" w:hAnsi="Times New Roman" w:cs="Times New Roman"/>
        </w:rPr>
        <w:t>5209</w:t>
      </w:r>
      <w:r>
        <w:rPr>
          <w:rFonts w:ascii="Times New Roman" w:eastAsia="楷体" w:hAnsi="Times New Roman" w:cs="Times New Roman"/>
        </w:rPr>
        <w:t>。相同请求预算中，更大比例被用于评价新的物理布局。</w:t>
      </w:r>
    </w:p>
    <w:p w14:paraId="04E3F02B" w14:textId="77777777" w:rsidR="008E439A" w:rsidRDefault="00000000">
      <w:pPr>
        <w:keepNext/>
        <w:keepLines/>
        <w:widowControl/>
        <w:spacing w:before="60" w:after="0"/>
        <w:ind w:left="228" w:right="237" w:firstLine="0"/>
        <w:jc w:val="center"/>
      </w:pPr>
      <w:r>
        <w:rPr>
          <w:noProof/>
        </w:rPr>
        <w:lastRenderedPageBreak/>
        <w:drawing>
          <wp:inline distT="0" distB="0" distL="0" distR="0" wp14:anchorId="21849630" wp14:editId="7682865A">
            <wp:extent cx="5616000" cy="4294588"/>
            <wp:effectExtent l="0" t="0" r="0" b="0"/>
            <wp:docPr id="8" name="Picture 8" descr="图8 可行率与重复评价请求比例 三个算例均使用相同的10000次请求预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sibility_duplica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29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5A91" w14:textId="77777777" w:rsidR="008E439A" w:rsidRDefault="00000000">
      <w:pPr>
        <w:pStyle w:val="ReportCaption"/>
        <w:keepLines/>
        <w:spacing w:before="100" w:after="60"/>
        <w:ind w:left="228" w:right="237"/>
      </w:pPr>
      <w:r>
        <w:rPr>
          <w:rFonts w:cs="Times New Roman"/>
        </w:rPr>
        <w:t>图</w:t>
      </w:r>
      <w:r>
        <w:rPr>
          <w:rFonts w:cs="Times New Roman"/>
        </w:rPr>
        <w:t xml:space="preserve">8 </w:t>
      </w:r>
      <w:r>
        <w:rPr>
          <w:rFonts w:cs="Times New Roman"/>
        </w:rPr>
        <w:t>可行率与重复评价请求比例</w:t>
      </w:r>
      <w:r>
        <w:rPr>
          <w:rFonts w:cs="Times New Roman"/>
        </w:rPr>
        <w:t xml:space="preserve"> </w:t>
      </w:r>
      <w:r>
        <w:rPr>
          <w:rFonts w:cs="Times New Roman"/>
        </w:rPr>
        <w:t>三个算例均使用相同的</w:t>
      </w:r>
      <w:r>
        <w:rPr>
          <w:rFonts w:cs="Times New Roman"/>
        </w:rPr>
        <w:t>10000</w:t>
      </w:r>
      <w:r>
        <w:rPr>
          <w:rFonts w:cs="Times New Roman"/>
        </w:rPr>
        <w:t>次请求预算</w:t>
      </w:r>
    </w:p>
    <w:p w14:paraId="787C484F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这一变化与实际种群轨迹相符。</w:t>
      </w:r>
      <w:r>
        <w:rPr>
          <w:rFonts w:ascii="Times New Roman" w:eastAsia="楷体" w:hAnsi="Times New Roman" w:cs="Times New Roman"/>
        </w:rPr>
        <w:t>LM</w:t>
      </w:r>
      <w:r>
        <w:rPr>
          <w:rFonts w:ascii="Times New Roman" w:eastAsia="楷体" w:hAnsi="Times New Roman" w:cs="Times New Roman"/>
        </w:rPr>
        <w:t>基线在</w:t>
      </w: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C</w:t>
      </w:r>
      <w:r>
        <w:rPr>
          <w:rFonts w:ascii="Times New Roman" w:eastAsia="楷体" w:hAnsi="Times New Roman" w:cs="Times New Roman"/>
        </w:rPr>
        <w:t>中的平均工作规模约为</w:t>
      </w:r>
      <w:r>
        <w:rPr>
          <w:rFonts w:ascii="Times New Roman" w:eastAsia="楷体" w:hAnsi="Times New Roman" w:cs="Times New Roman"/>
        </w:rPr>
        <w:t>4.99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5.24</w:t>
      </w:r>
      <w:r>
        <w:rPr>
          <w:rFonts w:ascii="Times New Roman" w:eastAsia="楷体" w:hAnsi="Times New Roman" w:cs="Times New Roman"/>
        </w:rPr>
        <w:t>和</w:t>
      </w:r>
      <w:r>
        <w:rPr>
          <w:rFonts w:ascii="Times New Roman" w:eastAsia="楷体" w:hAnsi="Times New Roman" w:cs="Times New Roman"/>
        </w:rPr>
        <w:t>3.38</w:t>
      </w:r>
      <w:r>
        <w:rPr>
          <w:rFonts w:ascii="Times New Roman" w:eastAsia="楷体" w:hAnsi="Times New Roman" w:cs="Times New Roman"/>
        </w:rPr>
        <w:t>，</w:t>
      </w:r>
      <w:r>
        <w:rPr>
          <w:rFonts w:ascii="Times New Roman" w:eastAsia="楷体" w:hAnsi="Times New Roman" w:cs="Times New Roman"/>
        </w:rPr>
        <w:t>LM+</w:t>
      </w:r>
      <w:r>
        <w:rPr>
          <w:rFonts w:ascii="Times New Roman" w:eastAsia="楷体" w:hAnsi="Times New Roman" w:cs="Times New Roman"/>
        </w:rPr>
        <w:t>维持</w:t>
      </w:r>
      <w:r>
        <w:rPr>
          <w:rFonts w:ascii="Times New Roman" w:eastAsia="楷体" w:hAnsi="Times New Roman" w:cs="Times New Roman"/>
        </w:rPr>
        <w:t>20</w:t>
      </w:r>
      <w:r>
        <w:rPr>
          <w:rFonts w:ascii="Times New Roman" w:eastAsia="楷体" w:hAnsi="Times New Roman" w:cs="Times New Roman"/>
        </w:rPr>
        <w:t>个不同布局；稀疏回写又保留了未受修复影响的速度信息。</w:t>
      </w:r>
      <w:r>
        <w:rPr>
          <w:rFonts w:ascii="Times New Roman" w:eastAsia="楷体" w:hAnsi="Times New Roman" w:cs="Times New Roman"/>
        </w:rPr>
        <w:t>LM+</w:t>
      </w:r>
      <w:r>
        <w:rPr>
          <w:rFonts w:ascii="Times New Roman" w:eastAsia="楷体" w:hAnsi="Times New Roman" w:cs="Times New Roman"/>
        </w:rPr>
        <w:t>平均约有</w:t>
      </w:r>
      <w:r>
        <w:rPr>
          <w:rFonts w:ascii="Times New Roman" w:eastAsia="楷体" w:hAnsi="Times New Roman" w:cs="Times New Roman"/>
        </w:rPr>
        <w:t>3065</w:t>
      </w:r>
      <w:r>
        <w:rPr>
          <w:rFonts w:ascii="Times New Roman" w:eastAsia="楷体" w:hAnsi="Times New Roman" w:cs="Times New Roman"/>
        </w:rPr>
        <w:t>至</w:t>
      </w:r>
      <w:r>
        <w:rPr>
          <w:rFonts w:ascii="Times New Roman" w:eastAsia="楷体" w:hAnsi="Times New Roman" w:cs="Times New Roman"/>
        </w:rPr>
        <w:t>3157</w:t>
      </w:r>
      <w:r>
        <w:rPr>
          <w:rFonts w:ascii="Times New Roman" w:eastAsia="楷体" w:hAnsi="Times New Roman" w:cs="Times New Roman"/>
        </w:rPr>
        <w:t>次原生请求接受超过</w:t>
      </w:r>
      <w:r>
        <w:rPr>
          <w:rFonts w:ascii="Times New Roman" w:eastAsia="楷体" w:hAnsi="Times New Roman" w:cs="Times New Roman"/>
        </w:rPr>
        <w:t>8</w:t>
      </w:r>
      <w:r>
        <w:rPr>
          <w:rFonts w:ascii="Times New Roman" w:eastAsia="楷体" w:hAnsi="Times New Roman" w:cs="Times New Roman"/>
        </w:rPr>
        <w:t>个机位变化，说明有效的大步搜索没有被统一压缩为微小交换。物理局部细化实际使用约</w:t>
      </w:r>
      <w:r>
        <w:rPr>
          <w:rFonts w:ascii="Times New Roman" w:eastAsia="楷体" w:hAnsi="Times New Roman" w:cs="Times New Roman"/>
        </w:rPr>
        <w:t>12.38%</w:t>
      </w:r>
      <w:r>
        <w:rPr>
          <w:rFonts w:ascii="Times New Roman" w:eastAsia="楷体" w:hAnsi="Times New Roman" w:cs="Times New Roman"/>
        </w:rPr>
        <w:t>至</w:t>
      </w:r>
      <w:r>
        <w:rPr>
          <w:rFonts w:ascii="Times New Roman" w:eastAsia="楷体" w:hAnsi="Times New Roman" w:cs="Times New Roman"/>
        </w:rPr>
        <w:t>17.91%</w:t>
      </w:r>
      <w:r>
        <w:rPr>
          <w:rFonts w:ascii="Times New Roman" w:eastAsia="楷体" w:hAnsi="Times New Roman" w:cs="Times New Roman"/>
        </w:rPr>
        <w:t>的总预算，余下请求继续承担全局探索。</w:t>
      </w:r>
    </w:p>
    <w:p w14:paraId="52EF0485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DG+</w:t>
      </w:r>
      <w:r>
        <w:rPr>
          <w:rFonts w:ascii="Times New Roman" w:eastAsia="楷体" w:hAnsi="Times New Roman" w:cs="Times New Roman"/>
        </w:rPr>
        <w:t>的情况有所不同。它在算例</w:t>
      </w: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</w:rPr>
        <w:t>的重复率由</w:t>
      </w:r>
      <w:r>
        <w:rPr>
          <w:rFonts w:ascii="Times New Roman" w:eastAsia="楷体" w:hAnsi="Times New Roman" w:cs="Times New Roman"/>
        </w:rPr>
        <w:t>41.51%</w:t>
      </w:r>
      <w:r>
        <w:rPr>
          <w:rFonts w:ascii="Times New Roman" w:eastAsia="楷体" w:hAnsi="Times New Roman" w:cs="Times New Roman"/>
        </w:rPr>
        <w:t>略降至</w:t>
      </w:r>
      <w:r>
        <w:rPr>
          <w:rFonts w:ascii="Times New Roman" w:eastAsia="楷体" w:hAnsi="Times New Roman" w:cs="Times New Roman"/>
        </w:rPr>
        <w:t>40.77%</w:t>
      </w:r>
      <w:r>
        <w:rPr>
          <w:rFonts w:ascii="Times New Roman" w:eastAsia="楷体" w:hAnsi="Times New Roman" w:cs="Times New Roman"/>
        </w:rPr>
        <w:t>，在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C</w:t>
      </w:r>
      <w:r>
        <w:rPr>
          <w:rFonts w:ascii="Times New Roman" w:eastAsia="楷体" w:hAnsi="Times New Roman" w:cs="Times New Roman"/>
        </w:rPr>
        <w:t>中则分别由</w:t>
      </w:r>
      <w:r>
        <w:rPr>
          <w:rFonts w:ascii="Times New Roman" w:eastAsia="楷体" w:hAnsi="Times New Roman" w:cs="Times New Roman"/>
        </w:rPr>
        <w:t>26.33%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27.76%</w:t>
      </w:r>
      <w:r>
        <w:rPr>
          <w:rFonts w:ascii="Times New Roman" w:eastAsia="楷体" w:hAnsi="Times New Roman" w:cs="Times New Roman"/>
        </w:rPr>
        <w:t>升至</w:t>
      </w:r>
      <w:r>
        <w:rPr>
          <w:rFonts w:ascii="Times New Roman" w:eastAsia="楷体" w:hAnsi="Times New Roman" w:cs="Times New Roman"/>
        </w:rPr>
        <w:t>31.12%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30.85%</w:t>
      </w:r>
      <w:r>
        <w:rPr>
          <w:rFonts w:ascii="Times New Roman" w:eastAsia="楷体" w:hAnsi="Times New Roman" w:cs="Times New Roman"/>
        </w:rPr>
        <w:t>，但质量仍明显提高。这说明新布局数量与新布局价值需要分开观察。</w:t>
      </w:r>
      <w:r>
        <w:rPr>
          <w:rFonts w:ascii="Times New Roman" w:eastAsia="楷体" w:hAnsi="Times New Roman" w:cs="Times New Roman"/>
        </w:rPr>
        <w:t>DG+</w:t>
      </w:r>
      <w:r>
        <w:rPr>
          <w:rFonts w:ascii="Times New Roman" w:eastAsia="楷体" w:hAnsi="Times New Roman" w:cs="Times New Roman"/>
        </w:rPr>
        <w:t>保留预选择确定的方向，并围绕优秀布局完成有针对性的单点交换；虽然部分请求继续落到已有布局，进入档案的有效变化更接近需要扩展的权衡区域。其平均接受超过</w:t>
      </w:r>
      <w:r>
        <w:rPr>
          <w:rFonts w:ascii="Times New Roman" w:eastAsia="楷体" w:hAnsi="Times New Roman" w:cs="Times New Roman"/>
        </w:rPr>
        <w:t>8</w:t>
      </w:r>
      <w:r>
        <w:rPr>
          <w:rFonts w:ascii="Times New Roman" w:eastAsia="楷体" w:hAnsi="Times New Roman" w:cs="Times New Roman"/>
        </w:rPr>
        <w:t>个机位变化的原生请求为</w:t>
      </w:r>
      <w:r>
        <w:rPr>
          <w:rFonts w:ascii="Times New Roman" w:eastAsia="楷体" w:hAnsi="Times New Roman" w:cs="Times New Roman"/>
        </w:rPr>
        <w:t>4866</w:t>
      </w:r>
      <w:r>
        <w:rPr>
          <w:rFonts w:ascii="Times New Roman" w:eastAsia="楷体" w:hAnsi="Times New Roman" w:cs="Times New Roman"/>
        </w:rPr>
        <w:t>至</w:t>
      </w:r>
      <w:r>
        <w:rPr>
          <w:rFonts w:ascii="Times New Roman" w:eastAsia="楷体" w:hAnsi="Times New Roman" w:cs="Times New Roman"/>
        </w:rPr>
        <w:t>5307</w:t>
      </w:r>
      <w:r>
        <w:rPr>
          <w:rFonts w:ascii="Times New Roman" w:eastAsia="楷体" w:hAnsi="Times New Roman" w:cs="Times New Roman"/>
        </w:rPr>
        <w:t>次，保留了全局方向搜索的活动范围。</w:t>
      </w:r>
    </w:p>
    <w:p w14:paraId="368D4C0B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CC+</w:t>
      </w:r>
      <w:r>
        <w:rPr>
          <w:rFonts w:ascii="Times New Roman" w:eastAsia="楷体" w:hAnsi="Times New Roman" w:cs="Times New Roman"/>
        </w:rPr>
        <w:t>在三个算例中的重复率均高于基线，约为</w:t>
      </w:r>
      <w:r>
        <w:rPr>
          <w:rFonts w:ascii="Times New Roman" w:eastAsia="楷体" w:hAnsi="Times New Roman" w:cs="Times New Roman"/>
        </w:rPr>
        <w:t>17.55%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9.70%</w:t>
      </w:r>
      <w:r>
        <w:rPr>
          <w:rFonts w:ascii="Times New Roman" w:eastAsia="楷体" w:hAnsi="Times New Roman" w:cs="Times New Roman"/>
        </w:rPr>
        <w:t>和</w:t>
      </w:r>
      <w:r>
        <w:rPr>
          <w:rFonts w:ascii="Times New Roman" w:eastAsia="楷体" w:hAnsi="Times New Roman" w:cs="Times New Roman"/>
        </w:rPr>
        <w:t>9.19%</w:t>
      </w:r>
      <w:r>
        <w:rPr>
          <w:rFonts w:ascii="Times New Roman" w:eastAsia="楷体" w:hAnsi="Times New Roman" w:cs="Times New Roman"/>
        </w:rPr>
        <w:t>。局部投影与固定上下文降低了改变布局的自由度，部分尝试最终回到父布局；与此同时，每次运行平均约</w:t>
      </w:r>
      <w:r>
        <w:rPr>
          <w:rFonts w:ascii="Times New Roman" w:eastAsia="楷体" w:hAnsi="Times New Roman" w:cs="Times New Roman"/>
        </w:rPr>
        <w:t>6231</w:t>
      </w:r>
      <w:r>
        <w:rPr>
          <w:rFonts w:ascii="Times New Roman" w:eastAsia="楷体" w:hAnsi="Times New Roman" w:cs="Times New Roman"/>
        </w:rPr>
        <w:t>至</w:t>
      </w:r>
      <w:r>
        <w:rPr>
          <w:rFonts w:ascii="Times New Roman" w:eastAsia="楷体" w:hAnsi="Times New Roman" w:cs="Times New Roman"/>
        </w:rPr>
        <w:t>6878</w:t>
      </w:r>
      <w:r>
        <w:rPr>
          <w:rFonts w:ascii="Times New Roman" w:eastAsia="楷体" w:hAnsi="Times New Roman" w:cs="Times New Roman"/>
        </w:rPr>
        <w:t>个新布局可以使用增量尾流累加，支撑了明确的</w:t>
      </w:r>
      <w:r>
        <w:rPr>
          <w:rFonts w:ascii="Times New Roman" w:eastAsia="楷体" w:hAnsi="Times New Roman" w:cs="Times New Roman"/>
        </w:rPr>
        <w:t>CPU</w:t>
      </w:r>
      <w:r>
        <w:rPr>
          <w:rFonts w:ascii="Times New Roman" w:eastAsia="楷体" w:hAnsi="Times New Roman" w:cs="Times New Roman"/>
        </w:rPr>
        <w:t>节省。它的效率收益伴随局部搜索范围的收缩，在候选空间较大、风况与地形更复杂时表现为质量曲线较早趋平。后续改进应优先增强跨组调整和重复状态下的脱离能力，而不是简单增加投影尝试次数。</w:t>
      </w:r>
    </w:p>
    <w:p w14:paraId="65AB00C9" w14:textId="77777777" w:rsidR="008E439A" w:rsidRDefault="00000000">
      <w:pPr>
        <w:pStyle w:val="11"/>
        <w:pageBreakBefore/>
        <w:ind w:left="228" w:right="237"/>
      </w:pPr>
      <w:r>
        <w:rPr>
          <w:rFonts w:cs="Times New Roman"/>
        </w:rPr>
        <w:lastRenderedPageBreak/>
        <w:t>七</w:t>
      </w:r>
      <w:r>
        <w:rPr>
          <w:rFonts w:cs="Times New Roman"/>
        </w:rPr>
        <w:t xml:space="preserve"> </w:t>
      </w:r>
      <w:r>
        <w:rPr>
          <w:rFonts w:cs="Times New Roman"/>
        </w:rPr>
        <w:t>研究结论与后续工作</w:t>
      </w:r>
    </w:p>
    <w:p w14:paraId="6C4A0119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本课题完成了考虑位置禁布、固定风机数量与最小间距的大规模三目标布局模型，将部分转子尾流、布局相关连接成本和有效开发包络放在统一评价框架下。以相同候选域、相同初始布局和相同计费规则实现了三个基线与三个针对性改进版，并通过</w:t>
      </w:r>
      <w:r>
        <w:rPr>
          <w:rFonts w:ascii="Times New Roman" w:eastAsia="楷体" w:hAnsi="Times New Roman" w:cs="Times New Roman"/>
        </w:rPr>
        <w:t>180</w:t>
      </w:r>
      <w:r>
        <w:rPr>
          <w:rFonts w:ascii="Times New Roman" w:eastAsia="楷体" w:hAnsi="Times New Roman" w:cs="Times New Roman"/>
        </w:rPr>
        <w:t>次独立运行及全量布局核查形成了可复现的比较结果。</w:t>
      </w:r>
    </w:p>
    <w:p w14:paraId="6E19135E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最主要的方法结论是，离散布局优化需要同时维护可行机位集合和连续算子的搜索状态。</w:t>
      </w:r>
      <w:r>
        <w:rPr>
          <w:rFonts w:ascii="Times New Roman" w:eastAsia="楷体" w:hAnsi="Times New Roman" w:cs="Times New Roman"/>
        </w:rPr>
        <w:t>LMOCSO</w:t>
      </w:r>
      <w:r>
        <w:rPr>
          <w:rFonts w:ascii="Times New Roman" w:eastAsia="楷体" w:hAnsi="Times New Roman" w:cs="Times New Roman"/>
        </w:rPr>
        <w:t>的稀疏回写与有效种群保留，配合物理局部交换，明显减少了重复并扩大了解集覆盖；</w:t>
      </w:r>
      <w:r>
        <w:rPr>
          <w:rFonts w:ascii="Times New Roman" w:eastAsia="楷体" w:hAnsi="Times New Roman" w:cs="Times New Roman"/>
        </w:rPr>
        <w:t>DGEA</w:t>
      </w:r>
      <w:r>
        <w:rPr>
          <w:rFonts w:ascii="Times New Roman" w:eastAsia="楷体" w:hAnsi="Times New Roman" w:cs="Times New Roman"/>
        </w:rPr>
        <w:t>保留预选择与方向结构后，能够用接近基线的总计算开销获得更好的目标权衡。二者在全部三个算例中均表现出稳定的同预算和同时间质量优势。</w:t>
      </w:r>
      <w:r>
        <w:rPr>
          <w:rFonts w:ascii="Times New Roman" w:eastAsia="楷体" w:hAnsi="Times New Roman" w:cs="Times New Roman"/>
        </w:rPr>
        <w:t>CCGDE3</w:t>
      </w:r>
      <w:r>
        <w:rPr>
          <w:rFonts w:ascii="Times New Roman" w:eastAsia="楷体" w:hAnsi="Times New Roman" w:cs="Times New Roman"/>
        </w:rPr>
        <w:t>的可行协作上下文与增量评价显著降低耗时，在较小候选空间中也改善质量；更大空间中的质量提升仍需要加强跨组搜索。</w:t>
      </w:r>
    </w:p>
    <w:p w14:paraId="5308DD95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针对研究目标，建模一致性与硬约束可行性已经实现，质量与时间效率获得了清楚的分算法结论；重复控制则以</w:t>
      </w:r>
      <w:r>
        <w:rPr>
          <w:rFonts w:ascii="Times New Roman" w:eastAsia="楷体" w:hAnsi="Times New Roman" w:cs="Times New Roman"/>
        </w:rPr>
        <w:t>LMOCSO</w:t>
      </w:r>
      <w:r>
        <w:rPr>
          <w:rFonts w:ascii="Times New Roman" w:eastAsia="楷体" w:hAnsi="Times New Roman" w:cs="Times New Roman"/>
        </w:rPr>
        <w:t>的改善最为明显，</w:t>
      </w:r>
      <w:r>
        <w:rPr>
          <w:rFonts w:ascii="Times New Roman" w:eastAsia="楷体" w:hAnsi="Times New Roman" w:cs="Times New Roman"/>
        </w:rPr>
        <w:t>CCGDE3</w:t>
      </w:r>
      <w:r>
        <w:rPr>
          <w:rFonts w:ascii="Times New Roman" w:eastAsia="楷体" w:hAnsi="Times New Roman" w:cs="Times New Roman"/>
        </w:rPr>
        <w:t>和</w:t>
      </w:r>
      <w:r>
        <w:rPr>
          <w:rFonts w:ascii="Times New Roman" w:eastAsia="楷体" w:hAnsi="Times New Roman" w:cs="Times New Roman"/>
        </w:rPr>
        <w:t>DGEA</w:t>
      </w:r>
      <w:r>
        <w:rPr>
          <w:rFonts w:ascii="Times New Roman" w:eastAsia="楷体" w:hAnsi="Times New Roman" w:cs="Times New Roman"/>
        </w:rPr>
        <w:t>还存在继续提高预算利用率的空间。我们据此保留各方法的实际优势，不把重复率、总耗时或</w:t>
      </w:r>
      <w:r>
        <w:rPr>
          <w:rFonts w:ascii="Times New Roman" w:eastAsia="楷体" w:hAnsi="Times New Roman" w:cs="Times New Roman"/>
        </w:rPr>
        <w:t>HV</w:t>
      </w:r>
      <w:r>
        <w:rPr>
          <w:rFonts w:ascii="Times New Roman" w:eastAsia="楷体" w:hAnsi="Times New Roman" w:cs="Times New Roman"/>
        </w:rPr>
        <w:t>中的某一个指标单独等同于整体算法能力。</w:t>
      </w:r>
    </w:p>
    <w:p w14:paraId="16296E47" w14:textId="77777777" w:rsidR="008E439A" w:rsidRDefault="00000000">
      <w:pPr>
        <w:widowControl/>
        <w:ind w:left="228" w:right="237"/>
      </w:pPr>
      <w:r>
        <w:rPr>
          <w:rFonts w:ascii="Times New Roman" w:eastAsia="楷体" w:hAnsi="Times New Roman" w:cs="Times New Roman"/>
        </w:rPr>
        <w:t>后续工作集中在两个方向。算法方面，依据重复持续时间和组间冲突结构调整</w:t>
      </w:r>
      <w:r>
        <w:rPr>
          <w:rFonts w:ascii="Times New Roman" w:eastAsia="楷体" w:hAnsi="Times New Roman" w:cs="Times New Roman"/>
        </w:rPr>
        <w:t>CCGDE3</w:t>
      </w:r>
      <w:r>
        <w:rPr>
          <w:rFonts w:ascii="Times New Roman" w:eastAsia="楷体" w:hAnsi="Times New Roman" w:cs="Times New Roman"/>
        </w:rPr>
        <w:t>的跨组交换强度，让有限预算更容易离开局部状态；场景方面，在现有三目标框架中替换为目标场址的高程、风况和建设参数，进一步检验布局取舍。当前成果已经给出了可行布局、完整目标值、收敛轨迹和统计比较，可作为后续场址分析与算法深化的共同基础。</w:t>
      </w:r>
    </w:p>
    <w:p w14:paraId="4E7868C4" w14:textId="77777777" w:rsidR="008E439A" w:rsidRDefault="00000000">
      <w:pPr>
        <w:pStyle w:val="11"/>
        <w:pageBreakBefore/>
        <w:ind w:left="228" w:right="237"/>
      </w:pPr>
      <w:r>
        <w:rPr>
          <w:rFonts w:cs="Times New Roman"/>
        </w:rPr>
        <w:lastRenderedPageBreak/>
        <w:t>参考文献</w:t>
      </w:r>
    </w:p>
    <w:p w14:paraId="7C581246" w14:textId="77777777" w:rsidR="008E439A" w:rsidRDefault="00000000">
      <w:pPr>
        <w:pStyle w:val="ReportReference"/>
        <w:keepLines/>
        <w:spacing w:after="140"/>
        <w:ind w:left="588" w:right="237"/>
      </w:pPr>
      <w:r>
        <w:rPr>
          <w:rFonts w:cs="Times New Roman"/>
        </w:rPr>
        <w:t>[1] JENSEN N O. A note on wind generator interaction[R]. Roskilde: Risø National Laboratory, 1983. Risø-M-2411.</w:t>
      </w:r>
      <w:hyperlink r:id="rId16">
        <w:r>
          <w:rPr>
            <w:sz w:val="19"/>
          </w:rPr>
          <w:t>原文链接</w:t>
        </w:r>
      </w:hyperlink>
    </w:p>
    <w:p w14:paraId="59C1F6EC" w14:textId="77777777" w:rsidR="008E439A" w:rsidRDefault="00000000">
      <w:pPr>
        <w:pStyle w:val="ReportReference"/>
        <w:keepLines/>
        <w:spacing w:after="140"/>
        <w:ind w:left="588" w:right="237"/>
      </w:pPr>
      <w:r>
        <w:rPr>
          <w:rFonts w:cs="Times New Roman"/>
        </w:rPr>
        <w:t>[2] KATIC I, HØJSTRUP J, JENSEN N O. A simple model for cluster efficiency[C]//EWEC'86 Proceedings. Vol. 1. Rome: A. Raguzzi, 1987: 407–410.</w:t>
      </w:r>
      <w:hyperlink r:id="rId17">
        <w:r>
          <w:rPr>
            <w:sz w:val="19"/>
          </w:rPr>
          <w:t>原文链接</w:t>
        </w:r>
      </w:hyperlink>
    </w:p>
    <w:p w14:paraId="012AA05E" w14:textId="77777777" w:rsidR="008E439A" w:rsidRDefault="00000000">
      <w:pPr>
        <w:pStyle w:val="ReportReference"/>
        <w:keepLines/>
        <w:spacing w:after="140"/>
        <w:ind w:left="588" w:right="237"/>
      </w:pPr>
      <w:r>
        <w:rPr>
          <w:rFonts w:cs="Times New Roman"/>
        </w:rPr>
        <w:t xml:space="preserve">[3] </w:t>
      </w:r>
      <w:proofErr w:type="spellStart"/>
      <w:r>
        <w:rPr>
          <w:rFonts w:cs="Times New Roman"/>
        </w:rPr>
        <w:t>WindFLO</w:t>
      </w:r>
      <w:proofErr w:type="spellEnd"/>
      <w:r>
        <w:rPr>
          <w:rFonts w:cs="Times New Roman"/>
        </w:rPr>
        <w:t>. APIs for the Wind Farm Layout Optimization competition[EB/OL]. [2026-10-25].</w:t>
      </w:r>
      <w:hyperlink r:id="rId18">
        <w:r>
          <w:rPr>
            <w:sz w:val="19"/>
          </w:rPr>
          <w:t>原文链接</w:t>
        </w:r>
      </w:hyperlink>
    </w:p>
    <w:p w14:paraId="5B56E773" w14:textId="77777777" w:rsidR="008E439A" w:rsidRDefault="00000000">
      <w:pPr>
        <w:pStyle w:val="ReportReference"/>
        <w:keepLines/>
        <w:spacing w:after="140"/>
        <w:ind w:left="588" w:right="237"/>
      </w:pPr>
      <w:r>
        <w:rPr>
          <w:rFonts w:cs="Times New Roman"/>
        </w:rPr>
        <w:t>[4] STEHLY T, DUFFY P, MULAS HERNANDO D. 2022 cost of wind energy review[R]. National Renewable Energy Laboratory, 2023. NREL/PR-5000-88335. DOI: 10.2172/2278805.</w:t>
      </w:r>
      <w:hyperlink r:id="rId19">
        <w:r>
          <w:rPr>
            <w:sz w:val="19"/>
          </w:rPr>
          <w:t>原文链接</w:t>
        </w:r>
      </w:hyperlink>
    </w:p>
    <w:p w14:paraId="2FFA148D" w14:textId="77777777" w:rsidR="008E439A" w:rsidRDefault="00000000">
      <w:pPr>
        <w:pStyle w:val="ReportReference"/>
        <w:keepLines/>
        <w:spacing w:after="140"/>
        <w:ind w:left="588" w:right="237"/>
      </w:pPr>
      <w:r>
        <w:rPr>
          <w:rFonts w:cs="Times New Roman"/>
        </w:rPr>
        <w:t xml:space="preserve">[5] ANTONIO L M, COELLO </w:t>
      </w:r>
      <w:proofErr w:type="spellStart"/>
      <w:r>
        <w:rPr>
          <w:rFonts w:cs="Times New Roman"/>
        </w:rPr>
        <w:t>COELLO</w:t>
      </w:r>
      <w:proofErr w:type="spellEnd"/>
      <w:r>
        <w:rPr>
          <w:rFonts w:cs="Times New Roman"/>
        </w:rPr>
        <w:t xml:space="preserve"> C A. Use of cooperative coevolution for solving large scale </w:t>
      </w:r>
      <w:proofErr w:type="spellStart"/>
      <w:r>
        <w:rPr>
          <w:rFonts w:cs="Times New Roman"/>
        </w:rPr>
        <w:t>multiobjective</w:t>
      </w:r>
      <w:proofErr w:type="spellEnd"/>
      <w:r>
        <w:rPr>
          <w:rFonts w:cs="Times New Roman"/>
        </w:rPr>
        <w:t xml:space="preserve"> optimization problems[C]//2013 IEEE Congress on Evolutionary Computation. 2013: 2758–2765. DOI: 10.1109/CEC.2013.6557903.</w:t>
      </w:r>
      <w:hyperlink r:id="rId20">
        <w:r>
          <w:rPr>
            <w:sz w:val="19"/>
          </w:rPr>
          <w:t>原文链接</w:t>
        </w:r>
      </w:hyperlink>
    </w:p>
    <w:p w14:paraId="27F32823" w14:textId="77777777" w:rsidR="008E439A" w:rsidRDefault="00000000">
      <w:pPr>
        <w:pStyle w:val="ReportReference"/>
        <w:keepLines/>
        <w:spacing w:after="140"/>
        <w:ind w:left="588" w:right="237"/>
      </w:pPr>
      <w:r>
        <w:rPr>
          <w:rFonts w:cs="Times New Roman"/>
        </w:rPr>
        <w:t xml:space="preserve">[6] TIAN Y, ZHENG X, ZHANG X, et al. Efficient large-scale </w:t>
      </w:r>
      <w:proofErr w:type="spellStart"/>
      <w:r>
        <w:rPr>
          <w:rFonts w:cs="Times New Roman"/>
        </w:rPr>
        <w:t>multiobjective</w:t>
      </w:r>
      <w:proofErr w:type="spellEnd"/>
      <w:r>
        <w:rPr>
          <w:rFonts w:cs="Times New Roman"/>
        </w:rPr>
        <w:t xml:space="preserve"> optimization based on a competitive swarm optimizer[J]. IEEE Transactions on Cybernetics, 2020, 50(8): 3696–3708. DOI: 10.1109/TCYB.2019.2906383.</w:t>
      </w:r>
      <w:hyperlink r:id="rId21">
        <w:r>
          <w:rPr>
            <w:sz w:val="19"/>
          </w:rPr>
          <w:t>原文链接</w:t>
        </w:r>
      </w:hyperlink>
    </w:p>
    <w:p w14:paraId="3657820F" w14:textId="77777777" w:rsidR="008E439A" w:rsidRDefault="00000000">
      <w:pPr>
        <w:pStyle w:val="ReportReference"/>
        <w:keepLines/>
        <w:spacing w:after="140"/>
        <w:ind w:left="588" w:right="237"/>
      </w:pPr>
      <w:r>
        <w:rPr>
          <w:rFonts w:cs="Times New Roman"/>
        </w:rPr>
        <w:t xml:space="preserve">[7] HE C, CHENG R, YAZDANI D. Adaptive offspring generation for evolutionary large-scale </w:t>
      </w:r>
      <w:proofErr w:type="spellStart"/>
      <w:r>
        <w:rPr>
          <w:rFonts w:cs="Times New Roman"/>
        </w:rPr>
        <w:t>multiobjective</w:t>
      </w:r>
      <w:proofErr w:type="spellEnd"/>
      <w:r>
        <w:rPr>
          <w:rFonts w:cs="Times New Roman"/>
        </w:rPr>
        <w:t xml:space="preserve"> optimization[J]. IEEE Transactions on Systems, Man, and Cybernetics: Systems, 2022, 52(2): 786–798. DOI: 10.1109/TSMC.2020.3003926.</w:t>
      </w:r>
      <w:hyperlink r:id="rId22">
        <w:r>
          <w:rPr>
            <w:sz w:val="19"/>
          </w:rPr>
          <w:t>原文链接</w:t>
        </w:r>
      </w:hyperlink>
    </w:p>
    <w:p w14:paraId="56254DE4" w14:textId="77777777" w:rsidR="008E439A" w:rsidRDefault="00000000">
      <w:pPr>
        <w:pStyle w:val="ReportReference"/>
        <w:keepLines/>
        <w:spacing w:after="140"/>
        <w:ind w:left="588" w:right="237"/>
      </w:pPr>
      <w:r>
        <w:rPr>
          <w:rFonts w:cs="Times New Roman"/>
        </w:rPr>
        <w:t xml:space="preserve">[8] TIAN Y, CHENG R, ZHANG X, et al. </w:t>
      </w:r>
      <w:proofErr w:type="spellStart"/>
      <w:r>
        <w:rPr>
          <w:rFonts w:cs="Times New Roman"/>
        </w:rPr>
        <w:t>PlatEMO</w:t>
      </w:r>
      <w:proofErr w:type="spellEnd"/>
      <w:r>
        <w:rPr>
          <w:rFonts w:cs="Times New Roman"/>
        </w:rPr>
        <w:t>: A MATLAB platform for evolutionary multi-objective optimization[J]. IEEE Computational Intelligence Magazine, 2017, 12(4): 73–87.</w:t>
      </w:r>
      <w:hyperlink r:id="rId23">
        <w:r>
          <w:rPr>
            <w:sz w:val="19"/>
          </w:rPr>
          <w:t>原文链接</w:t>
        </w:r>
      </w:hyperlink>
    </w:p>
    <w:p w14:paraId="702A18DD" w14:textId="77777777" w:rsidR="008E439A" w:rsidRDefault="00000000">
      <w:pPr>
        <w:pStyle w:val="ReportReference"/>
        <w:keepLines/>
        <w:spacing w:after="140"/>
        <w:ind w:left="588" w:right="237"/>
      </w:pPr>
      <w:r>
        <w:rPr>
          <w:rFonts w:cs="Times New Roman"/>
        </w:rPr>
        <w:t xml:space="preserve">[9] ZITZLER E, THIELE L. </w:t>
      </w:r>
      <w:proofErr w:type="spellStart"/>
      <w:r>
        <w:rPr>
          <w:rFonts w:cs="Times New Roman"/>
        </w:rPr>
        <w:t>Multiobjective</w:t>
      </w:r>
      <w:proofErr w:type="spellEnd"/>
      <w:r>
        <w:rPr>
          <w:rFonts w:cs="Times New Roman"/>
        </w:rPr>
        <w:t xml:space="preserve"> evolutionary algorithms: A comparative case study and the strength Pareto approach[J]. IEEE Transactions on Evolutionary Computation, 1999, 3(4): 257–271.</w:t>
      </w:r>
      <w:hyperlink r:id="rId24">
        <w:r>
          <w:rPr>
            <w:sz w:val="19"/>
          </w:rPr>
          <w:t>原文链接</w:t>
        </w:r>
      </w:hyperlink>
    </w:p>
    <w:p w14:paraId="1A08CBDA" w14:textId="77777777" w:rsidR="008E439A" w:rsidRDefault="00000000">
      <w:pPr>
        <w:pStyle w:val="ReportReference"/>
        <w:keepLines/>
        <w:spacing w:after="140"/>
        <w:ind w:left="588" w:right="237"/>
      </w:pPr>
      <w:r>
        <w:rPr>
          <w:rFonts w:cs="Times New Roman"/>
        </w:rPr>
        <w:t>[10] HOLM S. A simple sequentially rejective multiple test procedure[J]. Scandinavian Journal of Statistics, 1979, 6(2): 65–70.</w:t>
      </w:r>
      <w:hyperlink r:id="rId25">
        <w:r>
          <w:rPr>
            <w:sz w:val="19"/>
          </w:rPr>
          <w:t>原文链接</w:t>
        </w:r>
      </w:hyperlink>
    </w:p>
    <w:p w14:paraId="5E811D85" w14:textId="2B19DEEE" w:rsidR="00C016EA" w:rsidRDefault="00000000" w:rsidP="00C016EA">
      <w:pPr>
        <w:pStyle w:val="11"/>
        <w:pageBreakBefore/>
        <w:ind w:left="228" w:right="237"/>
      </w:pPr>
      <w:r>
        <w:rPr>
          <w:rFonts w:cs="Times New Roman"/>
        </w:rPr>
        <w:lastRenderedPageBreak/>
        <w:t>附录</w:t>
      </w:r>
      <w:r>
        <w:rPr>
          <w:rFonts w:cs="Times New Roman"/>
        </w:rPr>
        <w:t xml:space="preserve"> </w:t>
      </w:r>
      <w:r w:rsidR="00C016EA">
        <w:rPr>
          <w:rFonts w:cs="Times New Roman" w:hint="eastAsia"/>
        </w:rPr>
        <w:t>成员分工</w:t>
      </w:r>
    </w:p>
    <w:p>
      <w:pPr>
        <w:spacing w:before="0" w:after="80" w:line="264" w:lineRule="auto"/>
        <w:ind w:left="228" w:right="237" w:firstLine="440"/>
        <w:jc w:val="left"/>
        <w:widowControl/>
        <w:keepNext/>
      </w:pPr>
      <w:r>
        <w:rPr>
          <w:rFonts w:ascii="Times New Roman" w:hAnsi="Times New Roman" w:eastAsia="楷体" w:cs="Times New Roman"/>
          <w:sz w:val="24"/>
          <w:color w:val="000000"/>
        </w:rPr>
        <w:t>小组围绕数据与建模、算法设计、实验验证和成果汇报开展协作。七名成员的主要职责与对应成果如下。</w:t>
      </w:r>
    </w:p>
    <w:tbl>
      <w:tblPr>
        <w:tblW w:w="8901" w:type="dxa"/>
        <w:jc w:val="center"/>
        <w:tblLayout w:type="fixed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907"/>
        <w:gridCol w:w="1644"/>
        <w:gridCol w:w="4082"/>
        <w:gridCol w:w="2268"/>
      </w:tblGrid>
      <w:tr>
        <w:trPr>
          <w:cantSplit/>
          <w:tblHeader/>
        </w:trPr>
        <w:tc>
          <w:tcPr>
            <w:tcW w:w="907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EDEDED" w:val="clear"/>
          </w:tcPr>
          <w:p>
            <w:pPr>
              <w:spacing w:before="0" w:after="0" w:line="264" w:lineRule="auto"/>
              <w:ind w:left="0" w:right="0" w:firstLine="0"/>
              <w:jc w:val="center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  <w:b/>
              </w:rPr>
              <w:t>成员</w:t>
            </w:r>
          </w:p>
        </w:tc>
        <w:tc>
          <w:tcPr>
            <w:tcW w:w="1644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EDEDED" w:val="clear"/>
          </w:tcPr>
          <w:p>
            <w:pPr>
              <w:spacing w:before="0" w:after="0" w:line="264" w:lineRule="auto"/>
              <w:ind w:left="0" w:right="0" w:firstLine="0"/>
              <w:jc w:val="center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  <w:b/>
              </w:rPr>
              <w:t>主要分工</w:t>
            </w:r>
          </w:p>
        </w:tc>
        <w:tc>
          <w:tcPr>
            <w:tcW w:w="4082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EDEDED" w:val="clear"/>
          </w:tcPr>
          <w:p>
            <w:pPr>
              <w:spacing w:before="0" w:after="0" w:line="264" w:lineRule="auto"/>
              <w:ind w:left="0" w:right="0" w:firstLine="0"/>
              <w:jc w:val="center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  <w:b/>
              </w:rPr>
              <w:t>具体任务</w:t>
            </w:r>
          </w:p>
        </w:tc>
        <w:tc>
          <w:tcPr>
            <w:tcW w:w="2268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  <w:shd w:fill="EDEDED" w:val="clear"/>
          </w:tcPr>
          <w:p>
            <w:pPr>
              <w:spacing w:before="0" w:after="0" w:line="264" w:lineRule="auto"/>
              <w:ind w:left="0" w:right="0" w:firstLine="0"/>
              <w:jc w:val="center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  <w:b/>
              </w:rPr>
              <w:t>对应成果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center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成员1</w:t>
            </w:r>
          </w:p>
        </w:tc>
        <w:tc>
          <w:tcPr>
            <w:tcW w:w="1644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left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课题统筹与汇报</w:t>
            </w:r>
          </w:p>
        </w:tc>
        <w:tc>
          <w:tcPr>
            <w:tcW w:w="4082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left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梳理研究目标与技术路线；协调模型、算法和实验接口；汇总研究结论，负责报告统稿与成果讲解。</w:t>
            </w:r>
          </w:p>
        </w:tc>
        <w:tc>
          <w:tcPr>
            <w:tcW w:w="2268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left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总体方案、研究汇报书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center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成员2</w:t>
            </w:r>
          </w:p>
        </w:tc>
        <w:tc>
          <w:tcPr>
            <w:tcW w:w="1644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left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场景数据与约束</w:t>
            </w:r>
          </w:p>
        </w:tc>
        <w:tc>
          <w:tcPr>
            <w:tcW w:w="4082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left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整理风况、禁布区和地形数据；生成候选机位；建立固定风机数量、场界、最小间距及坡度约束。</w:t>
            </w:r>
          </w:p>
        </w:tc>
        <w:tc>
          <w:tcPr>
            <w:tcW w:w="2268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left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算例数据、候选集与冲突图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center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成员3</w:t>
            </w:r>
          </w:p>
        </w:tc>
        <w:tc>
          <w:tcPr>
            <w:tcW w:w="1644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left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尾流与三目标模型</w:t>
            </w:r>
          </w:p>
        </w:tc>
        <w:tc>
          <w:tcPr>
            <w:tcW w:w="4082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left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实现转子重叠尾流和年发电量计算；建立连接成本、度电成本及有效面积指标；核对单位与数值一致性。</w:t>
            </w:r>
          </w:p>
        </w:tc>
        <w:tc>
          <w:tcPr>
            <w:tcW w:w="2268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left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统一评价器、模型公式与核查结果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center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成员4</w:t>
            </w:r>
          </w:p>
        </w:tc>
        <w:tc>
          <w:tcPr>
            <w:tcW w:w="1644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left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CCGDE3算法改进</w:t>
            </w:r>
          </w:p>
        </w:tc>
        <w:tc>
          <w:tcPr>
            <w:tcW w:w="4082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left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实现协同差分进化基线；设计可行协作上下文、组外机位固定和跨组交换；分析增量评价及计算效率。</w:t>
            </w:r>
          </w:p>
        </w:tc>
        <w:tc>
          <w:tcPr>
            <w:tcW w:w="2268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left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CCGDE3基线、改进模块与机制分析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center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成员5</w:t>
            </w:r>
          </w:p>
        </w:tc>
        <w:tc>
          <w:tcPr>
            <w:tcW w:w="1644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left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LMOCSO算法改进</w:t>
            </w:r>
          </w:p>
        </w:tc>
        <w:tc>
          <w:tcPr>
            <w:tcW w:w="4082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left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实现竞争群优化基线；改进稀疏回写、速度保留和有效种群维持；结合物理交换分析重复率与解集质量。</w:t>
            </w:r>
          </w:p>
        </w:tc>
        <w:tc>
          <w:tcPr>
            <w:tcW w:w="2268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left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LMOCSO基线、改进模块与机制分析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center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成员6</w:t>
            </w:r>
          </w:p>
        </w:tc>
        <w:tc>
          <w:tcPr>
            <w:tcW w:w="1644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left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DGEA算法改进</w:t>
            </w:r>
          </w:p>
        </w:tc>
        <w:tc>
          <w:tcPr>
            <w:tcW w:w="4082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left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实现方向引导基线；保留预选择及父代等级，改进方向搜索和可行局部交换；分析档案更新与搜索表现。</w:t>
            </w:r>
          </w:p>
        </w:tc>
        <w:tc>
          <w:tcPr>
            <w:tcW w:w="2268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left"/>
              <w:widowControl/>
              <w:snapToGrid w:val="0"/>
              <w:keepNext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DGEA基线、改进模块与机制分析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center"/>
              <w:widowControl/>
              <w:snapToGrid w:val="0"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成员7</w:t>
            </w:r>
          </w:p>
        </w:tc>
        <w:tc>
          <w:tcPr>
            <w:tcW w:w="1644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left"/>
              <w:widowControl/>
              <w:snapToGrid w:val="0"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实验统计与可视化</w:t>
            </w:r>
          </w:p>
        </w:tc>
        <w:tc>
          <w:tcPr>
            <w:tcW w:w="4082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left"/>
              <w:widowControl/>
              <w:snapToGrid w:val="0"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组织六种方法的配对比较并汇总180次运行；计算HV、耗时、可行率、重复率及统计检验；绘制结果图表。</w:t>
            </w:r>
          </w:p>
        </w:tc>
        <w:tc>
          <w:tcPr>
            <w:tcW w:w="2268" w:type="dx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before="0" w:after="0" w:line="264" w:lineRule="auto"/>
              <w:ind w:left="0" w:right="0" w:firstLine="0"/>
              <w:jc w:val="left"/>
              <w:widowControl/>
              <w:snapToGrid w:val="0"/>
            </w:pPr>
            <w:r>
              <w:rPr>
                <w:rFonts w:ascii="Times New Roman" w:hAnsi="Times New Roman" w:eastAsia="楷体" w:cs="Times New Roman"/>
                <w:sz w:val="21"/>
                <w:color w:val="000000"/>
              </w:rPr>
              <w:t>对比统计表、收敛图、布局图与结果分析</w:t>
            </w:r>
          </w:p>
        </w:tc>
      </w:tr>
    </w:tbl>
    <w:p>
      <w:pPr>
        <w:spacing w:before="0" w:after="80" w:line="264" w:lineRule="auto"/>
        <w:ind w:left="228" w:right="237" w:firstLine="440"/>
        <w:jc w:val="left"/>
        <w:widowControl/>
      </w:pPr>
      <w:r>
        <w:rPr>
          <w:rFonts w:ascii="Times New Roman" w:hAnsi="Times New Roman" w:eastAsia="楷体" w:cs="Times New Roman"/>
          <w:sz w:val="22"/>
          <w:color w:val="000000"/>
        </w:rPr>
        <w:t>各成员共同参与方案讨论、交叉复核和报告修改。算法模块采用统一的输入、评价器与实验预算，保证结果能够直接比较。</w:t>
      </w:r>
    </w:p>
    <w:sectPr w:rsidR="008E439A">
      <w:headerReference w:type="default" r:id="rId26"/>
      <w:footerReference w:type="default" r:id="rId27"/>
      <w:pgSz w:w="11910" w:h="16840"/>
      <w:pgMar w:top="1233" w:right="960" w:bottom="1180" w:left="1240" w:header="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9E3A0" w14:textId="77777777" w:rsidR="009E7EA5" w:rsidRDefault="009E7EA5">
      <w:pPr>
        <w:spacing w:after="0" w:line="240" w:lineRule="auto"/>
      </w:pPr>
      <w:r>
        <w:separator/>
      </w:r>
    </w:p>
  </w:endnote>
  <w:endnote w:type="continuationSeparator" w:id="0">
    <w:p w14:paraId="0716AF21" w14:textId="77777777" w:rsidR="009E7EA5" w:rsidRDefault="009E7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JP Regular">
    <w:altName w:val="Segoe Print"/>
    <w:charset w:val="00"/>
    <w:family w:val="swiss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9BFD0" w14:textId="77777777" w:rsidR="008E439A" w:rsidRDefault="00000000">
    <w:pPr>
      <w:spacing w:after="0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59B59" w14:textId="77777777" w:rsidR="009E7EA5" w:rsidRDefault="009E7EA5">
      <w:pPr>
        <w:spacing w:after="0" w:line="240" w:lineRule="auto"/>
      </w:pPr>
      <w:r>
        <w:separator/>
      </w:r>
    </w:p>
  </w:footnote>
  <w:footnote w:type="continuationSeparator" w:id="0">
    <w:p w14:paraId="37F904E6" w14:textId="77777777" w:rsidR="009E7EA5" w:rsidRDefault="009E7E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5C91E" w14:textId="77777777" w:rsidR="008E439A" w:rsidRDefault="00000000">
    <w:pPr>
      <w:spacing w:after="0" w:line="20" w:lineRule="exact"/>
      <w:ind w:firstLine="0"/>
    </w:pPr>
    <w:r>
      <w:rPr>
        <w:rFonts w:ascii="Noto Sans CJK JP Regular" w:eastAsia="Noto Sans CJK JP Regular" w:hAnsi="Noto Sans CJK JP Regular" w:cs="Noto Sans CJK JP Regular"/>
        <w:noProof/>
        <w:szCs w:val="2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FDEDAB" wp14:editId="0893A0C0">
              <wp:simplePos x="0" y="0"/>
              <wp:positionH relativeFrom="page">
                <wp:posOffset>861060</wp:posOffset>
              </wp:positionH>
              <wp:positionV relativeFrom="page">
                <wp:posOffset>765175</wp:posOffset>
              </wp:positionV>
              <wp:extent cx="6018530" cy="9206865"/>
              <wp:effectExtent l="13335" t="50800" r="6985" b="0"/>
              <wp:wrapNone/>
              <wp:docPr id="1000" name="Template page fram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018530" cy="9206865"/>
                      </a:xfrm>
                      <a:custGeom>
                        <a:avLst/>
                        <a:gdLst>
                          <a:gd name="T0" fmla="+- 0 1356 1356"/>
                          <a:gd name="T1" fmla="*/ T0 w 9478"/>
                          <a:gd name="T2" fmla="+- 0 1139 1205"/>
                          <a:gd name="T3" fmla="*/ 1139 h 14499"/>
                          <a:gd name="T4" fmla="+- 0 10834 1356"/>
                          <a:gd name="T5" fmla="*/ T4 w 9478"/>
                          <a:gd name="T6" fmla="+- 0 1139 1205"/>
                          <a:gd name="T7" fmla="*/ 1139 h 14499"/>
                          <a:gd name="T8" fmla="+- 0 1356 1356"/>
                          <a:gd name="T9" fmla="*/ T8 w 9478"/>
                          <a:gd name="T10" fmla="+- 0 15633 1205"/>
                          <a:gd name="T11" fmla="*/ 15633 h 14499"/>
                          <a:gd name="T12" fmla="+- 0 10834 1356"/>
                          <a:gd name="T13" fmla="*/ T12 w 9478"/>
                          <a:gd name="T14" fmla="+- 0 15633 1205"/>
                          <a:gd name="T15" fmla="*/ 15633 h 14499"/>
                          <a:gd name="T16" fmla="+- 0 1361 1356"/>
                          <a:gd name="T17" fmla="*/ T16 w 9478"/>
                          <a:gd name="T18" fmla="+- 0 1134 1205"/>
                          <a:gd name="T19" fmla="*/ 1134 h 14499"/>
                          <a:gd name="T20" fmla="+- 0 1361 1356"/>
                          <a:gd name="T21" fmla="*/ T20 w 9478"/>
                          <a:gd name="T22" fmla="+- 0 15628 1205"/>
                          <a:gd name="T23" fmla="*/ 15628 h 14499"/>
                          <a:gd name="T24" fmla="+- 0 10829 1356"/>
                          <a:gd name="T25" fmla="*/ T24 w 9478"/>
                          <a:gd name="T26" fmla="+- 0 1134 1205"/>
                          <a:gd name="T27" fmla="*/ 1134 h 14499"/>
                          <a:gd name="T28" fmla="+- 0 10829 1356"/>
                          <a:gd name="T29" fmla="*/ T28 w 9478"/>
                          <a:gd name="T30" fmla="+- 0 15628 1205"/>
                          <a:gd name="T31" fmla="*/ 15628 h 1449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</a:cxnLst>
                        <a:rect l="0" t="0" r="r" b="b"/>
                        <a:pathLst>
                          <a:path w="9478" h="14499">
                            <a:moveTo>
                              <a:pt x="0" y="-66"/>
                            </a:moveTo>
                            <a:lnTo>
                              <a:pt x="9478" y="-66"/>
                            </a:lnTo>
                            <a:moveTo>
                              <a:pt x="0" y="14428"/>
                            </a:moveTo>
                            <a:lnTo>
                              <a:pt x="9478" y="14428"/>
                            </a:lnTo>
                            <a:moveTo>
                              <a:pt x="5" y="-71"/>
                            </a:moveTo>
                            <a:lnTo>
                              <a:pt x="5" y="14423"/>
                            </a:lnTo>
                            <a:moveTo>
                              <a:pt x="9473" y="-71"/>
                            </a:moveTo>
                            <a:lnTo>
                              <a:pt x="9473" y="14423"/>
                            </a:lnTo>
                          </a:path>
                        </a:pathLst>
                      </a:custGeom>
                      <a:noFill/>
                      <a:ln w="6096">
                        <a:solidFill>
                          <a:srgbClr val="000000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mv="urn:schemas-microsoft-com:mac:vml" xmlns:mo="http://schemas.microsoft.com/office/mac/office/2008/main">
          <w:pict>
            <v:shape id="AutoShape 88" o:spid="_x0000_s1026" o:spt="100" style="position:absolute;left:0pt;margin-left:67.8pt;margin-top:60.25pt;height:724.95pt;width:473.9pt;mso-position-horizontal-relative:page;mso-position-vertical-relative:page;z-index:251665408;mso-width-relative:page;mso-height-relative:page;" filled="f" stroked="t" coordsize="9478,14499" o:gfxdata="UEsDBAoAAAAAAIdO4kAAAAAAAAAAAAAAAAAEAAAAZHJzL1BLAwQUAAAACACHTuJAUZCVOtoAAAAN&#10;AQAADwAAAGRycy9kb3ducmV2LnhtbE2PwU7DMBBE70j8g7VI3KidtEmrNE4PFC4ICdFWnN1km0SJ&#10;1yF22/D3bE9wm9E+zc7km8n24oKjbx1piGYKBFLpqpZqDYf969MKhA+GKtM7Qg0/6GFT3N/lJqvc&#10;lT7xsgu14BDymdHQhDBkUvqyQWv8zA1IfDu50ZrAdqxlNZorh9texkql0pqW+ENjBnxusOx2Z6uh&#10;fI9e4vC23HeHr2k74HeXfmw7rR8fIrUGEXAKfzDc6nN1KLjT0Z2p8qJnP09SRlnEKgFxI9RqvgBx&#10;ZJUs1QJkkcv/K4pfUEsDBBQAAAAIAIdO4kD4/yXY7gMAAFcMAAAOAAAAZHJzL2Uyb0RvYy54bWyt&#10;V9GOozYUfa/Uf7B4bDUDNgkh0WRW1Y52tVK3XWnpBzhgAhLY1HZCZr9+r21IXCZk8tB5QCY+HN97&#10;jn195+nDqW3QkUlVC74N8GMUIMZzUdR8vw3+yT49pAFSmvKCNoKzbfDKVPDh+ddfnvpuw4ioRFMw&#10;iYCEq03fbYNK624ThiqvWEvVo+gYh8lSyJZqeJX7sJC0B/a2CUkUJWEvZNFJkTOl4NcXNxkMjPIe&#10;QlGWdc5eRH5oGdeOVbKGakhJVXWngmcbbVmyXP9dlopp1GwDyFTbJywC4515hs9PdLOXtKvqfAiB&#10;3hPCJKeW1hwWPVO9UE3RQdZvqNo6l0KJUj/mog1dIlYRyAJHE22+V7RjNheQWnVn0dX/R5v/dfwm&#10;UV1sg1UcIE5bcPyPgxZ2aZSmRqC+UxvAfe++yeFNwRDt+q+iADgFuM39VMrWaABZoZOV+PUsMTtp&#10;lMOPSYTTZQzq5zC3JlGSJkuzRkg34+f5QenPTFgqevxTaedRASOrcDGEmQFL2TZg1+8PKEI4Xib2&#10;MXh6huER9luIsgj1aL1Y2bzArTOIjCDHheM1wiSyofkw0MgtCVzYgCqEF4v1errmYsQ5uiiNF1dj&#10;W444E9tiJrZkBN2ObTXC3okNzvc9sq1HmAktnQkNTzxYJnF8VTjsu4AtbEY6PLFiVjvsm5FhMhfi&#10;xIv5EH0zboc4cSRO8FV3sW9JhpO5CCeOYLNZrmw+7FsCu28xt/vIxJW5+IhvSkZmz8bEkWVC0qsB&#10;Et8RUBBgMyaTiSlRSuDAwQmeHiTim5KRuSNCJo7MSUh8R25KOPFkPkDflAwyvl5fTMnzT92shrHv&#10;yRsNoUzux0JIq7E25ic+FEcYIWou8shW5E4oU4kz4IRym8VDpQWUqaQzYFDcgFd3gSF7A4bj7Yr4&#10;bWpzZC18rPnvwMEtC7f1FXK/DTfb2cBhG94TjNlaFn5fpmRIFQzy2F1Qg/oS2o1poyFto7Ez39BN&#10;R7UxbRyiHu5AcxmhCjoxe4+YqVYcWSYsSF8u0ofEHg5Y8DLfcB/nqCClC3QEXD7pPEpYktib8B5S&#10;HzxH6xR9WI0SXZYdv3DLO5xhHK0a5y9fOCTk5PbM+6Rn6FteyM9Ib9uMswfGOq/V4OJT3TTWpoYb&#10;Z5JondhTpERTF2bSWKLkfvexkehITUdp/4b98B+YFAdeuH3SwGELTQ9luibXTe1E8QodlBSuH4Vu&#10;HAaVkD8C1EMvug3UvwcqWYCaLxyavTVkBPVD25fFcmXqu/Rndv4M5TlQbQMdQCkww4/aNbyHTtb7&#10;ClbCNi0uTKNX1qa/svG5qIYX6DetXENvbBpa/92iLv8PPP8E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QYAAFtDb250ZW50X1R5cGVzXS54bWxQ&#10;SwECFAAKAAAAAACHTuJAAAAAAAAAAAAAAAAABgAAAAAAAAAAABAAAABDBQAAX3JlbHMvUEsBAhQA&#10;FAAAAAgAh07iQIoUZjzRAAAAlAEAAAsAAAAAAAAAAQAgAAAAZwUAAF9yZWxzLy5yZWxzUEsBAhQA&#10;CgAAAAAAh07iQAAAAAAAAAAAAAAAAAQAAAAAAAAAAAAQAAAAAAAAAGRycy9QSwECFAAUAAAACACH&#10;TuJAUZCVOtoAAAANAQAADwAAAAAAAAABACAAAAAiAAAAZHJzL2Rvd25yZXYueG1sUEsBAhQAFAAA&#10;AAgAh07iQPj/JdjuAwAAVwwAAA4AAAAAAAAAAQAgAAAAKQEAAGRycy9lMm9Eb2MueG1sUEsFBgAA&#10;AAAGAAYAWQEAAIkHAAAAAA==&#10;" path="m0,-66l9478,-66m0,14428l9478,14428m5,-71l5,14423m9473,-71l9473,14423e">
              <v:path o:connectlocs="0,723265;6018530,723265;0,9926955;6018530,9926955;3175,720090;3175,9923780;6015355,720090;6015355,9923780" o:connectangles="0,0,0,0,0,0,0,0"/>
              <v:fill on="f" focussize="0,0"/>
              <v:stroke weight="0.48pt" color="#000000" joinstyle="round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1068" w:hanging="209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1"/>
        <w:szCs w:val="21"/>
      </w:rPr>
    </w:lvl>
    <w:lvl w:ilvl="1">
      <w:numFmt w:val="bullet"/>
      <w:lvlText w:val="•"/>
      <w:lvlJc w:val="left"/>
      <w:pPr>
        <w:ind w:left="1924" w:hanging="209"/>
      </w:pPr>
      <w:rPr>
        <w:rFonts w:hint="default"/>
      </w:rPr>
    </w:lvl>
    <w:lvl w:ilvl="2">
      <w:numFmt w:val="bullet"/>
      <w:lvlText w:val="•"/>
      <w:lvlJc w:val="left"/>
      <w:pPr>
        <w:ind w:left="2789" w:hanging="209"/>
      </w:pPr>
      <w:rPr>
        <w:rFonts w:hint="default"/>
      </w:rPr>
    </w:lvl>
    <w:lvl w:ilvl="3">
      <w:numFmt w:val="bullet"/>
      <w:lvlText w:val="•"/>
      <w:lvlJc w:val="left"/>
      <w:pPr>
        <w:ind w:left="3653" w:hanging="209"/>
      </w:pPr>
      <w:rPr>
        <w:rFonts w:hint="default"/>
      </w:rPr>
    </w:lvl>
    <w:lvl w:ilvl="4">
      <w:numFmt w:val="bullet"/>
      <w:lvlText w:val="•"/>
      <w:lvlJc w:val="left"/>
      <w:pPr>
        <w:ind w:left="4518" w:hanging="209"/>
      </w:pPr>
      <w:rPr>
        <w:rFonts w:hint="default"/>
      </w:rPr>
    </w:lvl>
    <w:lvl w:ilvl="5">
      <w:numFmt w:val="bullet"/>
      <w:lvlText w:val="•"/>
      <w:lvlJc w:val="left"/>
      <w:pPr>
        <w:ind w:left="5383" w:hanging="209"/>
      </w:pPr>
      <w:rPr>
        <w:rFonts w:hint="default"/>
      </w:rPr>
    </w:lvl>
    <w:lvl w:ilvl="6">
      <w:numFmt w:val="bullet"/>
      <w:lvlText w:val="•"/>
      <w:lvlJc w:val="left"/>
      <w:pPr>
        <w:ind w:left="6247" w:hanging="209"/>
      </w:pPr>
      <w:rPr>
        <w:rFonts w:hint="default"/>
      </w:rPr>
    </w:lvl>
    <w:lvl w:ilvl="7">
      <w:numFmt w:val="bullet"/>
      <w:lvlText w:val="•"/>
      <w:lvlJc w:val="left"/>
      <w:pPr>
        <w:ind w:left="7112" w:hanging="209"/>
      </w:pPr>
      <w:rPr>
        <w:rFonts w:hint="default"/>
      </w:rPr>
    </w:lvl>
    <w:lvl w:ilvl="8">
      <w:numFmt w:val="bullet"/>
      <w:lvlText w:val="•"/>
      <w:lvlJc w:val="left"/>
      <w:pPr>
        <w:ind w:left="7976" w:hanging="209"/>
      </w:pPr>
      <w:rPr>
        <w:rFonts w:hint="default"/>
      </w:rPr>
    </w:lvl>
  </w:abstractNum>
  <w:abstractNum w:abstractNumId="1" w15:restartNumberingAfterBreak="0">
    <w:nsid w:val="CF092B84"/>
    <w:multiLevelType w:val="multilevel"/>
    <w:tmpl w:val="CF092B84"/>
    <w:lvl w:ilvl="0">
      <w:numFmt w:val="bullet"/>
      <w:lvlText w:val="■"/>
      <w:lvlJc w:val="left"/>
      <w:pPr>
        <w:ind w:left="1743" w:hanging="641"/>
      </w:pPr>
      <w:rPr>
        <w:rFonts w:ascii="Noto Sans CJK JP Regular" w:eastAsia="Noto Sans CJK JP Regular" w:hAnsi="Noto Sans CJK JP Regular" w:cs="Noto Sans CJK JP Regular" w:hint="default"/>
        <w:w w:val="99"/>
        <w:sz w:val="32"/>
        <w:szCs w:val="32"/>
      </w:rPr>
    </w:lvl>
    <w:lvl w:ilvl="1">
      <w:numFmt w:val="bullet"/>
      <w:lvlText w:val="•"/>
      <w:lvlJc w:val="left"/>
      <w:pPr>
        <w:ind w:left="2177" w:hanging="641"/>
      </w:pPr>
      <w:rPr>
        <w:rFonts w:hint="default"/>
      </w:rPr>
    </w:lvl>
    <w:lvl w:ilvl="2">
      <w:numFmt w:val="bullet"/>
      <w:lvlText w:val="•"/>
      <w:lvlJc w:val="left"/>
      <w:pPr>
        <w:ind w:left="2615" w:hanging="641"/>
      </w:pPr>
      <w:rPr>
        <w:rFonts w:hint="default"/>
      </w:rPr>
    </w:lvl>
    <w:lvl w:ilvl="3">
      <w:numFmt w:val="bullet"/>
      <w:lvlText w:val="•"/>
      <w:lvlJc w:val="left"/>
      <w:pPr>
        <w:ind w:left="3052" w:hanging="641"/>
      </w:pPr>
      <w:rPr>
        <w:rFonts w:hint="default"/>
      </w:rPr>
    </w:lvl>
    <w:lvl w:ilvl="4">
      <w:numFmt w:val="bullet"/>
      <w:lvlText w:val="•"/>
      <w:lvlJc w:val="left"/>
      <w:pPr>
        <w:ind w:left="3490" w:hanging="641"/>
      </w:pPr>
      <w:rPr>
        <w:rFonts w:hint="default"/>
      </w:rPr>
    </w:lvl>
    <w:lvl w:ilvl="5">
      <w:numFmt w:val="bullet"/>
      <w:lvlText w:val="•"/>
      <w:lvlJc w:val="left"/>
      <w:pPr>
        <w:ind w:left="3927" w:hanging="641"/>
      </w:pPr>
      <w:rPr>
        <w:rFonts w:hint="default"/>
      </w:rPr>
    </w:lvl>
    <w:lvl w:ilvl="6">
      <w:numFmt w:val="bullet"/>
      <w:lvlText w:val="•"/>
      <w:lvlJc w:val="left"/>
      <w:pPr>
        <w:ind w:left="4365" w:hanging="641"/>
      </w:pPr>
      <w:rPr>
        <w:rFonts w:hint="default"/>
      </w:rPr>
    </w:lvl>
    <w:lvl w:ilvl="7">
      <w:numFmt w:val="bullet"/>
      <w:lvlText w:val="•"/>
      <w:lvlJc w:val="left"/>
      <w:pPr>
        <w:ind w:left="4802" w:hanging="641"/>
      </w:pPr>
      <w:rPr>
        <w:rFonts w:hint="default"/>
      </w:rPr>
    </w:lvl>
    <w:lvl w:ilvl="8">
      <w:numFmt w:val="bullet"/>
      <w:lvlText w:val="•"/>
      <w:lvlJc w:val="left"/>
      <w:pPr>
        <w:ind w:left="5240" w:hanging="641"/>
      </w:pPr>
      <w:rPr>
        <w:rFonts w:hint="default"/>
      </w:rPr>
    </w:lvl>
  </w:abstractNum>
  <w:abstractNum w:abstractNumId="2" w15:restartNumberingAfterBreak="0">
    <w:nsid w:val="03D62ECE"/>
    <w:multiLevelType w:val="multilevel"/>
    <w:tmpl w:val="03D62ECE"/>
    <w:lvl w:ilvl="0">
      <w:numFmt w:val="bullet"/>
      <w:lvlText w:val=""/>
      <w:lvlJc w:val="left"/>
      <w:pPr>
        <w:ind w:left="1068" w:hanging="401"/>
      </w:pPr>
      <w:rPr>
        <w:rFonts w:ascii="Wingdings" w:eastAsia="Wingdings" w:hAnsi="Wingdings" w:cs="Wingdings" w:hint="default"/>
        <w:w w:val="99"/>
        <w:sz w:val="21"/>
        <w:szCs w:val="21"/>
      </w:rPr>
    </w:lvl>
    <w:lvl w:ilvl="1">
      <w:numFmt w:val="bullet"/>
      <w:lvlText w:val="•"/>
      <w:lvlJc w:val="left"/>
      <w:pPr>
        <w:ind w:left="1924" w:hanging="401"/>
      </w:pPr>
      <w:rPr>
        <w:rFonts w:hint="default"/>
      </w:rPr>
    </w:lvl>
    <w:lvl w:ilvl="2">
      <w:numFmt w:val="bullet"/>
      <w:lvlText w:val="•"/>
      <w:lvlJc w:val="left"/>
      <w:pPr>
        <w:ind w:left="2789" w:hanging="401"/>
      </w:pPr>
      <w:rPr>
        <w:rFonts w:hint="default"/>
      </w:rPr>
    </w:lvl>
    <w:lvl w:ilvl="3">
      <w:numFmt w:val="bullet"/>
      <w:lvlText w:val="•"/>
      <w:lvlJc w:val="left"/>
      <w:pPr>
        <w:ind w:left="3653" w:hanging="401"/>
      </w:pPr>
      <w:rPr>
        <w:rFonts w:hint="default"/>
      </w:rPr>
    </w:lvl>
    <w:lvl w:ilvl="4">
      <w:numFmt w:val="bullet"/>
      <w:lvlText w:val="•"/>
      <w:lvlJc w:val="left"/>
      <w:pPr>
        <w:ind w:left="4518" w:hanging="401"/>
      </w:pPr>
      <w:rPr>
        <w:rFonts w:hint="default"/>
      </w:rPr>
    </w:lvl>
    <w:lvl w:ilvl="5">
      <w:numFmt w:val="bullet"/>
      <w:lvlText w:val="•"/>
      <w:lvlJc w:val="left"/>
      <w:pPr>
        <w:ind w:left="5383" w:hanging="401"/>
      </w:pPr>
      <w:rPr>
        <w:rFonts w:hint="default"/>
      </w:rPr>
    </w:lvl>
    <w:lvl w:ilvl="6">
      <w:numFmt w:val="bullet"/>
      <w:lvlText w:val="•"/>
      <w:lvlJc w:val="left"/>
      <w:pPr>
        <w:ind w:left="6247" w:hanging="401"/>
      </w:pPr>
      <w:rPr>
        <w:rFonts w:hint="default"/>
      </w:rPr>
    </w:lvl>
    <w:lvl w:ilvl="7">
      <w:numFmt w:val="bullet"/>
      <w:lvlText w:val="•"/>
      <w:lvlJc w:val="left"/>
      <w:pPr>
        <w:ind w:left="7112" w:hanging="401"/>
      </w:pPr>
      <w:rPr>
        <w:rFonts w:hint="default"/>
      </w:rPr>
    </w:lvl>
    <w:lvl w:ilvl="8">
      <w:numFmt w:val="bullet"/>
      <w:lvlText w:val="•"/>
      <w:lvlJc w:val="left"/>
      <w:pPr>
        <w:ind w:left="7976" w:hanging="401"/>
      </w:pPr>
      <w:rPr>
        <w:rFonts w:hint="default"/>
      </w:rPr>
    </w:lvl>
  </w:abstractNum>
  <w:abstractNum w:abstractNumId="3" w15:restartNumberingAfterBreak="0">
    <w:nsid w:val="25B654F3"/>
    <w:multiLevelType w:val="multilevel"/>
    <w:tmpl w:val="25B654F3"/>
    <w:lvl w:ilvl="0">
      <w:numFmt w:val="bullet"/>
      <w:lvlText w:val=""/>
      <w:lvlJc w:val="left"/>
      <w:pPr>
        <w:ind w:left="1068" w:hanging="420"/>
      </w:pPr>
      <w:rPr>
        <w:rFonts w:ascii="Wingdings" w:eastAsia="Wingdings" w:hAnsi="Wingdings" w:cs="Wingdings" w:hint="default"/>
        <w:w w:val="99"/>
        <w:sz w:val="21"/>
        <w:szCs w:val="21"/>
      </w:rPr>
    </w:lvl>
    <w:lvl w:ilvl="1">
      <w:numFmt w:val="bullet"/>
      <w:lvlText w:val="•"/>
      <w:lvlJc w:val="left"/>
      <w:pPr>
        <w:ind w:left="1924" w:hanging="420"/>
      </w:pPr>
      <w:rPr>
        <w:rFonts w:hint="default"/>
      </w:rPr>
    </w:lvl>
    <w:lvl w:ilvl="2">
      <w:numFmt w:val="bullet"/>
      <w:lvlText w:val="•"/>
      <w:lvlJc w:val="left"/>
      <w:pPr>
        <w:ind w:left="2789" w:hanging="420"/>
      </w:pPr>
      <w:rPr>
        <w:rFonts w:hint="default"/>
      </w:rPr>
    </w:lvl>
    <w:lvl w:ilvl="3">
      <w:numFmt w:val="bullet"/>
      <w:lvlText w:val="•"/>
      <w:lvlJc w:val="left"/>
      <w:pPr>
        <w:ind w:left="3653" w:hanging="420"/>
      </w:pPr>
      <w:rPr>
        <w:rFonts w:hint="default"/>
      </w:rPr>
    </w:lvl>
    <w:lvl w:ilvl="4">
      <w:numFmt w:val="bullet"/>
      <w:lvlText w:val="•"/>
      <w:lvlJc w:val="left"/>
      <w:pPr>
        <w:ind w:left="4518" w:hanging="420"/>
      </w:pPr>
      <w:rPr>
        <w:rFonts w:hint="default"/>
      </w:rPr>
    </w:lvl>
    <w:lvl w:ilvl="5">
      <w:numFmt w:val="bullet"/>
      <w:lvlText w:val="•"/>
      <w:lvlJc w:val="left"/>
      <w:pPr>
        <w:ind w:left="5383" w:hanging="420"/>
      </w:pPr>
      <w:rPr>
        <w:rFonts w:hint="default"/>
      </w:rPr>
    </w:lvl>
    <w:lvl w:ilvl="6">
      <w:numFmt w:val="bullet"/>
      <w:lvlText w:val="•"/>
      <w:lvlJc w:val="left"/>
      <w:pPr>
        <w:ind w:left="6247" w:hanging="420"/>
      </w:pPr>
      <w:rPr>
        <w:rFonts w:hint="default"/>
      </w:rPr>
    </w:lvl>
    <w:lvl w:ilvl="7">
      <w:numFmt w:val="bullet"/>
      <w:lvlText w:val="•"/>
      <w:lvlJc w:val="left"/>
      <w:pPr>
        <w:ind w:left="7112" w:hanging="420"/>
      </w:pPr>
      <w:rPr>
        <w:rFonts w:hint="default"/>
      </w:rPr>
    </w:lvl>
    <w:lvl w:ilvl="8">
      <w:numFmt w:val="bullet"/>
      <w:lvlText w:val="•"/>
      <w:lvlJc w:val="left"/>
      <w:pPr>
        <w:ind w:left="7976" w:hanging="420"/>
      </w:pPr>
      <w:rPr>
        <w:rFonts w:hint="default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decimal"/>
      <w:lvlText w:val="%1"/>
      <w:lvlJc w:val="left"/>
      <w:pPr>
        <w:ind w:left="1068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  <w:jc w:val="left"/>
      </w:pPr>
      <w:rPr>
        <w:rFonts w:hint="default"/>
        <w:b/>
        <w:bCs/>
        <w:w w:val="100"/>
      </w:rPr>
    </w:lvl>
    <w:lvl w:ilvl="2">
      <w:numFmt w:val="bullet"/>
      <w:lvlText w:val="•"/>
      <w:lvlJc w:val="left"/>
      <w:pPr>
        <w:ind w:left="2789" w:hanging="360"/>
      </w:pPr>
      <w:rPr>
        <w:rFonts w:hint="default"/>
      </w:rPr>
    </w:lvl>
    <w:lvl w:ilvl="3">
      <w:numFmt w:val="bullet"/>
      <w:lvlText w:val="•"/>
      <w:lvlJc w:val="left"/>
      <w:pPr>
        <w:ind w:left="3653" w:hanging="360"/>
      </w:pPr>
      <w:rPr>
        <w:rFonts w:hint="default"/>
      </w:rPr>
    </w:lvl>
    <w:lvl w:ilvl="4">
      <w:numFmt w:val="bullet"/>
      <w:lvlText w:val="•"/>
      <w:lvlJc w:val="left"/>
      <w:pPr>
        <w:ind w:left="4518" w:hanging="360"/>
      </w:pPr>
      <w:rPr>
        <w:rFonts w:hint="default"/>
      </w:rPr>
    </w:lvl>
    <w:lvl w:ilvl="5">
      <w:numFmt w:val="bullet"/>
      <w:lvlText w:val="•"/>
      <w:lvlJc w:val="left"/>
      <w:pPr>
        <w:ind w:left="5383" w:hanging="360"/>
      </w:pPr>
      <w:rPr>
        <w:rFonts w:hint="default"/>
      </w:rPr>
    </w:lvl>
    <w:lvl w:ilvl="6">
      <w:numFmt w:val="bullet"/>
      <w:lvlText w:val="•"/>
      <w:lvlJc w:val="left"/>
      <w:pPr>
        <w:ind w:left="6247" w:hanging="360"/>
      </w:pPr>
      <w:rPr>
        <w:rFonts w:hint="default"/>
      </w:rPr>
    </w:lvl>
    <w:lvl w:ilvl="7">
      <w:numFmt w:val="bullet"/>
      <w:lvlText w:val="•"/>
      <w:lvlJc w:val="left"/>
      <w:pPr>
        <w:ind w:left="7112" w:hanging="360"/>
      </w:pPr>
      <w:rPr>
        <w:rFonts w:hint="default"/>
      </w:rPr>
    </w:lvl>
    <w:lvl w:ilvl="8">
      <w:numFmt w:val="bullet"/>
      <w:lvlText w:val="•"/>
      <w:lvlJc w:val="left"/>
      <w:pPr>
        <w:ind w:left="7976" w:hanging="360"/>
      </w:pPr>
      <w:rPr>
        <w:rFonts w:hint="default"/>
      </w:rPr>
    </w:lvl>
  </w:abstractNum>
  <w:abstractNum w:abstractNumId="5" w15:restartNumberingAfterBreak="0">
    <w:nsid w:val="72183CF9"/>
    <w:multiLevelType w:val="multilevel"/>
    <w:tmpl w:val="72183CF9"/>
    <w:lvl w:ilvl="0">
      <w:start w:val="1"/>
      <w:numFmt w:val="decimal"/>
      <w:lvlText w:val="[%1]"/>
      <w:lvlJc w:val="left"/>
      <w:pPr>
        <w:ind w:left="668" w:hanging="401"/>
        <w:jc w:val="left"/>
      </w:pPr>
      <w:rPr>
        <w:rFonts w:ascii="Times New Roman" w:eastAsia="Times New Roman" w:hAnsi="Times New Roman" w:cs="Times New Roman" w:hint="default"/>
        <w:w w:val="99"/>
        <w:sz w:val="21"/>
        <w:szCs w:val="21"/>
      </w:rPr>
    </w:lvl>
    <w:lvl w:ilvl="1">
      <w:numFmt w:val="bullet"/>
      <w:lvlText w:val="•"/>
      <w:lvlJc w:val="left"/>
      <w:pPr>
        <w:ind w:left="1564" w:hanging="401"/>
      </w:pPr>
      <w:rPr>
        <w:rFonts w:hint="default"/>
      </w:rPr>
    </w:lvl>
    <w:lvl w:ilvl="2">
      <w:numFmt w:val="bullet"/>
      <w:lvlText w:val="•"/>
      <w:lvlJc w:val="left"/>
      <w:pPr>
        <w:ind w:left="2469" w:hanging="401"/>
      </w:pPr>
      <w:rPr>
        <w:rFonts w:hint="default"/>
      </w:rPr>
    </w:lvl>
    <w:lvl w:ilvl="3">
      <w:numFmt w:val="bullet"/>
      <w:lvlText w:val="•"/>
      <w:lvlJc w:val="left"/>
      <w:pPr>
        <w:ind w:left="3373" w:hanging="401"/>
      </w:pPr>
      <w:rPr>
        <w:rFonts w:hint="default"/>
      </w:rPr>
    </w:lvl>
    <w:lvl w:ilvl="4">
      <w:numFmt w:val="bullet"/>
      <w:lvlText w:val="•"/>
      <w:lvlJc w:val="left"/>
      <w:pPr>
        <w:ind w:left="4278" w:hanging="401"/>
      </w:pPr>
      <w:rPr>
        <w:rFonts w:hint="default"/>
      </w:rPr>
    </w:lvl>
    <w:lvl w:ilvl="5">
      <w:numFmt w:val="bullet"/>
      <w:lvlText w:val="•"/>
      <w:lvlJc w:val="left"/>
      <w:pPr>
        <w:ind w:left="5183" w:hanging="401"/>
      </w:pPr>
      <w:rPr>
        <w:rFonts w:hint="default"/>
      </w:rPr>
    </w:lvl>
    <w:lvl w:ilvl="6">
      <w:numFmt w:val="bullet"/>
      <w:lvlText w:val="•"/>
      <w:lvlJc w:val="left"/>
      <w:pPr>
        <w:ind w:left="6087" w:hanging="401"/>
      </w:pPr>
      <w:rPr>
        <w:rFonts w:hint="default"/>
      </w:rPr>
    </w:lvl>
    <w:lvl w:ilvl="7">
      <w:numFmt w:val="bullet"/>
      <w:lvlText w:val="•"/>
      <w:lvlJc w:val="left"/>
      <w:pPr>
        <w:ind w:left="6992" w:hanging="401"/>
      </w:pPr>
      <w:rPr>
        <w:rFonts w:hint="default"/>
      </w:rPr>
    </w:lvl>
    <w:lvl w:ilvl="8">
      <w:numFmt w:val="bullet"/>
      <w:lvlText w:val="•"/>
      <w:lvlJc w:val="left"/>
      <w:pPr>
        <w:ind w:left="7896" w:hanging="401"/>
      </w:pPr>
      <w:rPr>
        <w:rFonts w:hint="default"/>
      </w:rPr>
    </w:lvl>
  </w:abstractNum>
  <w:num w:numId="1" w16cid:durableId="1513105304">
    <w:abstractNumId w:val="1"/>
  </w:num>
  <w:num w:numId="2" w16cid:durableId="1882783980">
    <w:abstractNumId w:val="4"/>
  </w:num>
  <w:num w:numId="3" w16cid:durableId="1482236440">
    <w:abstractNumId w:val="0"/>
  </w:num>
  <w:num w:numId="4" w16cid:durableId="1055353331">
    <w:abstractNumId w:val="2"/>
  </w:num>
  <w:num w:numId="5" w16cid:durableId="864098971">
    <w:abstractNumId w:val="3"/>
  </w:num>
  <w:num w:numId="6" w16cid:durableId="10690359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5B5"/>
    <w:rsid w:val="00034787"/>
    <w:rsid w:val="002A7713"/>
    <w:rsid w:val="00315E96"/>
    <w:rsid w:val="0059127F"/>
    <w:rsid w:val="008E439A"/>
    <w:rsid w:val="009E7EA5"/>
    <w:rsid w:val="00C016EA"/>
    <w:rsid w:val="00CB05B5"/>
    <w:rsid w:val="29FB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B24EBF0"/>
  <w15:docId w15:val="{14EB2E50-2AC1-4645-9896-83CD87396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80" w:line="288" w:lineRule="auto"/>
      <w:ind w:firstLine="480"/>
      <w:jc w:val="both"/>
    </w:pPr>
    <w:rPr>
      <w:color w:val="000000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rFonts w:ascii="Noto Sans CJK JP Regular" w:eastAsia="Noto Sans CJK JP Regular" w:hAnsi="Noto Sans CJK JP Regular" w:cs="Noto Sans CJK JP Regular"/>
      <w:szCs w:val="21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正文文本 字符"/>
    <w:basedOn w:val="a0"/>
    <w:link w:val="a3"/>
    <w:uiPriority w:val="1"/>
    <w:qFormat/>
    <w:rPr>
      <w:rFonts w:ascii="Noto Sans CJK JP Regular" w:eastAsia="Noto Sans CJK JP Regular" w:hAnsi="Noto Sans CJK JP Regular" w:cs="Noto Sans CJK JP Regular"/>
      <w:szCs w:val="21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1">
    <w:name w:val="标题1"/>
    <w:pPr>
      <w:keepNext/>
      <w:keepLines/>
      <w:spacing w:before="240" w:after="160" w:line="288" w:lineRule="auto"/>
      <w:jc w:val="center"/>
    </w:pPr>
    <w:rPr>
      <w:rFonts w:ascii="Times New Roman" w:eastAsia="楷体" w:hAnsi="Times New Roman"/>
      <w:color w:val="000000"/>
      <w:sz w:val="44"/>
    </w:rPr>
  </w:style>
  <w:style w:type="paragraph" w:customStyle="1" w:styleId="11">
    <w:name w:val="标题 11"/>
    <w:pPr>
      <w:keepNext/>
      <w:keepLines/>
      <w:spacing w:before="240" w:after="160" w:line="288" w:lineRule="auto"/>
      <w:jc w:val="center"/>
    </w:pPr>
    <w:rPr>
      <w:rFonts w:ascii="Times New Roman" w:eastAsia="楷体" w:hAnsi="Times New Roman"/>
      <w:color w:val="000000"/>
      <w:sz w:val="32"/>
    </w:rPr>
  </w:style>
  <w:style w:type="paragraph" w:customStyle="1" w:styleId="21">
    <w:name w:val="标题 21"/>
    <w:pPr>
      <w:keepNext/>
      <w:keepLines/>
      <w:spacing w:before="240" w:after="160" w:line="288" w:lineRule="auto"/>
    </w:pPr>
    <w:rPr>
      <w:rFonts w:ascii="Times New Roman" w:eastAsia="楷体" w:hAnsi="Times New Roman"/>
      <w:color w:val="000000"/>
      <w:sz w:val="28"/>
    </w:rPr>
  </w:style>
  <w:style w:type="paragraph" w:customStyle="1" w:styleId="ReportCaption">
    <w:name w:val="Report Caption"/>
    <w:pPr>
      <w:spacing w:after="80" w:line="288" w:lineRule="auto"/>
      <w:jc w:val="center"/>
    </w:pPr>
    <w:rPr>
      <w:rFonts w:ascii="Times New Roman" w:eastAsia="楷体" w:hAnsi="Times New Roman"/>
      <w:color w:val="000000"/>
      <w:sz w:val="21"/>
    </w:rPr>
  </w:style>
  <w:style w:type="paragraph" w:customStyle="1" w:styleId="ReportNote">
    <w:name w:val="Report Note"/>
    <w:pPr>
      <w:spacing w:after="80" w:line="288" w:lineRule="auto"/>
    </w:pPr>
    <w:rPr>
      <w:rFonts w:ascii="Times New Roman" w:eastAsia="楷体" w:hAnsi="Times New Roman"/>
      <w:color w:val="000000"/>
      <w:sz w:val="21"/>
    </w:rPr>
  </w:style>
  <w:style w:type="paragraph" w:customStyle="1" w:styleId="ReportEquation">
    <w:name w:val="Report Equation"/>
    <w:pPr>
      <w:spacing w:after="80" w:line="288" w:lineRule="auto"/>
    </w:pPr>
    <w:rPr>
      <w:rFonts w:ascii="Times New Roman" w:eastAsia="楷体" w:hAnsi="Times New Roman"/>
      <w:color w:val="000000"/>
      <w:sz w:val="22"/>
    </w:rPr>
  </w:style>
  <w:style w:type="paragraph" w:customStyle="1" w:styleId="ReportReference">
    <w:name w:val="Report Reference"/>
    <w:pPr>
      <w:spacing w:after="80" w:line="288" w:lineRule="auto"/>
      <w:ind w:hanging="360"/>
    </w:pPr>
    <w:rPr>
      <w:rFonts w:ascii="Times New Roman" w:eastAsia="楷体" w:hAnsi="Times New Roman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d9w/WindFLO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openresearch.surrey.ac.uk/esploro/outputs/journalArticle/Efficient-Large-Scale-Multi-Objective-Optimization-Based-on/99513938402346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orbit.dtu.dk/en/publications/a-simple-model-for-cluster-efficiency/" TargetMode="External"/><Relationship Id="rId25" Type="http://schemas.openxmlformats.org/officeDocument/2006/relationships/hyperlink" Target="https://www.jstor.org/stable/461573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orbit.dtu.dk/en/publications/a-note-on-wind-generator-interaction/" TargetMode="External"/><Relationship Id="rId20" Type="http://schemas.openxmlformats.org/officeDocument/2006/relationships/hyperlink" Target="https://ieeexplore.ieee.org/document/6557903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tik-old.ee.ethz.ch/db/public/tik/?db=publications&amp;form=report_single_publication&amp;publication_id=104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BIMK/PlatEMO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research-hub.nlr.gov/en/publications/2022-cost-of-wind-energy-review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research.polyu.edu.hk/en/publications/adaptive-offspring-generation-for-evolutionary-large-scale-multio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7095</Words>
  <Characters>9437</Characters>
  <Application>Microsoft Office Word</Application>
  <DocSecurity>0</DocSecurity>
  <Lines>410</Lines>
  <Paragraphs>403</Paragraphs>
  <ScaleCrop>false</ScaleCrop>
  <Company/>
  <LinksUpToDate>false</LinksUpToDate>
  <CharactersWithSpaces>16129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考虑位置禁布约束的大规模多目标风电场布局优化 课题研究汇报书</dc:title>
  <dc:subject>风电场三目标建模与改进算法的180次正式实验汇报</dc:subject>
  <dc:creator/>
  <cp:keywords>风电场布局;位置禁布约束;多目标优化</cp:keywords>
  <dc:description/>
  <cp:lastModifiedBy>磊 钟</cp:lastModifiedBy>
  <cp:revision>3</cp:revision>
  <dcterms:created xsi:type="dcterms:W3CDTF">2020-03-01T13:26:00Z</dcterms:created>
  <dcterms:modified xsi:type="dcterms:W3CDTF">2026-10-26T02:55:00Z</dcterms:modified>
</cp:coreProperties>
</file>