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2.png" ContentType="image/png"/>
  <Override PartName="/word/media/rId369.png" ContentType="image/png"/>
  <Override PartName="/word/media/rId379.png" ContentType="image/png"/>
  <Override PartName="/word/media/rId388.png" ContentType="image/png"/>
  <Override PartName="/word/media/rId385.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1.png" ContentType="image/png"/>
  <Override PartName="/word/media/rId348.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bl>
    <w:p>
      <w:pPr>
        <w:pStyle w:val="Heading2"/>
      </w:pPr>
      <w:bookmarkStart w:id="295" w:name="结语"/>
      <w:r>
        <w:t xml:space="preserve">结语</w:t>
      </w:r>
      <w:bookmarkEnd w:id="295"/>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6" w:name="第十一部分-高阶方法"/>
      <w:r>
        <w:t xml:space="preserve">第十一部分　高阶方法</w:t>
      </w:r>
      <w:bookmarkEnd w:id="296"/>
    </w:p>
    <w:p>
      <w:pPr>
        <w:pStyle w:val="Heading2"/>
      </w:pPr>
      <w:bookmarkStart w:id="297" w:name="第14章-高阶方法与实现细节"/>
      <w:r>
        <w:t xml:space="preserve">第14章　高阶方法与实现细节</w:t>
      </w:r>
      <w:bookmarkEnd w:id="297"/>
    </w:p>
    <w:p>
      <w:pPr>
        <w:pStyle w:val="Heading3"/>
      </w:pPr>
      <w:bookmarkStart w:id="298" w:name="krylov-子空间方法"/>
      <w:r>
        <w:t xml:space="preserve">14.1　Krylov 子空间方法</w:t>
      </w:r>
      <w:bookmarkEnd w:id="298"/>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9" w:name="高阶分裂算符"/>
      <w:r>
        <w:t xml:space="preserve">14.2　高阶分裂算符</w:t>
      </w:r>
      <w:bookmarkEnd w:id="299"/>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0" w:name="稀疏矩阵与存储策略"/>
      <w:r>
        <w:t xml:space="preserve">14.3　稀疏矩阵与存储策略</w:t>
      </w:r>
      <w:bookmarkEnd w:id="300"/>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301" w:name="张量分解与高维问题"/>
      <w:r>
        <w:t xml:space="preserve">14.4　张量分解与高维问题</w:t>
      </w:r>
      <w:bookmarkEnd w:id="301"/>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2" w:name="多通道散射的匹配与渐近展开"/>
      <w:r>
        <w:t xml:space="preserve">14.5　多通道散射的匹配与渐近展开</w:t>
      </w:r>
      <w:bookmarkEnd w:id="302"/>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3" w:name="分段网格的误差控制"/>
      <w:r>
        <w:t xml:space="preserve">14.6　分段网格的误差控制</w:t>
      </w:r>
      <w:bookmarkEnd w:id="303"/>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4" w:name="fssh-的统计误差"/>
      <w:r>
        <w:t xml:space="preserve">14.7　FSSH 的统计误差</w:t>
      </w:r>
      <w:bookmarkEnd w:id="304"/>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5" w:name="开放系统的谱方法"/>
      <w:r>
        <w:t xml:space="preserve">14.8　开放系统的谱方法</w:t>
      </w:r>
      <w:bookmarkEnd w:id="305"/>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6" w:name="量子控制中的约束"/>
      <w:r>
        <w:t xml:space="preserve">14.9　量子控制中的约束</w:t>
      </w:r>
      <w:bookmarkEnd w:id="306"/>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7" w:name="数值实验建议"/>
      <w:r>
        <w:t xml:space="preserve">14.10　数值实验建议</w:t>
      </w:r>
      <w:bookmarkEnd w:id="307"/>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8" w:name="参考文献-5"/>
      <w:r>
        <w:t xml:space="preserve">14.11　参考文献</w:t>
      </w:r>
      <w:bookmarkEnd w:id="308"/>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9" w:name="第15章-基础代码能力与缺口"/>
      <w:r>
        <w:t xml:space="preserve">第15章　基础代码能力与缺口</w:t>
      </w:r>
      <w:bookmarkEnd w:id="309"/>
    </w:p>
    <w:p>
      <w:pPr>
        <w:pStyle w:val="Heading3"/>
      </w:pPr>
      <w:bookmarkStart w:id="310" w:name="能力分层"/>
      <w:r>
        <w:t xml:space="preserve">15.1　能力分层</w:t>
      </w:r>
      <w:bookmarkEnd w:id="310"/>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1" w:name="数值类型与常数模块"/>
      <w:r>
        <w:t xml:space="preserve">15.2　数值类型与常数模块</w:t>
      </w:r>
      <w:bookmarkEnd w:id="311"/>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2" w:name="已有能力"/>
      <w:r>
        <w:t xml:space="preserve">已有能力</w:t>
      </w:r>
      <w:bookmarkEnd w:id="312"/>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13" w:name="已知限制"/>
      <w:r>
        <w:t xml:space="preserve">已知限制</w:t>
      </w:r>
      <w:bookmarkEnd w:id="313"/>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14" w:name="建议的改进"/>
      <w:r>
        <w:t xml:space="preserve">建议的改进</w:t>
      </w:r>
      <w:bookmarkEnd w:id="314"/>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5" w:name="对应源码-34"/>
      <w:r>
        <w:t xml:space="preserve">对应源码</w:t>
      </w:r>
      <w:bookmarkEnd w:id="315"/>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特殊函数与角动量代数"/>
      <w:r>
        <w:t xml:space="preserve">15.3　特殊函数与角动量代数</w:t>
      </w:r>
      <w:bookmarkEnd w:id="316"/>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7" w:name="已有能力-1"/>
      <w:r>
        <w:t xml:space="preserve">已有能力</w:t>
      </w:r>
      <w:bookmarkEnd w:id="317"/>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8" w:name="已知限制-1"/>
      <w:r>
        <w:t xml:space="preserve">已知限制</w:t>
      </w:r>
      <w:bookmarkEnd w:id="318"/>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9" w:name="建议的改进-1"/>
      <w:r>
        <w:t xml:space="preserve">建议的改进</w:t>
      </w:r>
      <w:bookmarkEnd w:id="319"/>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0" w:name="对应源码-35"/>
      <w:r>
        <w:t xml:space="preserve">对应源码</w:t>
      </w:r>
      <w:bookmarkEnd w:id="320"/>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稠密线性代数"/>
      <w:r>
        <w:t xml:space="preserve">15.4　稠密线性代数</w:t>
      </w:r>
      <w:bookmarkEnd w:id="321"/>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2" w:name="已有能力-2"/>
      <w:r>
        <w:t xml:space="preserve">已有能力</w:t>
      </w:r>
      <w:bookmarkEnd w:id="322"/>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23" w:name="已知限制-2"/>
      <w:r>
        <w:t xml:space="preserve">已知限制</w:t>
      </w:r>
      <w:bookmarkEnd w:id="323"/>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24" w:name="建议的改进-2"/>
      <w:r>
        <w:t xml:space="preserve">建议的改进</w:t>
      </w:r>
      <w:bookmarkEnd w:id="324"/>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5" w:name="对应源码-36"/>
      <w:r>
        <w:t xml:space="preserve">对应源码</w:t>
      </w:r>
      <w:bookmarkEnd w:id="325"/>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fft-与谱计算"/>
      <w:r>
        <w:t xml:space="preserve">15.5　FFT 与谱计算</w:t>
      </w:r>
      <w:bookmarkEnd w:id="326"/>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7" w:name="已有能力-3"/>
      <w:r>
        <w:t xml:space="preserve">已有能力</w:t>
      </w:r>
      <w:bookmarkEnd w:id="327"/>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8" w:name="已知限制-3"/>
      <w:r>
        <w:t xml:space="preserve">已知限制</w:t>
      </w:r>
      <w:bookmarkEnd w:id="328"/>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9" w:name="建议的测试"/>
      <w:r>
        <w:t xml:space="preserve">建议的测试</w:t>
      </w:r>
      <w:bookmarkEnd w:id="329"/>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0" w:name="dvr-与网格能力"/>
      <w:r>
        <w:t xml:space="preserve">15.6　DVR 与网格能力</w:t>
      </w:r>
      <w:bookmarkEnd w:id="330"/>
    </w:p>
    <w:p>
      <w:pPr>
        <w:pStyle w:val="FirstParagraph"/>
      </w:pPr>
      <w:r>
        <w:rPr>
          <w:rStyle w:val="VerbatimChar"/>
        </w:rPr>
        <w:t xml:space="preserve">mod_dvr_grid</w:t>
      </w:r>
      <w:r>
        <w:t xml:space="preserve"> </w:t>
      </w:r>
      <w:r>
        <w:t xml:space="preserve">提供一维 Sinc-DVR、Legendre-DVR 和 FGH。</w:t>
      </w:r>
    </w:p>
    <w:p>
      <w:pPr>
        <w:pStyle w:val="Heading4"/>
      </w:pPr>
      <w:bookmarkStart w:id="331" w:name="已有能力-4"/>
      <w:r>
        <w:t xml:space="preserve">已有能力</w:t>
      </w:r>
      <w:bookmarkEnd w:id="331"/>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32" w:name="已知限制-4"/>
      <w:r>
        <w:t xml:space="preserve">已知限制</w:t>
      </w:r>
      <w:bookmarkEnd w:id="332"/>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33" w:name="建议的改进-3"/>
      <w:r>
        <w:t xml:space="preserve">建议的改进</w:t>
      </w:r>
      <w:bookmarkEnd w:id="333"/>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4" w:name="对应源码-37"/>
      <w:r>
        <w:t xml:space="preserve">对应源码</w:t>
      </w:r>
      <w:bookmarkEnd w:id="334"/>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5" w:name="插值与势能面预处理"/>
      <w:r>
        <w:t xml:space="preserve">15.7　插值与势能面预处理</w:t>
      </w:r>
      <w:bookmarkEnd w:id="335"/>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6" w:name="已有能力-5"/>
      <w:r>
        <w:t xml:space="preserve">已有能力</w:t>
      </w:r>
      <w:bookmarkEnd w:id="336"/>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7" w:name="已知限制-5"/>
      <w:r>
        <w:t xml:space="preserve">已知限制</w:t>
      </w:r>
      <w:bookmarkEnd w:id="337"/>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8" w:name="建议的改进-4"/>
      <w:r>
        <w:t xml:space="preserve">建议的改进</w:t>
      </w:r>
      <w:bookmarkEnd w:id="338"/>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9" w:name="对应源码-38"/>
      <w:r>
        <w:t xml:space="preserve">对应源码</w:t>
      </w:r>
      <w:bookmarkEnd w:id="339"/>
    </w:p>
    <w:p>
      <w:pPr>
        <w:numPr>
          <w:ilvl w:val="0"/>
          <w:numId w:val="1132"/>
        </w:numPr>
        <w:pStyle w:val="Compact"/>
      </w:pPr>
      <w:hyperlink r:id="rId340">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2" w:name="数据-io"/>
      <w:r>
        <w:t xml:space="preserve">15.8　数据 I/O</w:t>
      </w:r>
      <w:bookmarkEnd w:id="342"/>
    </w:p>
    <w:p>
      <w:pPr>
        <w:pStyle w:val="FirstParagraph"/>
      </w:pPr>
      <w:r>
        <w:rPr>
          <w:rStyle w:val="VerbatimChar"/>
        </w:rPr>
        <w:t xml:space="preserve">mod_io_utils</w:t>
      </w:r>
      <w:r>
        <w:t xml:space="preserve"> </w:t>
      </w:r>
      <w:r>
        <w:t xml:space="preserve">提供文本表和矩阵输出。</w:t>
      </w:r>
    </w:p>
    <w:p>
      <w:pPr>
        <w:pStyle w:val="Heading4"/>
      </w:pPr>
      <w:bookmarkStart w:id="343" w:name="已有能力-6"/>
      <w:r>
        <w:t xml:space="preserve">已有能力</w:t>
      </w:r>
      <w:bookmarkEnd w:id="343"/>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44" w:name="已知限制-6"/>
      <w:r>
        <w:t xml:space="preserve">已知限制</w:t>
      </w:r>
      <w:bookmarkEnd w:id="344"/>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5" w:name="建议的改进-5"/>
      <w:r>
        <w:t xml:space="preserve">建议的改进</w:t>
      </w:r>
      <w:bookmarkEnd w:id="345"/>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6" w:name="对应源码-39"/>
      <w:r>
        <w:t xml:space="preserve">对应源码</w:t>
      </w:r>
      <w:bookmarkEnd w:id="346"/>
    </w:p>
    <w:p>
      <w:pPr>
        <w:numPr>
          <w:ilvl w:val="0"/>
          <w:numId w:val="1135"/>
        </w:numPr>
        <w:pStyle w:val="Compact"/>
      </w:pPr>
      <w:hyperlink r:id="rId347">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测试与构建能力"/>
      <w:r>
        <w:t xml:space="preserve">15.9　测试与构建能力</w:t>
      </w:r>
      <w:bookmarkEnd w:id="349"/>
    </w:p>
    <w:p>
      <w:pPr>
        <w:pStyle w:val="FirstParagraph"/>
      </w:pPr>
      <w:r>
        <w:t xml:space="preserve">项目当前有自实现测试和三套构建入口。</w:t>
      </w:r>
    </w:p>
    <w:p>
      <w:pPr>
        <w:pStyle w:val="Heading4"/>
      </w:pPr>
      <w:bookmarkStart w:id="350" w:name="已有能力-7"/>
      <w:r>
        <w:t xml:space="preserve">已有能力</w:t>
      </w:r>
      <w:bookmarkEnd w:id="350"/>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51" w:name="已知限制-7"/>
      <w:r>
        <w:t xml:space="preserve">已知限制</w:t>
      </w:r>
      <w:bookmarkEnd w:id="351"/>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52" w:name="建议的断言接口"/>
      <w:r>
        <w:t xml:space="preserve">建议的断言接口</w:t>
      </w:r>
      <w:bookmarkEnd w:id="352"/>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3" w:name="对应源码-40"/>
      <w:r>
        <w:t xml:space="preserve">对应源码</w:t>
      </w:r>
      <w:bookmarkEnd w:id="353"/>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基础能力缺口汇总"/>
      <w:r>
        <w:t xml:space="preserve">15.10　基础能力缺口汇总</w:t>
      </w:r>
      <w:bookmarkEnd w:id="354"/>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5" w:name="最小扩展路线"/>
      <w:r>
        <w:t xml:space="preserve">15.11　最小扩展路线</w:t>
      </w:r>
      <w:bookmarkEnd w:id="355"/>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6" w:name="参考文献-6"/>
      <w:r>
        <w:t xml:space="preserve">15.12　参考文献</w:t>
      </w:r>
      <w:bookmarkEnd w:id="356"/>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7" w:name="第16章-理论核查记录"/>
      <w:r>
        <w:t xml:space="preserve">第16章　理论核查记录</w:t>
      </w:r>
      <w:bookmarkEnd w:id="357"/>
    </w:p>
    <w:p>
      <w:pPr>
        <w:pStyle w:val="Heading3"/>
      </w:pPr>
      <w:bookmarkStart w:id="358" w:name="核查方法"/>
      <w:r>
        <w:t xml:space="preserve">16.1　核查方法</w:t>
      </w:r>
      <w:bookmarkEnd w:id="358"/>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9" w:name="已修正的错误"/>
      <w:r>
        <w:t xml:space="preserve">16.2　已修正的错误</w:t>
      </w:r>
      <w:bookmarkEnd w:id="35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0" w:name="复核通过的核心结果"/>
      <w:r>
        <w:t xml:space="preserve">16.3　复核通过的核心结果</w:t>
      </w:r>
      <w:bookmarkEnd w:id="360"/>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1" w:name="数值验收"/>
      <w:r>
        <w:t xml:space="preserve">16.4　数值验收</w:t>
      </w:r>
      <w:bookmarkEnd w:id="361"/>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3"/>
      </w:pPr>
      <w:bookmarkStart w:id="362" w:name="qct-与高维章节核查"/>
      <w:r>
        <w:t xml:space="preserve">16.5　QCT 与高维章节核查</w:t>
      </w:r>
      <w:bookmarkEnd w:id="362"/>
    </w:p>
    <w:p>
      <w:pPr>
        <w:pStyle w:val="FirstParagraph"/>
      </w:pPr>
      <w:r>
        <w:t xml:space="preserve">新增的第 17、18 章按公式逐项核查：</w:t>
      </w:r>
    </w:p>
    <w:p>
      <w:pPr>
        <w:numPr>
          <w:ilvl w:val="0"/>
          <w:numId w:val="1145"/>
        </w:numPr>
        <w:pStyle w:val="Compact"/>
      </w:pPr>
      <w:r>
        <w:t xml:space="preserve">QCT 的 Hamilton 方程、Velocity-Verlet、不透明度函数和 Monte Carlo 截面估计一致；</w:t>
      </w:r>
    </w:p>
    <w:p>
      <w:pPr>
        <w:numPr>
          <w:ilvl w:val="0"/>
          <w:numId w:val="1145"/>
        </w:numPr>
        <w:pStyle w:val="Compact"/>
      </w:pPr>
      <w:r>
        <w:t xml:space="preserve">态到态截面公式要求碰撞参数在圆盘内均匀抽样；</w:t>
      </w:r>
    </w:p>
    <w:p>
      <w:pPr>
        <w:numPr>
          <w:ilvl w:val="0"/>
          <w:numId w:val="1145"/>
        </w:numPr>
        <w:pStyle w:val="Compact"/>
      </w:pPr>
      <w:r>
        <w:t xml:space="preserve">微分散射截面已补充多分支 rainbow 求和和端点处理说明；</w:t>
      </w:r>
    </w:p>
    <w:p>
      <w:pPr>
        <w:numPr>
          <w:ilvl w:val="0"/>
          <w:numId w:val="1145"/>
        </w:numPr>
        <w:pStyle w:val="Compact"/>
      </w:pPr>
      <w:r>
        <w:t xml:space="preserve">EBK/WKB 作用量指认已明确为近似，不适用于所有 Morse 体系的精确恒等式；</w:t>
      </w:r>
    </w:p>
    <w:p>
      <w:pPr>
        <w:numPr>
          <w:ilvl w:val="0"/>
          <w:numId w:val="1145"/>
        </w:numPr>
        <w:pStyle w:val="Compact"/>
      </w:pPr>
      <w:r>
        <w:t xml:space="preserve">MCTDH 的 SPF 方程已补充规范自由度与密度矩阵伪逆/正则化说明；</w:t>
      </w:r>
    </w:p>
    <w:p>
      <w:pPr>
        <w:numPr>
          <w:ilvl w:val="0"/>
          <w:numId w:val="1145"/>
        </w:numPr>
        <w:pStyle w:val="Compact"/>
      </w:pPr>
      <w:r>
        <w:t xml:space="preserve">TT/MPS 存储复杂度已补充变键维表达式；</w:t>
      </w:r>
    </w:p>
    <w:p>
      <w:pPr>
        <w:numPr>
          <w:ilvl w:val="0"/>
          <w:numId w:val="1145"/>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27 项单元测试覆盖下列不变量：</w:t>
      </w:r>
    </w:p>
    <w:p>
      <w:pPr>
        <w:numPr>
          <w:ilvl w:val="0"/>
          <w:numId w:val="1146"/>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6"/>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6"/>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6"/>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6"/>
        </w:numPr>
        <w:pStyle w:val="Compact"/>
      </w:pPr>
      <w:r>
        <w:t xml:space="preserve">POTFIT/TT-SVD 重构误差满足给定容差；</w:t>
      </w:r>
    </w:p>
    <w:p>
      <w:pPr>
        <w:numPr>
          <w:ilvl w:val="0"/>
          <w:numId w:val="1146"/>
        </w:numPr>
        <w:pStyle w:val="Compact"/>
      </w:pPr>
      <w:r>
        <w:t xml:space="preserve">Smolyak 网格的系数形式与差分形式逐点一致，常数积分精确；</w:t>
      </w:r>
    </w:p>
    <w:p>
      <w:pPr>
        <w:numPr>
          <w:ilvl w:val="0"/>
          <w:numId w:val="1146"/>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 </w:t>
      </w:r>
      <w:r>
        <w:t xml:space="preserve">与四个高维模块仍在第 12 章路线图中；</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3" w:name="第十四部分-qct-动力学与高维量子扩展"/>
      <w:r>
        <w:t xml:space="preserve">第十四部分　QCT 动力学与高维量子扩展</w:t>
      </w:r>
      <w:bookmarkEnd w:id="363"/>
    </w:p>
    <w:p>
      <w:pPr>
        <w:pStyle w:val="Heading2"/>
      </w:pPr>
      <w:bookmarkStart w:id="364" w:name="第17章-准经典轨迹动力学"/>
      <w:r>
        <w:t xml:space="preserve">第17章　准经典轨迹动力学</w:t>
      </w:r>
      <w:bookmarkEnd w:id="364"/>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65" w:name="经典哈密顿方程"/>
      <w:r>
        <w:t xml:space="preserve">17.1　经典哈密顿方程</w:t>
      </w:r>
      <w:bookmarkEnd w:id="365"/>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6" w:name="初始条件与量子态指认"/>
      <w:r>
        <w:t xml:space="preserve">17.2　初始条件与量子态指认</w:t>
      </w:r>
      <w:bookmarkEnd w:id="366"/>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7"/>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7"/>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7"/>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7"/>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7" w:name="轨迹积分"/>
      <w:r>
        <w:t xml:space="preserve">17.3　轨迹积分</w:t>
      </w:r>
      <w:bookmarkEnd w:id="367"/>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68" w:name="对应源码-41"/>
      <w:r>
        <w:t xml:space="preserve">对应源码</w:t>
      </w:r>
      <w:bookmarkEnd w:id="368"/>
    </w:p>
    <w:p>
      <w:pPr>
        <w:numPr>
          <w:ilvl w:val="0"/>
          <w:numId w:val="1148"/>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8"/>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0" w:name="终态分类与截面"/>
      <w:r>
        <w:t xml:space="preserve">17.4　终态分类与截面</w:t>
      </w:r>
      <w:bookmarkEnd w:id="370"/>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9"/>
        </w:numPr>
        <w:pStyle w:val="Compact"/>
      </w:pPr>
      <w:r>
        <w:rPr>
          <w:b/>
        </w:rPr>
        <w:t xml:space="preserve">直方图分箱</w:t>
      </w:r>
      <w:r>
        <w:t xml:space="preserve">：把最终内能和角动量四舍五入到最近量子态；</w:t>
      </w:r>
    </w:p>
    <w:p>
      <w:pPr>
        <w:numPr>
          <w:ilvl w:val="0"/>
          <w:numId w:val="1149"/>
        </w:numPr>
        <w:pStyle w:val="Compact"/>
      </w:pPr>
      <w:r>
        <w:rPr>
          <w:b/>
        </w:rPr>
        <w:t xml:space="preserve">高斯分箱</w:t>
      </w:r>
      <w:r>
        <w:t xml:space="preserve">：以轨迹到量子能级的高斯权重计入邻近态；</w:t>
      </w:r>
    </w:p>
    <w:p>
      <w:pPr>
        <w:numPr>
          <w:ilvl w:val="0"/>
          <w:numId w:val="1149"/>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1" w:name="统计误差与系综收敛"/>
      <w:r>
        <w:t xml:space="preserve">17.5　统计误差与系综收敛</w:t>
      </w:r>
      <w:bookmarkEnd w:id="371"/>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0"/>
        </w:numPr>
        <w:pStyle w:val="Compact"/>
      </w:pPr>
      <m:oMath>
        <m:sSub>
          <m:e>
            <m:r>
              <m:t>b</m:t>
            </m:r>
          </m:e>
          <m:sub>
            <m:r>
              <m:rPr>
                <m:nor/>
                <m:sty m:val="p"/>
              </m:rPr>
              <m:t>max</m:t>
            </m:r>
          </m:sub>
        </m:sSub>
      </m:oMath>
      <w:r>
        <w:t xml:space="preserve"> </w:t>
      </w:r>
      <w:r>
        <w:t xml:space="preserve">收敛；</w:t>
      </w:r>
    </w:p>
    <w:p>
      <w:pPr>
        <w:numPr>
          <w:ilvl w:val="0"/>
          <w:numId w:val="1150"/>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0"/>
        </w:numPr>
        <w:pStyle w:val="Compact"/>
      </w:pPr>
      <w:r>
        <w:t xml:space="preserve">时间步长</w:t>
      </w:r>
      <w:r>
        <w:t xml:space="preserve"> </w:t>
      </w:r>
      <m:oMath>
        <m:r>
          <m:t>Δ</m:t>
        </m:r>
        <m:r>
          <m:t>t</m:t>
        </m:r>
      </m:oMath>
      <w:r>
        <w:t xml:space="preserve"> </w:t>
      </w:r>
      <w:r>
        <w:t xml:space="preserve">收敛；</w:t>
      </w:r>
    </w:p>
    <w:p>
      <w:pPr>
        <w:numPr>
          <w:ilvl w:val="0"/>
          <w:numId w:val="1150"/>
        </w:numPr>
        <w:pStyle w:val="Compact"/>
      </w:pPr>
      <w:r>
        <w:t xml:space="preserve">终态判据</w:t>
      </w:r>
      <w:r>
        <w:t xml:space="preserve"> </w:t>
      </w:r>
      <m:oMath>
        <m:sSub>
          <m:e>
            <m:r>
              <m:t>R</m:t>
            </m:r>
          </m:e>
          <m:sub>
            <m:r>
              <m:t>∞</m:t>
            </m:r>
          </m:sub>
        </m:sSub>
      </m:oMath>
      <w:r>
        <w:t xml:space="preserve"> </w:t>
      </w:r>
      <w:r>
        <w:t xml:space="preserve">收敛；</w:t>
      </w:r>
    </w:p>
    <w:p>
      <w:pPr>
        <w:numPr>
          <w:ilvl w:val="0"/>
          <w:numId w:val="1150"/>
        </w:numPr>
        <w:pStyle w:val="Compact"/>
      </w:pPr>
      <w:r>
        <w:t xml:space="preserve">分箱方法收敛；</w:t>
      </w:r>
    </w:p>
    <w:p>
      <w:pPr>
        <w:numPr>
          <w:ilvl w:val="0"/>
          <w:numId w:val="1150"/>
        </w:numPr>
        <w:pStyle w:val="Compact"/>
      </w:pPr>
      <w:r>
        <w:t xml:space="preserve">随机数种子敏感性；</w:t>
      </w:r>
    </w:p>
    <w:p>
      <w:pPr>
        <w:numPr>
          <w:ilvl w:val="0"/>
          <w:numId w:val="1150"/>
        </w:numPr>
        <w:pStyle w:val="Compact"/>
      </w:pPr>
      <w:r>
        <w:t xml:space="preserve">总能量、总角动量守恒。</w:t>
      </w:r>
    </w:p>
    <w:p>
      <w:pPr>
        <w:pStyle w:val="Heading3"/>
      </w:pPr>
      <w:bookmarkStart w:id="372" w:name="零点能泄漏与修正"/>
      <w:r>
        <w:t xml:space="preserve">17.6　零点能泄漏与修正</w:t>
      </w:r>
      <w:bookmarkEnd w:id="372"/>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3" w:name="qct-与表面跳跃的关系"/>
      <w:r>
        <w:t xml:space="preserve">17.7　QCT 与表面跳跃的关系</w:t>
      </w:r>
      <w:bookmarkEnd w:id="373"/>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4" w:name="推荐模块接口"/>
      <w:r>
        <w:t xml:space="preserve">17.8　推荐模块接口</w:t>
      </w:r>
      <w:bookmarkEnd w:id="374"/>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1"/>
        </w:numPr>
        <w:pStyle w:val="Compact"/>
      </w:pPr>
      <w:r>
        <w:t xml:space="preserve">一维势能面：</w:t>
      </w:r>
      <w:r>
        <w:rPr>
          <w:rStyle w:val="VerbatimChar"/>
        </w:rPr>
        <w:t xml:space="preserve">mod_interpolation</w:t>
      </w:r>
      <w:r>
        <w:t xml:space="preserve">；</w:t>
      </w:r>
    </w:p>
    <w:p>
      <w:pPr>
        <w:numPr>
          <w:ilvl w:val="0"/>
          <w:numId w:val="1151"/>
        </w:numPr>
        <w:pStyle w:val="Compact"/>
      </w:pPr>
      <w:r>
        <w:t xml:space="preserve">多维解析势能面：新模块</w:t>
      </w:r>
      <w:r>
        <w:t xml:space="preserve"> </w:t>
      </w:r>
      <w:r>
        <w:rPr>
          <w:rStyle w:val="VerbatimChar"/>
        </w:rPr>
        <w:t xml:space="preserve">mod_pes_surface</w:t>
      </w:r>
      <w:r>
        <w:t xml:space="preserve">；</w:t>
      </w:r>
    </w:p>
    <w:p>
      <w:pPr>
        <w:numPr>
          <w:ilvl w:val="0"/>
          <w:numId w:val="1151"/>
        </w:numPr>
        <w:pStyle w:val="Compact"/>
      </w:pPr>
      <w:r>
        <w:t xml:space="preserve">机器学习势能面：</w:t>
      </w:r>
      <w:r>
        <w:rPr>
          <w:rStyle w:val="VerbatimChar"/>
        </w:rPr>
        <w:t xml:space="preserve">mod_pes_machine_learning</w:t>
      </w:r>
      <w:r>
        <w:t xml:space="preserve">；</w:t>
      </w:r>
    </w:p>
    <w:p>
      <w:pPr>
        <w:numPr>
          <w:ilvl w:val="0"/>
          <w:numId w:val="1151"/>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3"/>
      </w:pPr>
      <w:bookmarkStart w:id="375" w:name="参考文献-7"/>
      <w:r>
        <w:t xml:space="preserve">17.9　参考文献</w:t>
      </w:r>
      <w:bookmarkEnd w:id="375"/>
    </w:p>
    <w:p>
      <w:pPr>
        <w:numPr>
          <w:ilvl w:val="0"/>
          <w:numId w:val="1152"/>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2"/>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2"/>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2"/>
        </w:numPr>
        <w:pStyle w:val="Compact"/>
      </w:pPr>
      <w:r>
        <w:t xml:space="preserve">GeneralModule 源码：</w:t>
      </w:r>
      <w:hyperlink r:id="rId21">
        <w:r>
          <w:rPr>
            <w:rStyle w:val="Hyperlink"/>
          </w:rPr>
          <w:t xml:space="preserve">https://github.com/l1Ha/QuantumGeneralModule</w:t>
        </w:r>
      </w:hyperlink>
    </w:p>
    <w:p>
      <w:pPr>
        <w:pStyle w:val="Heading2"/>
      </w:pPr>
      <w:bookmarkStart w:id="376" w:name="第18章-高维量子方法扩展"/>
      <w:r>
        <w:t xml:space="preserve">第18章　高维量子方法扩展</w:t>
      </w:r>
      <w:bookmarkEnd w:id="37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77" w:name="和积哈密顿量"/>
      <w:r>
        <w:t xml:space="preserve">18.1　和积哈密顿量</w:t>
      </w:r>
      <w:bookmarkEnd w:id="37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78" w:name="对应源码-42"/>
      <w:r>
        <w:t xml:space="preserve">对应源码</w:t>
      </w:r>
      <w:bookmarkEnd w:id="378"/>
    </w:p>
    <w:p>
      <w:pPr>
        <w:numPr>
          <w:ilvl w:val="0"/>
          <w:numId w:val="1153"/>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3"/>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7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4"/>
        </w:numPr>
        <w:pStyle w:val="Compact"/>
      </w:pPr>
      <w:r>
        <w:rPr>
          <w:b/>
        </w:rPr>
        <w:t xml:space="preserve">POTFIT</w:t>
      </w:r>
      <w:r>
        <w:t xml:space="preserve">：把全网格势能拟合成最优 SOP；</w:t>
      </w:r>
    </w:p>
    <w:p>
      <w:pPr>
        <w:numPr>
          <w:ilvl w:val="0"/>
          <w:numId w:val="1154"/>
        </w:numPr>
        <w:pStyle w:val="Compact"/>
      </w:pPr>
      <w:r>
        <w:rPr>
          <w:b/>
        </w:rPr>
        <w:t xml:space="preserve">MCTDH 变分势能拟合</w:t>
      </w:r>
      <w:r>
        <w:t xml:space="preserve">：在时变单粒子函数空间中重新拟合；</w:t>
      </w:r>
    </w:p>
    <w:p>
      <w:pPr>
        <w:numPr>
          <w:ilvl w:val="0"/>
          <w:numId w:val="1154"/>
        </w:numPr>
        <w:pStyle w:val="Compact"/>
      </w:pPr>
      <w:r>
        <w:rPr>
          <w:b/>
        </w:rPr>
        <w:t xml:space="preserve">逐维优先拟合</w:t>
      </w:r>
      <w:r>
        <w:t xml:space="preserve">：先拟合强耦合维，再处理弱耦合维；</w:t>
      </w:r>
    </w:p>
    <w:p>
      <w:pPr>
        <w:numPr>
          <w:ilvl w:val="0"/>
          <w:numId w:val="1154"/>
        </w:numPr>
        <w:pStyle w:val="Compact"/>
      </w:pPr>
      <w:r>
        <w:rPr>
          <w:b/>
        </w:rPr>
        <w:t xml:space="preserve">神经网势能面</w:t>
      </w:r>
      <w:r>
        <w:t xml:space="preserve">：直接给出能量和梯度，再通过自动微分得到 SOP 近似；</w:t>
      </w:r>
    </w:p>
    <w:p>
      <w:pPr>
        <w:numPr>
          <w:ilvl w:val="0"/>
          <w:numId w:val="1154"/>
        </w:numPr>
        <w:pStyle w:val="Compact"/>
      </w:pPr>
      <w:r>
        <w:rPr>
          <w:b/>
        </w:rPr>
        <w:t xml:space="preserve">对称不变多项式</w:t>
      </w:r>
      <w:r>
        <w:t xml:space="preserve">：对同核/置换对称体系尤其有效。</w:t>
      </w:r>
    </w:p>
    <w:p>
      <w:pPr>
        <w:pStyle w:val="Heading3"/>
      </w:pPr>
      <w:bookmarkStart w:id="380" w:name="mctdh-与多层扩展"/>
      <w:r>
        <w:t xml:space="preserve">18.2　MCTDH 与多层扩展</w:t>
      </w:r>
      <w:bookmarkEnd w:id="38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1" w:name="对应源码-43"/>
      <w:r>
        <w:t xml:space="preserve">对应源码</w:t>
      </w:r>
      <w:bookmarkEnd w:id="381"/>
    </w:p>
    <w:p>
      <w:pPr>
        <w:numPr>
          <w:ilvl w:val="0"/>
          <w:numId w:val="1155"/>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5"/>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6"/>
        </w:numPr>
        <w:pStyle w:val="Compact"/>
      </w:pPr>
      <w:r>
        <w:t xml:space="preserve">中等维强耦合体系；</w:t>
      </w:r>
    </w:p>
    <w:p>
      <w:pPr>
        <w:numPr>
          <w:ilvl w:val="0"/>
          <w:numId w:val="1156"/>
        </w:numPr>
        <w:pStyle w:val="Compact"/>
      </w:pPr>
      <w:r>
        <w:t xml:space="preserve">需要高精度量子干涉和隧穿；</w:t>
      </w:r>
    </w:p>
    <w:p>
      <w:pPr>
        <w:numPr>
          <w:ilvl w:val="0"/>
          <w:numId w:val="1156"/>
        </w:numPr>
        <w:pStyle w:val="Compact"/>
      </w:pPr>
      <w:r>
        <w:t xml:space="preserve">势能面可以写成 SOP；</w:t>
      </w:r>
    </w:p>
    <w:p>
      <w:pPr>
        <w:numPr>
          <w:ilvl w:val="0"/>
          <w:numId w:val="1156"/>
        </w:numPr>
        <w:pStyle w:val="Compact"/>
      </w:pPr>
      <w:r>
        <w:t xml:space="preserve">维度约在 6—24，视耦合结构和 SPF 数而定。</w:t>
      </w:r>
    </w:p>
    <w:p>
      <w:pPr>
        <w:pStyle w:val="Heading3"/>
      </w:pPr>
      <w:bookmarkStart w:id="383" w:name="张量列车与矩阵乘积态"/>
      <w:r>
        <w:t xml:space="preserve">18.3　张量列车与矩阵乘积态</w:t>
      </w:r>
      <w:bookmarkEnd w:id="38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7"/>
        </w:numPr>
        <w:pStyle w:val="Compact"/>
      </w:pPr>
      <w:r>
        <w:rPr>
          <w:b/>
        </w:rPr>
        <w:t xml:space="preserve">TT-SVD</w:t>
      </w:r>
      <w:r>
        <w:t xml:space="preserve">：由全张量截断得到 TT；</w:t>
      </w:r>
    </w:p>
    <w:p>
      <w:pPr>
        <w:numPr>
          <w:ilvl w:val="0"/>
          <w:numId w:val="1157"/>
        </w:numPr>
        <w:pStyle w:val="Compact"/>
      </w:pPr>
      <w:r>
        <w:rPr>
          <w:b/>
        </w:rPr>
        <w:t xml:space="preserve">TT 舍入</w:t>
      </w:r>
      <w:r>
        <w:t xml:space="preserve">：控制键维并最小化误差；</w:t>
      </w:r>
    </w:p>
    <w:p>
      <w:pPr>
        <w:numPr>
          <w:ilvl w:val="0"/>
          <w:numId w:val="1157"/>
        </w:numPr>
        <w:pStyle w:val="Compact"/>
      </w:pPr>
      <w:r>
        <w:rPr>
          <w:b/>
        </w:rPr>
        <w:t xml:space="preserve">TT-Cross</w:t>
      </w:r>
      <w:r>
        <w:t xml:space="preserve">：不构造全张量，仅抽样重要切片；</w:t>
      </w:r>
    </w:p>
    <w:p>
      <w:pPr>
        <w:numPr>
          <w:ilvl w:val="0"/>
          <w:numId w:val="1157"/>
        </w:numPr>
        <w:pStyle w:val="Compact"/>
      </w:pPr>
      <w:r>
        <w:rPr>
          <w:b/>
        </w:rPr>
        <w:t xml:space="preserve">DMRG-type 变分</w:t>
      </w:r>
      <w:r>
        <w:t xml:space="preserve">：求基态或定态本征对；</w:t>
      </w:r>
    </w:p>
    <w:p>
      <w:pPr>
        <w:numPr>
          <w:ilvl w:val="0"/>
          <w:numId w:val="1157"/>
        </w:numPr>
        <w:pStyle w:val="Compact"/>
      </w:pPr>
      <w:r>
        <w:rPr>
          <w:b/>
        </w:rPr>
        <w:t xml:space="preserve">TDVP</w:t>
      </w:r>
      <w:r>
        <w:t xml:space="preserve">：时间依赖变分原理传播；</w:t>
      </w:r>
    </w:p>
    <w:p>
      <w:pPr>
        <w:numPr>
          <w:ilvl w:val="0"/>
          <w:numId w:val="1157"/>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84" w:name="对应源码-44"/>
      <w:r>
        <w:t xml:space="preserve">对应源码</w:t>
      </w:r>
      <w:bookmarkEnd w:id="384"/>
    </w:p>
    <w:p>
      <w:pPr>
        <w:numPr>
          <w:ilvl w:val="0"/>
          <w:numId w:val="1158"/>
        </w:numPr>
        <w:pStyle w:val="Compact"/>
      </w:pPr>
      <w:hyperlink r:id="rId292">
        <w:r>
          <w:rPr>
            <w:rStyle w:val="Hyperlink"/>
          </w:rPr>
          <w:t xml:space="preserve">python/pygenmod/tensor_train.py</w:t>
        </w:r>
      </w:hyperlink>
      <w:r>
        <w:t xml:space="preserve">（Python 参考实现：TT-SVD、舍入、内积与 TT 算符）</w:t>
      </w:r>
    </w:p>
    <w:p>
      <w:pPr>
        <w:numPr>
          <w:ilvl w:val="0"/>
          <w:numId w:val="1158"/>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8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6" w:name="稀疏网格与-smolyak-构造"/>
      <w:r>
        <w:t xml:space="preserve">18.4　稀疏网格与 Smolyak 构造</w:t>
      </w:r>
      <w:bookmarkEnd w:id="38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87" w:name="对应源码-45"/>
      <w:r>
        <w:t xml:space="preserve">对应源码</w:t>
      </w:r>
      <w:bookmarkEnd w:id="387"/>
    </w:p>
    <w:p>
      <w:pPr>
        <w:numPr>
          <w:ilvl w:val="0"/>
          <w:numId w:val="1159"/>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59"/>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8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9" w:name="剪枝乘积基"/>
      <w:r>
        <w:t xml:space="preserve">18.5　剪枝乘积基</w:t>
      </w:r>
      <w:bookmarkEnd w:id="389"/>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0" w:name="高维势能面"/>
      <w:r>
        <w:t xml:space="preserve">18.6　高维势能面</w:t>
      </w:r>
      <w:bookmarkEnd w:id="390"/>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1" w:name="方法选择"/>
      <w:r>
        <w:t xml:space="preserve">18.7　方法选择</w:t>
      </w:r>
      <w:bookmarkEnd w:id="391"/>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2" w:name="generalmodule-的高维扩展路线"/>
      <w:r>
        <w:t xml:space="preserve">18.8　GeneralModule 的高维扩展路线</w:t>
      </w:r>
      <w:bookmarkEnd w:id="392"/>
    </w:p>
    <w:p>
      <w:pPr>
        <w:pStyle w:val="FirstParagraph"/>
      </w:pPr>
      <w:r>
        <w:t xml:space="preserve">当前 GeneralModule 的量子方法主要面向低维和中维问题：</w:t>
      </w:r>
    </w:p>
    <w:p>
      <w:pPr>
        <w:numPr>
          <w:ilvl w:val="0"/>
          <w:numId w:val="1160"/>
        </w:numPr>
        <w:pStyle w:val="Compact"/>
      </w:pPr>
      <w:r>
        <w:rPr>
          <w:rStyle w:val="VerbatimChar"/>
        </w:rPr>
        <w:t xml:space="preserve">mod_dvr_grid</w:t>
      </w:r>
      <w:r>
        <w:t xml:space="preserve">：一维 Sinc-DVR、Legendre-DVR、FGH；</w:t>
      </w:r>
    </w:p>
    <w:p>
      <w:pPr>
        <w:numPr>
          <w:ilvl w:val="0"/>
          <w:numId w:val="1160"/>
        </w:numPr>
        <w:pStyle w:val="Compact"/>
      </w:pPr>
      <w:r>
        <w:rPr>
          <w:rStyle w:val="VerbatimChar"/>
        </w:rPr>
        <w:t xml:space="preserve">mod_linear_algebra</w:t>
      </w:r>
      <w:r>
        <w:t xml:space="preserve">：稠密对称本征求解、FFT、矩阵求逆；</w:t>
      </w:r>
    </w:p>
    <w:p>
      <w:pPr>
        <w:numPr>
          <w:ilvl w:val="0"/>
          <w:numId w:val="1160"/>
        </w:numPr>
        <w:pStyle w:val="Compact"/>
      </w:pPr>
      <w:r>
        <w:rPr>
          <w:rStyle w:val="VerbatimChar"/>
        </w:rPr>
        <w:t xml:space="preserve">mod_wavepacket_propagator</w:t>
      </w:r>
      <w:r>
        <w:t xml:space="preserve">：1D/2D Split-Operator、RK4、ABM4；</w:t>
      </w:r>
    </w:p>
    <w:p>
      <w:pPr>
        <w:numPr>
          <w:ilvl w:val="0"/>
          <w:numId w:val="1160"/>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BodyText"/>
      </w:pPr>
      <w:r>
        <w:t xml:space="preserve">建议的最小实现顺序：</w:t>
      </w:r>
    </w:p>
    <w:p>
      <w:pPr>
        <w:numPr>
          <w:ilvl w:val="0"/>
          <w:numId w:val="1161"/>
        </w:numPr>
        <w:pStyle w:val="Compact"/>
      </w:pPr>
      <w:r>
        <w:t xml:space="preserve">先实现 SOP 哈密顿量及其矩阵—向量乘法；</w:t>
      </w:r>
    </w:p>
    <w:p>
      <w:pPr>
        <w:numPr>
          <w:ilvl w:val="0"/>
          <w:numId w:val="1161"/>
        </w:numPr>
        <w:pStyle w:val="Compact"/>
      </w:pPr>
      <w:r>
        <w:t xml:space="preserve">用低维 FGH 结果验证 SOP 动作正确；</w:t>
      </w:r>
    </w:p>
    <w:p>
      <w:pPr>
        <w:numPr>
          <w:ilvl w:val="0"/>
          <w:numId w:val="1161"/>
        </w:numPr>
        <w:pStyle w:val="Compact"/>
      </w:pPr>
      <w:r>
        <w:t xml:space="preserve">实现 SOP + Chebyshev/Krylov 传播；</w:t>
      </w:r>
    </w:p>
    <w:p>
      <w:pPr>
        <w:numPr>
          <w:ilvl w:val="0"/>
          <w:numId w:val="1161"/>
        </w:numPr>
        <w:pStyle w:val="Compact"/>
      </w:pPr>
      <w:r>
        <w:t xml:space="preserve">实现 TT 舍入与 TT-Cross；</w:t>
      </w:r>
    </w:p>
    <w:p>
      <w:pPr>
        <w:numPr>
          <w:ilvl w:val="0"/>
          <w:numId w:val="1161"/>
        </w:numPr>
        <w:pStyle w:val="Compact"/>
      </w:pPr>
      <w:r>
        <w:t xml:space="preserve">用 TT 表示重现低维波包；</w:t>
      </w:r>
    </w:p>
    <w:p>
      <w:pPr>
        <w:numPr>
          <w:ilvl w:val="0"/>
          <w:numId w:val="1161"/>
        </w:numPr>
        <w:pStyle w:val="Compact"/>
      </w:pPr>
      <w:r>
        <w:t xml:space="preserve">实现 MCTDH 系数和 SPF 方程；</w:t>
      </w:r>
    </w:p>
    <w:p>
      <w:pPr>
        <w:numPr>
          <w:ilvl w:val="0"/>
          <w:numId w:val="1161"/>
        </w:numPr>
        <w:pStyle w:val="Compact"/>
      </w:pPr>
      <w:r>
        <w:t xml:space="preserve">用 3—6 维基准模型与 FGH/DVR 比对；</w:t>
      </w:r>
    </w:p>
    <w:p>
      <w:pPr>
        <w:numPr>
          <w:ilvl w:val="0"/>
          <w:numId w:val="1161"/>
        </w:numPr>
        <w:pStyle w:val="Compact"/>
      </w:pPr>
      <w:r>
        <w:t xml:space="preserve">最后接入高维势能面模块。</w:t>
      </w:r>
    </w:p>
    <w:p>
      <w:pPr>
        <w:pStyle w:val="Heading3"/>
      </w:pPr>
      <w:bookmarkStart w:id="393" w:name="验证策略"/>
      <w:r>
        <w:t xml:space="preserve">18.9　验证策略</w:t>
      </w:r>
      <w:bookmarkEnd w:id="393"/>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94" w:name="参考文献-8"/>
      <w:r>
        <w:t xml:space="preserve">18.10　参考文献</w:t>
      </w:r>
      <w:bookmarkEnd w:id="394"/>
    </w:p>
    <w:p>
      <w:pPr>
        <w:numPr>
          <w:ilvl w:val="0"/>
          <w:numId w:val="1162"/>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2"/>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2"/>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2"/>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2"/>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2"/>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2" Target="media/rId382.png" /><Relationship Type="http://schemas.openxmlformats.org/officeDocument/2006/relationships/image" Id="rId369" Target="media/rId369.png" /><Relationship Type="http://schemas.openxmlformats.org/officeDocument/2006/relationships/image" Id="rId379" Target="media/rId379.png" /><Relationship Type="http://schemas.openxmlformats.org/officeDocument/2006/relationships/image" Id="rId388" Target="media/rId388.png" /><Relationship Type="http://schemas.openxmlformats.org/officeDocument/2006/relationships/image" Id="rId385" Target="media/rId385.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1" Target="media/rId341.png" /><Relationship Type="http://schemas.openxmlformats.org/officeDocument/2006/relationships/image" Id="rId348" Target="media/rId348.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2026-10-04T08:38:42Z</dcterms:created>
  <dcterms:modified xsi:type="dcterms:W3CDTF">2026-10-04T08:38:42Z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