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A73BA">
      <w:pPr>
        <w:pStyle w:val="2"/>
        <w:spacing w:before="101" w:line="224" w:lineRule="auto"/>
        <w:jc w:val="center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粉体防团聚剂</w:t>
      </w:r>
      <w:r>
        <w:rPr>
          <w:spacing w:val="5"/>
          <w:sz w:val="31"/>
          <w:szCs w:val="31"/>
        </w:rPr>
        <w:t xml:space="preserve"> </w:t>
      </w:r>
      <w:r>
        <w:rPr>
          <w:rFonts w:hint="eastAsia"/>
          <w:b/>
          <w:bCs/>
          <w:spacing w:val="5"/>
          <w:sz w:val="31"/>
          <w:szCs w:val="31"/>
          <w:lang w:val="en-US" w:eastAsia="zh-CN"/>
        </w:rPr>
        <w:t>A</w:t>
      </w:r>
      <w:r>
        <w:rPr>
          <w:b/>
          <w:bCs/>
          <w:sz w:val="31"/>
          <w:szCs w:val="31"/>
        </w:rPr>
        <w:t>FT</w:t>
      </w:r>
      <w:r>
        <w:rPr>
          <w:b/>
          <w:bCs/>
          <w:spacing w:val="5"/>
          <w:sz w:val="31"/>
          <w:szCs w:val="31"/>
        </w:rPr>
        <w:t>-1</w:t>
      </w:r>
      <w:r>
        <w:rPr>
          <w:rFonts w:hint="eastAsia"/>
          <w:b/>
          <w:bCs/>
          <w:spacing w:val="5"/>
          <w:sz w:val="31"/>
          <w:szCs w:val="31"/>
          <w:lang w:val="en-US" w:eastAsia="zh-CN"/>
        </w:rPr>
        <w:t>8</w:t>
      </w:r>
      <w:r>
        <w:rPr>
          <w:b/>
          <w:bCs/>
          <w:spacing w:val="5"/>
          <w:sz w:val="31"/>
          <w:szCs w:val="31"/>
        </w:rPr>
        <w:t>0</w:t>
      </w:r>
    </w:p>
    <w:p w14:paraId="13B0D0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sz w:val="31"/>
          <w:szCs w:val="31"/>
        </w:rPr>
      </w:pPr>
      <w:r>
        <w:rPr>
          <w:b/>
          <w:bCs/>
          <w:spacing w:val="4"/>
          <w:sz w:val="29"/>
          <w:szCs w:val="29"/>
        </w:rPr>
        <w:t>一、产品简介</w:t>
      </w:r>
    </w:p>
    <w:p w14:paraId="6BB0C0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0" w:right="228" w:firstLine="1"/>
        <w:textAlignment w:val="auto"/>
      </w:pPr>
      <w:r>
        <w:rPr>
          <w:spacing w:val="-2"/>
        </w:rPr>
        <w:t>本品是聚羧酸盐类配位聚合物的粉体防团聚剂，通过化学锚固与空间位阻双重作用，</w:t>
      </w:r>
      <w:r>
        <w:t>在橡塑等高分子材料添加粉体加工场景下，实现颜填料的</w:t>
      </w:r>
      <w:r>
        <w:rPr>
          <w:spacing w:val="-1"/>
        </w:rPr>
        <w:t>超细均匀稳定分散。</w:t>
      </w:r>
    </w:p>
    <w:p w14:paraId="5D83F6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sz w:val="31"/>
          <w:szCs w:val="31"/>
        </w:rPr>
      </w:pPr>
      <w:r>
        <w:rPr>
          <w:b/>
          <w:bCs/>
          <w:spacing w:val="4"/>
          <w:sz w:val="29"/>
          <w:szCs w:val="29"/>
        </w:rPr>
        <w:t>二、产品特点</w:t>
      </w:r>
    </w:p>
    <w:p w14:paraId="6FE54D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0"/>
        <w:textAlignment w:val="auto"/>
      </w:pPr>
      <w:r>
        <w:rPr>
          <w:b/>
          <w:bCs/>
        </w:rPr>
        <w:t>超细分散</w:t>
      </w:r>
      <w:r>
        <w:t>：有效阻止颜填料粉体硬团聚形成，降低分散</w:t>
      </w:r>
      <w:r>
        <w:rPr>
          <w:spacing w:val="-1"/>
        </w:rPr>
        <w:t>粒径，实现粉体在橡塑制品中</w:t>
      </w:r>
    </w:p>
    <w:p w14:paraId="5108D4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229"/>
        <w:textAlignment w:val="auto"/>
      </w:pPr>
      <w:r>
        <w:rPr>
          <w:spacing w:val="-2"/>
        </w:rPr>
        <w:t>超细均匀分散。</w:t>
      </w:r>
    </w:p>
    <w:p w14:paraId="417BDF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1"/>
        <w:textAlignment w:val="auto"/>
      </w:pPr>
      <w:r>
        <w:rPr>
          <w:b/>
          <w:bCs/>
        </w:rPr>
        <w:t>长效稳定</w:t>
      </w:r>
      <w:r>
        <w:t>：避免粉体团聚引发门尼粘度升高与应力</w:t>
      </w:r>
      <w:r>
        <w:rPr>
          <w:spacing w:val="-1"/>
        </w:rPr>
        <w:t>集中，保障橡塑成品及预分散母粒</w:t>
      </w:r>
    </w:p>
    <w:p w14:paraId="044AB3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248"/>
        <w:textAlignment w:val="auto"/>
      </w:pPr>
      <w:r>
        <w:rPr>
          <w:spacing w:val="-4"/>
        </w:rPr>
        <w:t>的力学性能稳定。</w:t>
      </w:r>
    </w:p>
    <w:p w14:paraId="5DE95F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1"/>
        <w:textAlignment w:val="auto"/>
      </w:pPr>
      <w:r>
        <w:rPr>
          <w:b/>
          <w:bCs/>
          <w:spacing w:val="-1"/>
        </w:rPr>
        <w:t>环保耐温</w:t>
      </w:r>
      <w:r>
        <w:rPr>
          <w:spacing w:val="-1"/>
        </w:rPr>
        <w:t>：无毒无味、不析出、无污染，可耐受高温加工。</w:t>
      </w:r>
    </w:p>
    <w:p w14:paraId="5CB9F7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4"/>
        <w:textAlignment w:val="auto"/>
        <w:outlineLvl w:val="0"/>
        <w:rPr>
          <w:sz w:val="29"/>
          <w:szCs w:val="29"/>
        </w:rPr>
      </w:pPr>
      <w:r>
        <w:rPr>
          <w:b/>
          <w:bCs/>
          <w:spacing w:val="5"/>
          <w:sz w:val="29"/>
          <w:szCs w:val="29"/>
        </w:rPr>
        <w:t>三、用法用量</w:t>
      </w:r>
    </w:p>
    <w:p w14:paraId="2E7BB1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3"/>
        <w:textAlignment w:val="auto"/>
      </w:pPr>
      <w:r>
        <w:rPr>
          <w:spacing w:val="-1"/>
        </w:rPr>
        <w:t>混炼工艺：在粉体物料加入前，先投入本品。</w:t>
      </w:r>
    </w:p>
    <w:p w14:paraId="6F91D7E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2"/>
        <w:textAlignment w:val="auto"/>
      </w:pPr>
      <w:r>
        <w:rPr>
          <w:spacing w:val="-1"/>
        </w:rPr>
        <w:t>预混工艺：可与粉体物料同步预混。</w:t>
      </w:r>
    </w:p>
    <w:p w14:paraId="3A6D61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1"/>
        <w:textAlignment w:val="auto"/>
      </w:pPr>
      <w:r>
        <w:t>推荐添加量：以粉体总重量计，建议从</w:t>
      </w:r>
      <w:r>
        <w:rPr>
          <w:spacing w:val="-47"/>
        </w:rPr>
        <w:t xml:space="preserve"> </w:t>
      </w:r>
      <w:r>
        <w:t>0.3% 起，</w:t>
      </w:r>
      <w:r>
        <w:rPr>
          <w:spacing w:val="-1"/>
        </w:rPr>
        <w:t>常规用量为 1.0%±0.5%。</w:t>
      </w:r>
    </w:p>
    <w:p w14:paraId="18741C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64"/>
        <w:textAlignment w:val="auto"/>
        <w:outlineLvl w:val="0"/>
        <w:rPr>
          <w:sz w:val="29"/>
          <w:szCs w:val="29"/>
        </w:rPr>
      </w:pPr>
      <w:r>
        <w:rPr>
          <w:b/>
          <w:bCs/>
          <w:sz w:val="29"/>
          <w:szCs w:val="29"/>
        </w:rPr>
        <w:t>四、技术指标</w:t>
      </w:r>
    </w:p>
    <w:tbl>
      <w:tblPr>
        <w:tblStyle w:val="8"/>
        <w:tblpPr w:leftFromText="180" w:rightFromText="180" w:vertAnchor="text" w:horzAnchor="page" w:tblpX="2353" w:tblpY="308"/>
        <w:tblOverlap w:val="never"/>
        <w:tblW w:w="5999" w:type="dxa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9"/>
        <w:gridCol w:w="3000"/>
      </w:tblGrid>
      <w:tr w14:paraId="736D86B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999" w:type="dxa"/>
            <w:vAlign w:val="top"/>
          </w:tcPr>
          <w:p w14:paraId="0D4C13F2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9"/>
              <w:textAlignment w:val="auto"/>
            </w:pPr>
            <w:r>
              <w:rPr>
                <w:spacing w:val="-6"/>
              </w:rPr>
              <w:t>项目</w:t>
            </w:r>
          </w:p>
        </w:tc>
        <w:tc>
          <w:tcPr>
            <w:tcW w:w="3000" w:type="dxa"/>
            <w:vAlign w:val="top"/>
          </w:tcPr>
          <w:p w14:paraId="0DADC686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9"/>
              <w:textAlignment w:val="auto"/>
            </w:pPr>
            <w:r>
              <w:rPr>
                <w:spacing w:val="-5"/>
              </w:rPr>
              <w:t>指标</w:t>
            </w:r>
          </w:p>
        </w:tc>
      </w:tr>
      <w:tr w14:paraId="6827B28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999" w:type="dxa"/>
            <w:vAlign w:val="top"/>
          </w:tcPr>
          <w:p w14:paraId="4222645A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30"/>
              <w:textAlignment w:val="auto"/>
            </w:pPr>
            <w:r>
              <w:rPr>
                <w:spacing w:val="-6"/>
              </w:rPr>
              <w:t>外观</w:t>
            </w:r>
          </w:p>
        </w:tc>
        <w:tc>
          <w:tcPr>
            <w:tcW w:w="3000" w:type="dxa"/>
            <w:vAlign w:val="top"/>
          </w:tcPr>
          <w:p w14:paraId="37196AC8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59"/>
              <w:textAlignment w:val="auto"/>
            </w:pPr>
            <w:r>
              <w:rPr>
                <w:spacing w:val="-10"/>
              </w:rPr>
              <w:t>白色粉末</w:t>
            </w:r>
          </w:p>
        </w:tc>
      </w:tr>
      <w:tr w14:paraId="5BB4204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999" w:type="dxa"/>
            <w:vAlign w:val="top"/>
          </w:tcPr>
          <w:p w14:paraId="66AF30F2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6"/>
              <w:textAlignment w:val="auto"/>
            </w:pPr>
            <w:r>
              <w:rPr>
                <w:spacing w:val="-2"/>
              </w:rPr>
              <w:t>加热减量，%</w:t>
            </w:r>
          </w:p>
        </w:tc>
        <w:tc>
          <w:tcPr>
            <w:tcW w:w="3000" w:type="dxa"/>
            <w:vAlign w:val="top"/>
          </w:tcPr>
          <w:p w14:paraId="533E4BBE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42"/>
              <w:textAlignment w:val="auto"/>
            </w:pPr>
            <w:r>
              <w:rPr>
                <w:spacing w:val="-6"/>
              </w:rPr>
              <w:t>≤1.5</w:t>
            </w:r>
          </w:p>
        </w:tc>
      </w:tr>
      <w:tr w14:paraId="5993FF5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999" w:type="dxa"/>
            <w:vAlign w:val="top"/>
          </w:tcPr>
          <w:p w14:paraId="58CD921B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30"/>
              <w:textAlignment w:val="auto"/>
            </w:pPr>
            <w:r>
              <w:rPr>
                <w:spacing w:val="-2"/>
              </w:rPr>
              <w:t>灼烧减量，%</w:t>
            </w:r>
          </w:p>
        </w:tc>
        <w:tc>
          <w:tcPr>
            <w:tcW w:w="3000" w:type="dxa"/>
            <w:vAlign w:val="top"/>
          </w:tcPr>
          <w:p w14:paraId="0E74A587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46"/>
              <w:textAlignment w:val="auto"/>
            </w:pPr>
            <w:r>
              <w:rPr>
                <w:spacing w:val="24"/>
                <w:w w:val="103"/>
              </w:rPr>
              <w:t>&gt;70</w:t>
            </w:r>
          </w:p>
        </w:tc>
      </w:tr>
      <w:tr w14:paraId="06B2D9E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999" w:type="dxa"/>
            <w:vAlign w:val="top"/>
          </w:tcPr>
          <w:p w14:paraId="0BA42F6A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6"/>
              <w:textAlignment w:val="auto"/>
            </w:pPr>
            <w:r>
              <w:rPr>
                <w:spacing w:val="-6"/>
              </w:rPr>
              <w:t>细度（325</w:t>
            </w:r>
            <w:r>
              <w:rPr>
                <w:spacing w:val="49"/>
              </w:rPr>
              <w:t xml:space="preserve"> </w:t>
            </w:r>
            <w:r>
              <w:rPr>
                <w:spacing w:val="-6"/>
              </w:rPr>
              <w:t>目通过率</w:t>
            </w:r>
            <w:r>
              <w:rPr>
                <w:spacing w:val="4"/>
              </w:rPr>
              <w:t>），</w:t>
            </w:r>
            <w:r>
              <w:rPr>
                <w:spacing w:val="-6"/>
              </w:rPr>
              <w:t>%</w:t>
            </w:r>
          </w:p>
        </w:tc>
        <w:tc>
          <w:tcPr>
            <w:tcW w:w="3000" w:type="dxa"/>
            <w:vAlign w:val="top"/>
          </w:tcPr>
          <w:p w14:paraId="14D3B011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7"/>
              <w:textAlignment w:val="auto"/>
            </w:pPr>
            <w:r>
              <w:rPr>
                <w:spacing w:val="-4"/>
              </w:rPr>
              <w:t>全通</w:t>
            </w:r>
          </w:p>
        </w:tc>
      </w:tr>
      <w:tr w14:paraId="29B0520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999" w:type="dxa"/>
            <w:vAlign w:val="top"/>
          </w:tcPr>
          <w:p w14:paraId="09A0BE08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28"/>
              <w:textAlignment w:val="auto"/>
            </w:pPr>
            <w:r>
              <w:rPr>
                <w:spacing w:val="2"/>
              </w:rPr>
              <w:t>分解温度，℃</w:t>
            </w:r>
          </w:p>
        </w:tc>
        <w:tc>
          <w:tcPr>
            <w:tcW w:w="3000" w:type="dxa"/>
            <w:vAlign w:val="top"/>
          </w:tcPr>
          <w:p w14:paraId="23B9164C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ind w:left="148"/>
              <w:textAlignment w:val="auto"/>
            </w:pPr>
            <w:r>
              <w:rPr>
                <w:spacing w:val="-8"/>
              </w:rPr>
              <w:t>≥517</w:t>
            </w:r>
          </w:p>
        </w:tc>
      </w:tr>
    </w:tbl>
    <w:p w14:paraId="5B363F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10C787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556BAE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14F637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51DA9E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61CC05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2B0696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b/>
          <w:bCs/>
          <w:spacing w:val="5"/>
          <w:sz w:val="31"/>
          <w:szCs w:val="31"/>
        </w:rPr>
      </w:pPr>
    </w:p>
    <w:p w14:paraId="6D3DEB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39"/>
        <w:textAlignment w:val="auto"/>
        <w:outlineLvl w:val="0"/>
        <w:rPr>
          <w:sz w:val="29"/>
          <w:szCs w:val="29"/>
        </w:rPr>
      </w:pPr>
      <w:r>
        <w:rPr>
          <w:b/>
          <w:bCs/>
          <w:spacing w:val="5"/>
          <w:sz w:val="29"/>
          <w:szCs w:val="29"/>
        </w:rPr>
        <w:t>五、包装及储运</w:t>
      </w:r>
    </w:p>
    <w:p w14:paraId="2B90FE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48"/>
        <w:textAlignment w:val="auto"/>
        <w:rPr>
          <w:rFonts w:hint="default" w:eastAsia="宋体"/>
          <w:lang w:val="en-US" w:eastAsia="zh-CN"/>
        </w:rPr>
      </w:pPr>
      <w:r>
        <w:rPr>
          <w:color w:val="3370FF"/>
          <w:spacing w:val="-1"/>
          <w:sz w:val="20"/>
          <w:szCs w:val="20"/>
        </w:rPr>
        <w:t xml:space="preserve">•   </w:t>
      </w:r>
      <w:r>
        <w:rPr>
          <w:spacing w:val="-1"/>
        </w:rPr>
        <w:t>包装：内塑外编袋包装，净重</w:t>
      </w:r>
      <w:r>
        <w:rPr>
          <w:spacing w:val="15"/>
        </w:rPr>
        <w:t xml:space="preserve"> </w:t>
      </w:r>
      <w:r>
        <w:rPr>
          <w:spacing w:val="-1"/>
        </w:rPr>
        <w:t>25kg。</w:t>
      </w:r>
      <w:r>
        <w:rPr>
          <w:rFonts w:hint="eastAsia"/>
          <w:spacing w:val="-1"/>
          <w:lang w:val="en-US" w:eastAsia="zh-CN"/>
        </w:rPr>
        <w:t>可将小包装于吨包内</w:t>
      </w:r>
      <w:bookmarkStart w:id="0" w:name="_GoBack"/>
      <w:bookmarkEnd w:id="0"/>
      <w:r>
        <w:rPr>
          <w:rFonts w:hint="eastAsia"/>
          <w:spacing w:val="-1"/>
          <w:lang w:val="en-US" w:eastAsia="zh-CN"/>
        </w:rPr>
        <w:t>875KG/包。</w:t>
      </w:r>
    </w:p>
    <w:p w14:paraId="29FF2F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48"/>
        <w:textAlignment w:val="auto"/>
      </w:pPr>
      <w:r>
        <w:rPr>
          <w:color w:val="3370FF"/>
          <w:spacing w:val="-1"/>
          <w:sz w:val="20"/>
          <w:szCs w:val="20"/>
        </w:rPr>
        <w:t xml:space="preserve">•   </w:t>
      </w:r>
      <w:r>
        <w:rPr>
          <w:spacing w:val="-1"/>
        </w:rPr>
        <w:t>储存：储存于阴凉、通风、干燥处。</w:t>
      </w:r>
    </w:p>
    <w:p w14:paraId="54C7BF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="148"/>
        <w:textAlignment w:val="auto"/>
      </w:pPr>
      <w:r>
        <w:rPr>
          <w:color w:val="3370FF"/>
          <w:spacing w:val="-1"/>
          <w:sz w:val="20"/>
          <w:szCs w:val="20"/>
        </w:rPr>
        <w:t xml:space="preserve">•   </w:t>
      </w:r>
      <w:r>
        <w:rPr>
          <w:spacing w:val="-1"/>
        </w:rPr>
        <w:t>运输：按一般无毒粉体材料运输。</w:t>
      </w:r>
    </w:p>
    <w:p w14:paraId="71A5A3C8">
      <w:r>
        <w:rPr>
          <w:rFonts w:hint="eastAsia"/>
          <w:lang w:val="en-US" w:eastAsia="zh-CN"/>
        </w:rPr>
        <w:t>　　　　　　　　　　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A9789">
    <w:pPr>
      <w:pStyle w:val="3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531735" cy="1113790"/>
          <wp:effectExtent l="0" t="0" r="12065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53173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590E2">
    <w:pPr>
      <w:pStyle w:val="4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05D436CC">
    <w:pPr>
      <w:pStyle w:val="4"/>
      <w:pBdr>
        <w:bottom w:val="thinThickThinSmallGap" w:color="FF9900" w:sz="18" w:space="1"/>
      </w:pBdr>
      <w:ind w:firstLine="1446" w:firstLineChars="4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085B5385"/>
    <w:rsid w:val="085B5385"/>
    <w:rsid w:val="0A9E5E78"/>
    <w:rsid w:val="2A495DB3"/>
    <w:rsid w:val="5FE66060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1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阿尔法文档模版1.wpt</Template>
  <Pages>1</Pages>
  <Words>0</Words>
  <Characters>0</Characters>
  <Lines>0</Lines>
  <Paragraphs>0</Paragraphs>
  <TotalTime>8</TotalTime>
  <ScaleCrop>false</ScaleCrop>
  <LinksUpToDate>false</LinksUpToDate>
  <CharactersWithSpaces>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2026-04-29T22:50:00Z</dcterms:created>
  <dc:creator>阿军古</dc:creator>
  <cp:lastModifiedBy>阿军古</cp:lastModifiedBy>
  <dcterms:modified xsi:type="dcterms:W3CDTF">2026-04-29T23:04:50Z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5DA173E9CB5F470499A5FA933E75C177_11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