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558F6">
      <w:pPr>
        <w:pStyle w:val="2"/>
        <w:spacing w:before="87" w:line="223" w:lineRule="auto"/>
        <w:jc w:val="center"/>
        <w:outlineLvl w:val="0"/>
        <w:rPr>
          <w:rFonts w:hint="eastAsia" w:ascii="Times New Roman" w:hAnsi="Times New Roman" w:cs="Times New Roman"/>
          <w:b/>
          <w:bCs/>
          <w:spacing w:val="3"/>
          <w:sz w:val="43"/>
          <w:szCs w:val="43"/>
          <w:lang w:eastAsia="zh-CN"/>
        </w:rPr>
      </w:pPr>
      <w:r>
        <w:rPr>
          <w:rFonts w:hint="eastAsia"/>
          <w:b/>
          <w:bCs/>
          <w:spacing w:val="3"/>
          <w:sz w:val="43"/>
          <w:szCs w:val="43"/>
          <w:lang w:val="en-US" w:eastAsia="zh-CN"/>
        </w:rPr>
        <w:t>PVC加工</w:t>
      </w:r>
      <w:bookmarkStart w:id="0" w:name="_GoBack"/>
      <w:bookmarkEnd w:id="0"/>
      <w:r>
        <w:rPr>
          <w:rFonts w:hint="eastAsia"/>
          <w:b/>
          <w:bCs/>
          <w:spacing w:val="3"/>
          <w:sz w:val="43"/>
          <w:szCs w:val="43"/>
          <w:lang w:val="en-US" w:eastAsia="zh-CN"/>
        </w:rPr>
        <w:t>稳定助剂</w:t>
      </w:r>
      <w:r>
        <w:rPr>
          <w:spacing w:val="3"/>
          <w:sz w:val="43"/>
          <w:szCs w:val="43"/>
        </w:rPr>
        <w:t xml:space="preserve"> </w:t>
      </w:r>
      <w:r>
        <w:rPr>
          <w:rFonts w:hint="eastAsia" w:ascii="Times New Roman" w:hAnsi="Times New Roman" w:cs="Times New Roman"/>
          <w:b/>
          <w:bCs/>
          <w:spacing w:val="3"/>
          <w:sz w:val="43"/>
          <w:szCs w:val="43"/>
          <w:lang w:eastAsia="zh-CN"/>
        </w:rPr>
        <w:t>AEF-18</w:t>
      </w:r>
    </w:p>
    <w:p w14:paraId="499D9359">
      <w:pPr>
        <w:pStyle w:val="2"/>
        <w:spacing w:before="87" w:line="223" w:lineRule="auto"/>
        <w:jc w:val="center"/>
        <w:outlineLvl w:val="0"/>
        <w:rPr>
          <w:rFonts w:hint="eastAsia" w:ascii="Times New Roman" w:hAnsi="Times New Roman" w:cs="Times New Roman"/>
          <w:b/>
          <w:bCs/>
          <w:spacing w:val="3"/>
          <w:sz w:val="15"/>
          <w:szCs w:val="15"/>
          <w:lang w:eastAsia="zh-CN"/>
        </w:rPr>
      </w:pPr>
    </w:p>
    <w:p w14:paraId="3BF65116">
      <w:pPr>
        <w:spacing w:line="254" w:lineRule="auto"/>
        <w:rPr>
          <w:rFonts w:ascii="Arial"/>
          <w:sz w:val="21"/>
        </w:rPr>
      </w:pPr>
    </w:p>
    <w:p w14:paraId="3FE00D9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1213485</wp:posOffset>
            </wp:positionH>
            <wp:positionV relativeFrom="paragraph">
              <wp:posOffset>328930</wp:posOffset>
            </wp:positionV>
            <wp:extent cx="3388995" cy="2813685"/>
            <wp:effectExtent l="0" t="0" r="9525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分子结构：</w:t>
      </w: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auto" w:fill="auto"/>
          <w:lang w:val="en-US" w:eastAsia="zh-CN"/>
        </w:rPr>
        <w:t xml:space="preserve"> AEF-18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是钙的有机框架配位聚合物（MOFs），钙含量在20%±0.5，是高钙含量的化合物。结构图如下：</w:t>
      </w:r>
    </w:p>
    <w:p w14:paraId="4D9E59A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1732CFA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4720946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51ACA7D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2E8645B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 xml:space="preserve">       </w:t>
      </w:r>
    </w:p>
    <w:p w14:paraId="1D8D17D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5B379D9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5AB91C1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应用范围：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在工业应用中，AEF-18常用作橡胶、塑料材料的分散、降粘、稳定、润滑等功能性添加剂。</w:t>
      </w:r>
    </w:p>
    <w:p w14:paraId="78F2FA9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应用特点：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 PVC 制品中的应用特点体现如下：</w:t>
      </w:r>
    </w:p>
    <w:p w14:paraId="38076AF8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AEF-18在钙锌稳定剂中具有优良的初期白度，不像硬脂酸钙出现红黄底色；</w:t>
      </w:r>
    </w:p>
    <w:p w14:paraId="6E1EA3C0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AEF-18具有很好的分散性，降低体系的粘度，能同时提高流速和熔体流动性，缩短物料停留时间，可提高挤出产量和制品品质；</w:t>
      </w:r>
    </w:p>
    <w:p w14:paraId="756C73E3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能配出非常纯白的白色稳定剂，没有黄红色相，不影响制品的发泡性能；</w:t>
      </w:r>
    </w:p>
    <w:p w14:paraId="52961AE6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 SPC 一包化辅料中，AEF-18 可减少 CPE、ACR 用量，且制品韧性不变；同时，可极大减小电流波动，使挤出性能稳定；</w:t>
      </w:r>
    </w:p>
    <w:p w14:paraId="284880F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3）AEF-18 可降低挤出制品的残余应力，减小变形，提高尺寸稳定性；</w:t>
      </w:r>
    </w:p>
    <w:p w14:paraId="12ED470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4）在型材配方中，AEF-18 可避免黑丝纹和云纹的出现，同时控制制品缩痕的产生。</w:t>
      </w:r>
    </w:p>
    <w:p w14:paraId="5CCE60E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5）AEF-18 替代酯类润滑剂，可使硬质制品的热变形温度提高 1-5℃（依配方不同会有差异）</w:t>
      </w:r>
    </w:p>
    <w:p w14:paraId="3F9CCEB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122E395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 w14:paraId="7A91444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6）AEF-18 用于 PVC 软制品（如线缆）中，可减少鼓包、冒油等现象，提高外观品质；电线电缆泡水电阻率稳定；取代硬脂酸钙白度增白，减少析出，减少粘粒；亦可取代部分硬脂酸锌，提高塑化效果，白度保持。</w:t>
      </w:r>
    </w:p>
    <w:p w14:paraId="7921B72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7）建议在钙锌配方中替换部分的硬脂酸锌和硬脂酸钙，亦可作为润滑剂使用。</w:t>
      </w:r>
    </w:p>
    <w:p w14:paraId="5AA4923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2" w:lineRule="auto"/>
        <w:textAlignment w:val="baseline"/>
        <w:rPr>
          <w:rFonts w:hint="default" w:ascii="华光平黑_CNKI" w:hAnsi="华光平黑_CNKI" w:eastAsia="华光平黑_CNKI" w:cs="华光平黑_CNKI"/>
          <w:b/>
          <w:bCs/>
          <w:shd w:val="clear" w:color="FFFFFF" w:fill="D9D9D9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产品指标</w:t>
      </w:r>
      <w:r>
        <w:rPr>
          <w:rFonts w:hint="eastAsia" w:ascii="华光平黑_CNKI" w:hAnsi="华光平黑_CNKI" w:eastAsia="华光平黑_CNKI" w:cs="华光平黑_CNKI"/>
          <w:b/>
          <w:bCs/>
          <w:shd w:val="clear" w:color="FFFFFF" w:fill="D9D9D9"/>
          <w:lang w:val="en-US" w:eastAsia="zh-CN"/>
        </w:rPr>
        <w:t>：</w:t>
      </w:r>
    </w:p>
    <w:p w14:paraId="4CFF753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2" w:lineRule="auto"/>
        <w:textAlignment w:val="baseline"/>
        <w:rPr>
          <w:rFonts w:hint="eastAsia" w:ascii="华光平黑_CNKI" w:hAnsi="华光平黑_CNKI" w:eastAsia="华光平黑_CNKI" w:cs="华光平黑_CNKI"/>
        </w:rPr>
      </w:pPr>
    </w:p>
    <w:tbl>
      <w:tblPr>
        <w:tblStyle w:val="7"/>
        <w:tblW w:w="7407" w:type="dxa"/>
        <w:tblInd w:w="110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51"/>
        <w:gridCol w:w="2856"/>
      </w:tblGrid>
      <w:tr w14:paraId="0E9249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551" w:type="dxa"/>
            <w:tcBorders>
              <w:top w:val="single" w:color="000000" w:sz="10" w:space="0"/>
              <w:left w:val="nil"/>
            </w:tcBorders>
            <w:vAlign w:val="top"/>
          </w:tcPr>
          <w:p w14:paraId="29E4A8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192" w:lineRule="auto"/>
              <w:ind w:left="1993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0"/>
                <w:sz w:val="24"/>
                <w:szCs w:val="24"/>
              </w:rPr>
              <w:t>项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58"/>
                <w:sz w:val="24"/>
                <w:szCs w:val="24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0"/>
                <w:sz w:val="24"/>
                <w:szCs w:val="24"/>
              </w:rPr>
              <w:t>目</w:t>
            </w:r>
          </w:p>
        </w:tc>
        <w:tc>
          <w:tcPr>
            <w:tcW w:w="2856" w:type="dxa"/>
            <w:tcBorders>
              <w:top w:val="single" w:color="000000" w:sz="10" w:space="0"/>
              <w:right w:val="nil"/>
            </w:tcBorders>
            <w:vAlign w:val="top"/>
          </w:tcPr>
          <w:p w14:paraId="43F081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192" w:lineRule="auto"/>
              <w:ind w:left="1135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9"/>
                <w:sz w:val="24"/>
                <w:szCs w:val="24"/>
              </w:rPr>
              <w:t>指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12"/>
                <w:sz w:val="24"/>
                <w:szCs w:val="24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9"/>
                <w:sz w:val="24"/>
                <w:szCs w:val="24"/>
              </w:rPr>
              <w:t>标</w:t>
            </w:r>
          </w:p>
        </w:tc>
      </w:tr>
      <w:tr w14:paraId="598808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4551" w:type="dxa"/>
            <w:tcBorders>
              <w:left w:val="nil"/>
            </w:tcBorders>
            <w:vAlign w:val="top"/>
          </w:tcPr>
          <w:p w14:paraId="70B33C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192" w:lineRule="auto"/>
              <w:ind w:left="136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0"/>
                <w:sz w:val="24"/>
                <w:szCs w:val="24"/>
              </w:rPr>
              <w:t>外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11"/>
                <w:sz w:val="24"/>
                <w:szCs w:val="24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0"/>
                <w:sz w:val="24"/>
                <w:szCs w:val="24"/>
              </w:rPr>
              <w:t>观</w:t>
            </w:r>
          </w:p>
        </w:tc>
        <w:tc>
          <w:tcPr>
            <w:tcW w:w="2856" w:type="dxa"/>
            <w:tcBorders>
              <w:right w:val="nil"/>
            </w:tcBorders>
            <w:vAlign w:val="top"/>
          </w:tcPr>
          <w:p w14:paraId="4678CA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192" w:lineRule="auto"/>
              <w:ind w:left="987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3"/>
                <w:sz w:val="24"/>
                <w:szCs w:val="24"/>
              </w:rPr>
              <w:t>白色细粉</w:t>
            </w:r>
          </w:p>
        </w:tc>
      </w:tr>
      <w:tr w14:paraId="3F65BC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4551" w:type="dxa"/>
            <w:tcBorders>
              <w:left w:val="nil"/>
            </w:tcBorders>
            <w:vAlign w:val="top"/>
          </w:tcPr>
          <w:p w14:paraId="0575FA8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192" w:lineRule="auto"/>
              <w:ind w:left="136"/>
              <w:textAlignment w:val="baseline"/>
              <w:rPr>
                <w:rFonts w:hint="default" w:ascii="华文中宋" w:hAnsi="华文中宋" w:eastAsia="华文中宋" w:cs="华文中宋"/>
                <w:b w:val="0"/>
                <w:bCs w:val="0"/>
                <w:spacing w:val="-1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0"/>
                <w:sz w:val="24"/>
                <w:szCs w:val="24"/>
                <w:lang w:val="en-US" w:eastAsia="zh-CN"/>
              </w:rPr>
              <w:t>分解温度，℃</w:t>
            </w:r>
          </w:p>
        </w:tc>
        <w:tc>
          <w:tcPr>
            <w:tcW w:w="2856" w:type="dxa"/>
            <w:tcBorders>
              <w:right w:val="nil"/>
            </w:tcBorders>
            <w:vAlign w:val="top"/>
          </w:tcPr>
          <w:p w14:paraId="6622C6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192" w:lineRule="auto"/>
              <w:ind w:left="987"/>
              <w:textAlignment w:val="baseline"/>
              <w:rPr>
                <w:rFonts w:hint="default" w:ascii="华文中宋" w:hAnsi="华文中宋" w:eastAsia="华文中宋" w:cs="华文中宋"/>
                <w:b w:val="0"/>
                <w:bCs w:val="0"/>
                <w:spacing w:val="-13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3"/>
                <w:sz w:val="24"/>
                <w:szCs w:val="24"/>
                <w:lang w:val="en-US" w:eastAsia="zh-CN"/>
              </w:rPr>
              <w:t>＞500</w:t>
            </w:r>
          </w:p>
        </w:tc>
      </w:tr>
      <w:tr w14:paraId="1B887B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4551" w:type="dxa"/>
            <w:tcBorders>
              <w:left w:val="nil"/>
            </w:tcBorders>
            <w:vAlign w:val="top"/>
          </w:tcPr>
          <w:p w14:paraId="63694F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192" w:lineRule="auto"/>
              <w:ind w:left="131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6"/>
                <w:sz w:val="24"/>
                <w:szCs w:val="24"/>
              </w:rPr>
              <w:t>粒径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51"/>
                <w:sz w:val="24"/>
                <w:szCs w:val="24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6"/>
                <w:sz w:val="24"/>
                <w:szCs w:val="24"/>
              </w:rPr>
              <w:t>D50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34"/>
                <w:sz w:val="24"/>
                <w:szCs w:val="24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6"/>
                <w:sz w:val="24"/>
                <w:szCs w:val="24"/>
              </w:rPr>
              <w:t>，μm</w:t>
            </w:r>
          </w:p>
        </w:tc>
        <w:tc>
          <w:tcPr>
            <w:tcW w:w="2856" w:type="dxa"/>
            <w:tcBorders>
              <w:right w:val="nil"/>
            </w:tcBorders>
            <w:vAlign w:val="top"/>
          </w:tcPr>
          <w:p w14:paraId="24B2B8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192" w:lineRule="auto"/>
              <w:ind w:left="1247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"/>
                <w:sz w:val="24"/>
                <w:szCs w:val="24"/>
              </w:rPr>
              <w:t>3~5</w:t>
            </w:r>
          </w:p>
        </w:tc>
      </w:tr>
      <w:tr w14:paraId="326E98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551" w:type="dxa"/>
            <w:tcBorders>
              <w:left w:val="nil"/>
              <w:bottom w:val="single" w:color="000000" w:sz="10" w:space="0"/>
            </w:tcBorders>
            <w:vAlign w:val="top"/>
          </w:tcPr>
          <w:p w14:paraId="509DF1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192" w:lineRule="auto"/>
              <w:ind w:left="133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</w:rPr>
              <w:t>灰分，%</w:t>
            </w:r>
          </w:p>
        </w:tc>
        <w:tc>
          <w:tcPr>
            <w:tcW w:w="2856" w:type="dxa"/>
            <w:tcBorders>
              <w:bottom w:val="single" w:color="000000" w:sz="10" w:space="0"/>
              <w:right w:val="nil"/>
            </w:tcBorders>
            <w:vAlign w:val="top"/>
          </w:tcPr>
          <w:p w14:paraId="1F1C0C9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192" w:lineRule="auto"/>
              <w:ind w:left="1004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"/>
                <w:sz w:val="24"/>
                <w:szCs w:val="24"/>
              </w:rPr>
              <w:t>28.5±1.5</w:t>
            </w:r>
          </w:p>
        </w:tc>
      </w:tr>
    </w:tbl>
    <w:p w14:paraId="42BECC5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192" w:lineRule="auto"/>
        <w:textAlignment w:val="baseline"/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产品特点：</w:t>
      </w:r>
    </w:p>
    <w:p w14:paraId="3FE6703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92" w:lineRule="auto"/>
        <w:ind w:left="560"/>
        <w:textAlignment w:val="baseline"/>
        <w:outlineLvl w:val="1"/>
        <w:rPr>
          <w:rFonts w:hint="eastAsia" w:ascii="华文中宋" w:hAnsi="华文中宋" w:eastAsia="华文中宋" w:cs="华文中宋"/>
          <w:b w:val="0"/>
          <w:bCs w:val="0"/>
          <w:sz w:val="24"/>
          <w:szCs w:val="24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4"/>
          <w:szCs w:val="24"/>
        </w:rPr>
        <w:t>1）无毒，可用于食品接触的材料中</w:t>
      </w:r>
    </w:p>
    <w:p w14:paraId="09DF7B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92" w:lineRule="auto"/>
        <w:ind w:left="549"/>
        <w:textAlignment w:val="baseline"/>
        <w:outlineLvl w:val="1"/>
        <w:rPr>
          <w:rFonts w:hint="eastAsia" w:ascii="华文中宋" w:hAnsi="华文中宋" w:eastAsia="华文中宋" w:cs="华文中宋"/>
          <w:b w:val="0"/>
          <w:bCs w:val="0"/>
          <w:spacing w:val="-3"/>
          <w:sz w:val="24"/>
          <w:szCs w:val="24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5"/>
          <w:sz w:val="24"/>
          <w:szCs w:val="24"/>
        </w:rPr>
        <w:t>2）</w:t>
      </w:r>
      <w:r>
        <w:rPr>
          <w:rFonts w:hint="eastAsia" w:ascii="华文中宋" w:hAnsi="华文中宋" w:eastAsia="华文中宋" w:cs="华文中宋"/>
          <w:b w:val="0"/>
          <w:bCs w:val="0"/>
          <w:spacing w:val="-3"/>
          <w:sz w:val="24"/>
          <w:szCs w:val="24"/>
        </w:rPr>
        <w:t xml:space="preserve">分解温度大于 </w:t>
      </w:r>
      <w:r>
        <w:rPr>
          <w:rFonts w:hint="eastAsia" w:ascii="华文中宋" w:hAnsi="华文中宋" w:eastAsia="华文中宋" w:cs="华文中宋"/>
          <w:b w:val="0"/>
          <w:bCs w:val="0"/>
          <w:spacing w:val="-3"/>
          <w:sz w:val="24"/>
          <w:szCs w:val="24"/>
          <w:lang w:val="en-US" w:eastAsia="zh-CN"/>
        </w:rPr>
        <w:t>50</w:t>
      </w:r>
      <w:r>
        <w:rPr>
          <w:rFonts w:hint="eastAsia" w:ascii="华文中宋" w:hAnsi="华文中宋" w:eastAsia="华文中宋" w:cs="华文中宋"/>
          <w:b w:val="0"/>
          <w:bCs w:val="0"/>
          <w:spacing w:val="-3"/>
          <w:sz w:val="24"/>
          <w:szCs w:val="24"/>
        </w:rPr>
        <w:t>0℃,耐热性能优异</w:t>
      </w:r>
    </w:p>
    <w:p w14:paraId="50F4B2A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6" w:line="192" w:lineRule="auto"/>
        <w:ind w:left="547"/>
        <w:textAlignment w:val="baseline"/>
        <w:outlineLvl w:val="1"/>
        <w:rPr>
          <w:rFonts w:hint="eastAsia" w:ascii="华文中宋" w:hAnsi="华文中宋" w:eastAsia="华文中宋" w:cs="华文中宋"/>
          <w:b w:val="0"/>
          <w:bCs w:val="0"/>
          <w:sz w:val="24"/>
          <w:szCs w:val="24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6"/>
          <w:sz w:val="24"/>
          <w:szCs w:val="24"/>
        </w:rPr>
        <w:t>3）不迁移、不析出</w:t>
      </w:r>
    </w:p>
    <w:p w14:paraId="03ACB6A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2" w:lineRule="auto"/>
        <w:textAlignment w:val="baseline"/>
        <w:rPr>
          <w:rFonts w:hint="eastAsia" w:ascii="华光平黑_CNKI" w:hAnsi="华光平黑_CNKI" w:eastAsia="华光平黑_CNKI" w:cs="华光平黑_CNKI"/>
          <w:sz w:val="21"/>
        </w:rPr>
      </w:pPr>
    </w:p>
    <w:p w14:paraId="6F4DFFE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192" w:lineRule="auto"/>
        <w:textAlignment w:val="baseline"/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安全性能：</w:t>
      </w:r>
    </w:p>
    <w:p w14:paraId="2B5168F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92" w:lineRule="auto"/>
        <w:ind w:left="555"/>
        <w:textAlignment w:val="baseline"/>
        <w:rPr>
          <w:rFonts w:hint="eastAsia" w:ascii="华文中宋" w:hAnsi="华文中宋" w:eastAsia="华文中宋" w:cs="华文中宋"/>
          <w:b w:val="0"/>
          <w:bCs w:val="0"/>
          <w:sz w:val="24"/>
          <w:szCs w:val="24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2"/>
          <w:sz w:val="24"/>
          <w:szCs w:val="24"/>
        </w:rPr>
        <w:t>符合欧盟</w:t>
      </w:r>
      <w:r>
        <w:rPr>
          <w:rFonts w:hint="eastAsia" w:ascii="华文中宋" w:hAnsi="华文中宋" w:eastAsia="华文中宋" w:cs="华文中宋"/>
          <w:b w:val="0"/>
          <w:bCs w:val="0"/>
          <w:spacing w:val="-59"/>
          <w:sz w:val="24"/>
          <w:szCs w:val="24"/>
        </w:rPr>
        <w:t xml:space="preserve"> </w:t>
      </w:r>
      <w:r>
        <w:rPr>
          <w:rFonts w:hint="eastAsia" w:ascii="华文中宋" w:hAnsi="华文中宋" w:eastAsia="华文中宋" w:cs="华文中宋"/>
          <w:b w:val="0"/>
          <w:bCs w:val="0"/>
          <w:spacing w:val="-2"/>
          <w:sz w:val="24"/>
          <w:szCs w:val="24"/>
        </w:rPr>
        <w:t>RoHS 指令和</w:t>
      </w:r>
      <w:r>
        <w:rPr>
          <w:rFonts w:hint="eastAsia" w:ascii="华文中宋" w:hAnsi="华文中宋" w:eastAsia="华文中宋" w:cs="华文中宋"/>
          <w:b w:val="0"/>
          <w:bCs w:val="0"/>
          <w:spacing w:val="-63"/>
          <w:sz w:val="24"/>
          <w:szCs w:val="24"/>
        </w:rPr>
        <w:t xml:space="preserve"> </w:t>
      </w:r>
      <w:r>
        <w:rPr>
          <w:rFonts w:hint="eastAsia" w:ascii="华文中宋" w:hAnsi="华文中宋" w:eastAsia="华文中宋" w:cs="华文中宋"/>
          <w:b w:val="0"/>
          <w:bCs w:val="0"/>
          <w:spacing w:val="-2"/>
          <w:sz w:val="24"/>
          <w:szCs w:val="24"/>
        </w:rPr>
        <w:t>REACH 法规的要求。</w:t>
      </w:r>
    </w:p>
    <w:p w14:paraId="5358A33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2" w:lineRule="auto"/>
        <w:textAlignment w:val="baseline"/>
        <w:rPr>
          <w:rFonts w:hint="eastAsia" w:ascii="华光平黑_CNKI" w:hAnsi="华光平黑_CNKI" w:eastAsia="华光平黑_CNKI" w:cs="华光平黑_CNKI"/>
          <w:sz w:val="21"/>
        </w:rPr>
      </w:pPr>
    </w:p>
    <w:p w14:paraId="782F0E2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192" w:lineRule="auto"/>
        <w:textAlignment w:val="baseline"/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贮存条件：</w:t>
      </w:r>
    </w:p>
    <w:p w14:paraId="0B53571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192" w:lineRule="auto"/>
        <w:textAlignment w:val="baseline"/>
        <w:rPr>
          <w:rFonts w:hint="eastAsia" w:ascii="华文中宋" w:hAnsi="华文中宋" w:eastAsia="华文中宋" w:cs="华文中宋"/>
          <w:sz w:val="24"/>
          <w:szCs w:val="24"/>
          <w:shd w:val="clear" w:color="FFFFFF" w:fill="D9D9D9"/>
          <w:lang w:val="en-US" w:eastAsia="zh-CN"/>
        </w:rPr>
      </w:pPr>
    </w:p>
    <w:p w14:paraId="47969DF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64" w:firstLineChars="200"/>
        <w:textAlignment w:val="baseline"/>
        <w:rPr>
          <w:rFonts w:hint="eastAsia" w:ascii="华文中宋" w:hAnsi="华文中宋" w:eastAsia="华文中宋" w:cs="华文中宋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4"/>
          <w:sz w:val="24"/>
          <w:szCs w:val="24"/>
          <w:shd w:val="clear" w:color="auto" w:fill="auto"/>
        </w:rPr>
        <w:t>本</w:t>
      </w:r>
      <w:r>
        <w:rPr>
          <w:rFonts w:hint="eastAsia" w:ascii="华文中宋" w:hAnsi="华文中宋" w:eastAsia="华文中宋" w:cs="华文中宋"/>
          <w:sz w:val="24"/>
          <w:szCs w:val="24"/>
          <w:shd w:val="clear" w:color="auto" w:fill="auto"/>
          <w:lang w:val="en-US" w:eastAsia="zh-CN"/>
        </w:rPr>
        <w:t>品具有极佳的贮存稳定性，存放于阴凉、通风、干燥的地方。</w:t>
      </w:r>
    </w:p>
    <w:p w14:paraId="45AB8D4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产品包装：</w:t>
      </w:r>
    </w:p>
    <w:p w14:paraId="53DE3E2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68" w:firstLineChars="200"/>
        <w:textAlignment w:val="baseline"/>
        <w:rPr>
          <w:rFonts w:hint="eastAsia" w:ascii="华文中宋" w:hAnsi="华文中宋" w:eastAsia="华文中宋" w:cs="华文中宋"/>
          <w:b w:val="0"/>
          <w:bCs w:val="0"/>
          <w:spacing w:val="-3"/>
          <w:sz w:val="24"/>
          <w:szCs w:val="24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4"/>
          <w:szCs w:val="24"/>
        </w:rPr>
        <w:t>复合袋包装，每件净重</w:t>
      </w:r>
      <w:r>
        <w:rPr>
          <w:rFonts w:hint="eastAsia" w:ascii="华文中宋" w:hAnsi="华文中宋" w:eastAsia="华文中宋" w:cs="华文中宋"/>
          <w:b w:val="0"/>
          <w:bCs w:val="0"/>
          <w:spacing w:val="-59"/>
          <w:sz w:val="24"/>
          <w:szCs w:val="24"/>
        </w:rPr>
        <w:t xml:space="preserve"> </w:t>
      </w:r>
      <w:r>
        <w:rPr>
          <w:rFonts w:hint="eastAsia" w:ascii="华文中宋" w:hAnsi="华文中宋" w:eastAsia="华文中宋" w:cs="华文中宋"/>
          <w:b w:val="0"/>
          <w:bCs w:val="0"/>
          <w:spacing w:val="-3"/>
          <w:sz w:val="24"/>
          <w:szCs w:val="24"/>
        </w:rPr>
        <w:t>25kg。</w:t>
      </w:r>
    </w:p>
    <w:p w14:paraId="604B9A7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华文中宋" w:hAnsi="华文中宋" w:eastAsia="华文中宋" w:cs="华文中宋"/>
          <w:b/>
          <w:bCs/>
          <w:spacing w:val="-3"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pacing w:val="-3"/>
          <w:sz w:val="24"/>
          <w:szCs w:val="24"/>
          <w:shd w:val="clear" w:color="FFFFFF" w:fill="D9D9D9"/>
          <w:lang w:val="en-US" w:eastAsia="zh-CN"/>
        </w:rPr>
        <w:t>特别声明：</w:t>
      </w:r>
    </w:p>
    <w:p w14:paraId="063A38F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 w:ascii="华文中宋" w:hAnsi="华文中宋" w:eastAsia="华文中宋" w:cs="华文中宋"/>
          <w:b w:val="0"/>
          <w:bCs w:val="0"/>
          <w:spacing w:val="-3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4"/>
          <w:szCs w:val="24"/>
          <w:lang w:val="en-US" w:eastAsia="zh-CN"/>
        </w:rPr>
        <w:t xml:space="preserve">    本说明书是依据实验所得出的结论，不等同于对产品的承诺。</w:t>
      </w:r>
    </w:p>
    <w:p w14:paraId="1C14D1EE">
      <w:r>
        <w:rPr>
          <w:rFonts w:hint="eastAsia"/>
          <w:lang w:val="en-US" w:eastAsia="zh-CN"/>
        </w:rPr>
        <w:t>　　　　　　　　　　　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光平黑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96102">
    <w:pPr>
      <w:pStyle w:val="3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-1123315</wp:posOffset>
          </wp:positionH>
          <wp:positionV relativeFrom="paragraph">
            <wp:posOffset>-375920</wp:posOffset>
          </wp:positionV>
          <wp:extent cx="7531735" cy="1113790"/>
          <wp:effectExtent l="0" t="0" r="12065" b="13970"/>
          <wp:wrapNone/>
          <wp:docPr id="3" name="图片 3" descr="D:/阿尔法新材/阿尔法横条2.png阿尔法横条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D:/阿尔法新材/阿尔法横条2.png阿尔法横条2"/>
                  <pic:cNvPicPr>
                    <a:picLocks noChangeAspect="1"/>
                  </pic:cNvPicPr>
                </pic:nvPicPr>
                <pic:blipFill>
                  <a:blip r:embed="rId1"/>
                  <a:srcRect l="56" r="56"/>
                  <a:stretch>
                    <a:fillRect/>
                  </a:stretch>
                </pic:blipFill>
                <pic:spPr>
                  <a:xfrm>
                    <a:off x="0" y="0"/>
                    <a:ext cx="7531735" cy="11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9FEF3">
    <w:pPr>
      <w:pStyle w:val="4"/>
      <w:pBdr>
        <w:bottom w:val="none" w:color="auto" w:sz="0" w:space="1"/>
      </w:pBdr>
      <w:jc w:val="left"/>
      <w:rPr>
        <w:rFonts w:hint="eastAsia"/>
        <w:lang w:val="en-US" w:eastAsia="zh-CN"/>
      </w:rPr>
    </w:pPr>
    <w:r>
      <w:rPr>
        <w:rFonts w:hint="default" w:eastAsia="宋体"/>
        <w:lang w:val="en-US"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-12065</wp:posOffset>
          </wp:positionV>
          <wp:extent cx="597535" cy="504190"/>
          <wp:effectExtent l="0" t="0" r="0" b="13970"/>
          <wp:wrapNone/>
          <wp:docPr id="2" name="图片 1" descr="QQ截图20240406082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QQ截图202404060825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53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</w:t>
    </w:r>
  </w:p>
  <w:p w14:paraId="21C0B95F">
    <w:pPr>
      <w:pStyle w:val="4"/>
      <w:pBdr>
        <w:bottom w:val="thinThickThinSmallGap" w:color="FF9900" w:sz="18" w:space="1"/>
      </w:pBdr>
      <w:ind w:firstLine="2168" w:firstLineChars="600"/>
      <w:jc w:val="left"/>
      <w:rPr>
        <w:rFonts w:hint="default"/>
        <w:b/>
        <w:bCs/>
        <w:sz w:val="36"/>
        <w:szCs w:val="36"/>
        <w:lang w:val="en-US" w:eastAsia="zh-CN"/>
      </w:rPr>
    </w:pPr>
    <w:r>
      <w:rPr>
        <w:rFonts w:hint="eastAsia"/>
        <w:b/>
        <w:bCs/>
        <w:sz w:val="36"/>
        <w:szCs w:val="36"/>
        <w:lang w:val="en-US" w:eastAsia="zh-CN"/>
      </w:rPr>
      <w:t>阿尔法（深圳）环保新材料有限公司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284F53"/>
    <w:multiLevelType w:val="singleLevel"/>
    <w:tmpl w:val="D2284F53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zNmQyZTI3ZmRmMWQ1YmRjMGEwNTAzYzk4ZTI0NjcifQ=="/>
  </w:docVars>
  <w:rsids>
    <w:rsidRoot w:val="1B0A52F7"/>
    <w:rsid w:val="006D23F4"/>
    <w:rsid w:val="055720E9"/>
    <w:rsid w:val="09D33F3F"/>
    <w:rsid w:val="0A9E5E78"/>
    <w:rsid w:val="1B0A52F7"/>
    <w:rsid w:val="1BAA64E7"/>
    <w:rsid w:val="1E445E91"/>
    <w:rsid w:val="24E039DD"/>
    <w:rsid w:val="2A495DB3"/>
    <w:rsid w:val="302D6B7B"/>
    <w:rsid w:val="33824768"/>
    <w:rsid w:val="45413302"/>
    <w:rsid w:val="4BBF58CC"/>
    <w:rsid w:val="4C9E583C"/>
    <w:rsid w:val="59657925"/>
    <w:rsid w:val="5FE66060"/>
    <w:rsid w:val="67C25F42"/>
    <w:rsid w:val="6A0E500E"/>
    <w:rsid w:val="6EAB47DA"/>
    <w:rsid w:val="73355695"/>
    <w:rsid w:val="76F34D5F"/>
    <w:rsid w:val="7DB54F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8463;&#23572;&#27861;&#26032;&#26448;\&#38463;&#23572;&#27861;&#25991;&#26723;&#27169;&#29256;1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阿尔法文档模版1.wpt</Template>
  <Pages>2</Pages>
  <Words>695</Words>
  <Characters>790</Characters>
  <Lines>0</Lines>
  <Paragraphs>0</Paragraphs>
  <TotalTime>541</TotalTime>
  <ScaleCrop>false</ScaleCrop>
  <LinksUpToDate>false</LinksUpToDate>
  <CharactersWithSpaces>839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2024-09-02T07:02:00Z</dcterms:created>
  <dc:creator>阿军古</dc:creator>
  <cp:lastModifiedBy>阿军古</cp:lastModifiedBy>
  <cp:lastPrinted>2024-10-28T06:33:00Z</cp:lastPrinted>
  <dcterms:modified xsi:type="dcterms:W3CDTF">2025-11-10T00:26:39Z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E6AE2865F3914EA3A2BC73C302547675_13</vt:lpwstr>
  </property>
  <property fmtid="{D5CDD505-2E9C-101B-9397-08002B2CF9AE}" pid="4" name="KSOTemplateDocerSaveRecord">
    <vt:lpwstr>eyJoZGlkIjoiOGQzNmQyZTI3ZmRmMWQ1YmRjMGEwNTAzYzk4ZTI0NjciLCJ1c2VySWQiOiIyMjExNDI1MDYifQ==</vt:lpwstr>
  </property>
</Properties>
</file>