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D4B652"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电阻率稳定剂CCL-601</w:t>
      </w:r>
    </w:p>
    <w:p w14:paraId="276FE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5AA4923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textAlignment w:val="baseline"/>
        <w:rPr>
          <w:rFonts w:hint="default" w:ascii="华光平黑_CNKI" w:hAnsi="华光平黑_CNKI" w:eastAsia="华光平黑_CNKI" w:cs="华光平黑_CNKI"/>
          <w:b/>
          <w:bCs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产品指标</w:t>
      </w:r>
      <w:r>
        <w:rPr>
          <w:rFonts w:hint="eastAsia" w:ascii="华光平黑_CNKI" w:hAnsi="华光平黑_CNKI" w:eastAsia="华光平黑_CNKI" w:cs="华光平黑_CNKI"/>
          <w:b/>
          <w:bCs/>
          <w:shd w:val="clear" w:color="FFFFFF" w:fill="D9D9D9"/>
          <w:lang w:val="en-US" w:eastAsia="zh-CN"/>
        </w:rPr>
        <w:t>：</w:t>
      </w:r>
    </w:p>
    <w:p w14:paraId="4CFF7534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92" w:lineRule="auto"/>
        <w:textAlignment w:val="baseline"/>
        <w:rPr>
          <w:rFonts w:hint="eastAsia" w:ascii="华光平黑_CNKI" w:hAnsi="华光平黑_CNKI" w:eastAsia="华光平黑_CNKI" w:cs="华光平黑_CNKI"/>
        </w:rPr>
      </w:pPr>
    </w:p>
    <w:tbl>
      <w:tblPr>
        <w:tblStyle w:val="7"/>
        <w:tblW w:w="7183" w:type="dxa"/>
        <w:tblInd w:w="1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13"/>
        <w:gridCol w:w="2770"/>
      </w:tblGrid>
      <w:tr w14:paraId="0E9249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413" w:type="dxa"/>
            <w:tcBorders>
              <w:top w:val="single" w:color="000000" w:sz="10" w:space="0"/>
              <w:left w:val="nil"/>
            </w:tcBorders>
            <w:vAlign w:val="top"/>
          </w:tcPr>
          <w:p w14:paraId="29E4A8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993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1"/>
                <w:szCs w:val="21"/>
              </w:rPr>
              <w:t>项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58"/>
                <w:sz w:val="21"/>
                <w:szCs w:val="21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1"/>
                <w:szCs w:val="21"/>
              </w:rPr>
              <w:t>目</w:t>
            </w:r>
          </w:p>
        </w:tc>
        <w:tc>
          <w:tcPr>
            <w:tcW w:w="2770" w:type="dxa"/>
            <w:tcBorders>
              <w:top w:val="single" w:color="000000" w:sz="10" w:space="0"/>
              <w:right w:val="nil"/>
            </w:tcBorders>
            <w:vAlign w:val="top"/>
          </w:tcPr>
          <w:p w14:paraId="43F081D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135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9"/>
                <w:sz w:val="21"/>
                <w:szCs w:val="21"/>
              </w:rPr>
              <w:t>指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12"/>
                <w:sz w:val="21"/>
                <w:szCs w:val="21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9"/>
                <w:sz w:val="21"/>
                <w:szCs w:val="21"/>
              </w:rPr>
              <w:t>标</w:t>
            </w:r>
          </w:p>
        </w:tc>
      </w:tr>
      <w:tr w14:paraId="598808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413" w:type="dxa"/>
            <w:tcBorders>
              <w:left w:val="nil"/>
            </w:tcBorders>
            <w:vAlign w:val="top"/>
          </w:tcPr>
          <w:p w14:paraId="70B33C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36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1"/>
                <w:szCs w:val="21"/>
              </w:rPr>
              <w:t>外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11"/>
                <w:sz w:val="21"/>
                <w:szCs w:val="21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1"/>
                <w:szCs w:val="21"/>
              </w:rPr>
              <w:t>观</w:t>
            </w:r>
          </w:p>
        </w:tc>
        <w:tc>
          <w:tcPr>
            <w:tcW w:w="2770" w:type="dxa"/>
            <w:tcBorders>
              <w:right w:val="nil"/>
            </w:tcBorders>
            <w:vAlign w:val="top"/>
          </w:tcPr>
          <w:p w14:paraId="4678CA8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192" w:lineRule="auto"/>
              <w:ind w:left="987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3"/>
                <w:sz w:val="21"/>
                <w:szCs w:val="21"/>
              </w:rPr>
              <w:t>白色细粉</w:t>
            </w:r>
          </w:p>
        </w:tc>
      </w:tr>
      <w:tr w14:paraId="13E415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413" w:type="dxa"/>
            <w:tcBorders>
              <w:left w:val="nil"/>
            </w:tcBorders>
            <w:vAlign w:val="top"/>
          </w:tcPr>
          <w:p w14:paraId="5ED8C7B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192" w:lineRule="auto"/>
              <w:ind w:left="136"/>
              <w:textAlignment w:val="baseline"/>
              <w:rPr>
                <w:rFonts w:hint="default" w:ascii="华文中宋" w:hAnsi="华文中宋" w:eastAsia="华文中宋" w:cs="华文中宋"/>
                <w:b w:val="0"/>
                <w:bCs w:val="0"/>
                <w:spacing w:val="-10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0"/>
                <w:sz w:val="21"/>
                <w:szCs w:val="21"/>
                <w:lang w:val="en-US" w:eastAsia="zh-CN"/>
              </w:rPr>
              <w:t>分解温度℃</w:t>
            </w:r>
          </w:p>
        </w:tc>
        <w:tc>
          <w:tcPr>
            <w:tcW w:w="2770" w:type="dxa"/>
            <w:tcBorders>
              <w:right w:val="nil"/>
            </w:tcBorders>
            <w:vAlign w:val="top"/>
          </w:tcPr>
          <w:p w14:paraId="3D1C07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line="192" w:lineRule="auto"/>
              <w:ind w:left="987"/>
              <w:textAlignment w:val="baseline"/>
              <w:rPr>
                <w:rFonts w:hint="default" w:ascii="华文中宋" w:hAnsi="华文中宋" w:eastAsia="华文中宋" w:cs="华文中宋"/>
                <w:b w:val="0"/>
                <w:bCs w:val="0"/>
                <w:spacing w:val="-13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3"/>
                <w:sz w:val="21"/>
                <w:szCs w:val="21"/>
                <w:lang w:val="en-US" w:eastAsia="zh-CN"/>
              </w:rPr>
              <w:t>＞500</w:t>
            </w:r>
          </w:p>
        </w:tc>
      </w:tr>
      <w:tr w14:paraId="1B887B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413" w:type="dxa"/>
            <w:tcBorders>
              <w:left w:val="nil"/>
            </w:tcBorders>
            <w:vAlign w:val="top"/>
          </w:tcPr>
          <w:p w14:paraId="63694F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192" w:lineRule="auto"/>
              <w:ind w:left="131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6"/>
                <w:sz w:val="21"/>
                <w:szCs w:val="21"/>
              </w:rPr>
              <w:t>粒径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51"/>
                <w:sz w:val="21"/>
                <w:szCs w:val="21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6"/>
                <w:sz w:val="21"/>
                <w:szCs w:val="21"/>
              </w:rPr>
              <w:t>D50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34"/>
                <w:sz w:val="21"/>
                <w:szCs w:val="21"/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6"/>
                <w:sz w:val="21"/>
                <w:szCs w:val="21"/>
              </w:rPr>
              <w:t>，μm</w:t>
            </w:r>
          </w:p>
        </w:tc>
        <w:tc>
          <w:tcPr>
            <w:tcW w:w="2770" w:type="dxa"/>
            <w:tcBorders>
              <w:right w:val="nil"/>
            </w:tcBorders>
            <w:vAlign w:val="top"/>
          </w:tcPr>
          <w:p w14:paraId="24B2B8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192" w:lineRule="auto"/>
              <w:ind w:left="1247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"/>
                <w:sz w:val="21"/>
                <w:szCs w:val="21"/>
              </w:rPr>
              <w:t>3~5</w:t>
            </w:r>
          </w:p>
        </w:tc>
      </w:tr>
      <w:tr w14:paraId="326E98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4413" w:type="dxa"/>
            <w:tcBorders>
              <w:left w:val="nil"/>
              <w:bottom w:val="single" w:color="000000" w:sz="10" w:space="0"/>
            </w:tcBorders>
            <w:vAlign w:val="top"/>
          </w:tcPr>
          <w:p w14:paraId="509DF1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192" w:lineRule="auto"/>
              <w:ind w:left="133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  <w:t>灰分，%</w:t>
            </w:r>
          </w:p>
        </w:tc>
        <w:tc>
          <w:tcPr>
            <w:tcW w:w="2770" w:type="dxa"/>
            <w:tcBorders>
              <w:bottom w:val="single" w:color="000000" w:sz="10" w:space="0"/>
              <w:right w:val="nil"/>
            </w:tcBorders>
            <w:vAlign w:val="top"/>
          </w:tcPr>
          <w:p w14:paraId="1F1C0C9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192" w:lineRule="auto"/>
              <w:ind w:left="1004"/>
              <w:textAlignment w:val="baseline"/>
              <w:rPr>
                <w:rFonts w:hint="eastAsia" w:ascii="华文中宋" w:hAnsi="华文中宋" w:eastAsia="华文中宋" w:cs="华文中宋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"/>
                <w:sz w:val="21"/>
                <w:szCs w:val="21"/>
              </w:rPr>
              <w:t>2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华文中宋" w:hAnsi="华文中宋" w:eastAsia="华文中宋" w:cs="华文中宋"/>
                <w:b w:val="0"/>
                <w:bCs w:val="0"/>
                <w:spacing w:val="-1"/>
                <w:sz w:val="21"/>
                <w:szCs w:val="21"/>
              </w:rPr>
              <w:t>±1.5</w:t>
            </w:r>
          </w:p>
        </w:tc>
      </w:tr>
    </w:tbl>
    <w:p w14:paraId="74ABD44B">
      <w:pPr>
        <w:rPr>
          <w:rFonts w:hint="eastAsia"/>
          <w:lang w:val="en-US" w:eastAsia="zh-CN"/>
        </w:rPr>
      </w:pPr>
    </w:p>
    <w:p w14:paraId="42BECC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192" w:lineRule="auto"/>
        <w:textAlignment w:val="baseline"/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产品特点：</w:t>
      </w:r>
    </w:p>
    <w:p w14:paraId="3FE6703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49"/>
        <w:textAlignment w:val="baseline"/>
        <w:outlineLvl w:val="1"/>
        <w:rPr>
          <w:rFonts w:hint="default" w:ascii="华文中宋" w:hAnsi="华文中宋" w:eastAsia="华文中宋" w:cs="华文中宋"/>
          <w:b w:val="0"/>
          <w:bCs w:val="0"/>
          <w:spacing w:val="5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</w:rPr>
        <w:t>1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</w:rPr>
        <w:t>）无毒，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  <w:lang w:val="en-US" w:eastAsia="zh-CN"/>
        </w:rPr>
        <w:t>是一款有机钙盐，有效保持电线制品的水泡（含盐水）电阻率，基本不衰减</w:t>
      </w:r>
    </w:p>
    <w:p w14:paraId="09DF7B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49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</w:rPr>
        <w:t xml:space="preserve">2）分解温度大于 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  <w:lang w:val="en-US" w:eastAsia="zh-CN"/>
        </w:rPr>
        <w:t>50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</w:rPr>
        <w:t>0℃,耐热性能优异</w:t>
      </w:r>
    </w:p>
    <w:p w14:paraId="50F4B2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49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</w:rPr>
        <w:t>3）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  <w:lang w:val="en-US" w:eastAsia="zh-CN"/>
        </w:rPr>
        <w:t>与PVC相容性好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  <w:lang w:eastAsia="zh-CN"/>
        </w:rPr>
        <w:t>，</w:t>
      </w:r>
      <w:r>
        <w:rPr>
          <w:rFonts w:hint="eastAsia" w:ascii="华文中宋" w:hAnsi="华文中宋" w:eastAsia="华文中宋" w:cs="华文中宋"/>
          <w:b w:val="0"/>
          <w:bCs w:val="0"/>
          <w:spacing w:val="5"/>
          <w:sz w:val="21"/>
          <w:szCs w:val="21"/>
        </w:rPr>
        <w:t>不迁移、不析出</w:t>
      </w:r>
    </w:p>
    <w:p w14:paraId="1CAC18E7">
      <w:pPr>
        <w:rPr>
          <w:rFonts w:hint="eastAsia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应用特点：</w:t>
      </w:r>
      <w:r>
        <w:rPr>
          <w:rFonts w:hint="eastAsia"/>
          <w:lang w:val="en-US" w:eastAsia="zh-CN"/>
        </w:rPr>
        <w:t xml:space="preserve"> </w:t>
      </w:r>
    </w:p>
    <w:p w14:paraId="4D99DF8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50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1.    在PVC生产中，有内润滑功能，不析出，无过量之弊</w:t>
      </w:r>
    </w:p>
    <w:p w14:paraId="5BF2829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50"/>
        <w:textAlignment w:val="baseline"/>
        <w:outlineLvl w:val="1"/>
        <w:rPr>
          <w:rFonts w:hint="default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2.    在PVC生产中，可以提高流动性，使电线制品更加光亮</w:t>
      </w:r>
    </w:p>
    <w:p w14:paraId="0F5FE4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50"/>
        <w:textAlignment w:val="baseline"/>
        <w:outlineLvl w:val="1"/>
        <w:rPr>
          <w:rFonts w:hint="default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3.    建议添加量：0.5~1phr</w:t>
      </w:r>
    </w:p>
    <w:p w14:paraId="76DDD12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50"/>
        <w:textAlignment w:val="baseline"/>
        <w:outlineLvl w:val="1"/>
        <w:rPr>
          <w:rFonts w:hint="default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4.    该产品具有稳定功效，提高稳定性，提升制品白度</w:t>
      </w:r>
    </w:p>
    <w:p w14:paraId="73F43929">
      <w:pPr>
        <w:keepNext w:val="0"/>
        <w:keepLines w:val="0"/>
        <w:pageBreakBefore w:val="0"/>
        <w:wordWrap/>
        <w:overflowPunct/>
        <w:topLinePunct w:val="0"/>
        <w:bidi w:val="0"/>
        <w:spacing w:line="12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产品包装:</w:t>
      </w:r>
    </w:p>
    <w:p w14:paraId="4068A4A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50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纸塑袋包装，内衬PE膜防潮，25公斤一袋。40包一个卡板(托盘)，每个</w:t>
      </w:r>
      <w:bookmarkStart w:id="0" w:name="_GoBack"/>
      <w:bookmarkEnd w:id="0"/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卡板(托盘)净重1000公</w:t>
      </w:r>
    </w:p>
    <w:p w14:paraId="2187FC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50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斤，外部由拉伸缠绕。</w:t>
      </w:r>
    </w:p>
    <w:p w14:paraId="6051CCE5">
      <w:pPr>
        <w:keepNext w:val="0"/>
        <w:keepLines w:val="0"/>
        <w:pageBreakBefore w:val="0"/>
        <w:wordWrap/>
        <w:overflowPunct/>
        <w:topLinePunct w:val="0"/>
        <w:bidi w:val="0"/>
        <w:spacing w:line="120" w:lineRule="auto"/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z w:val="24"/>
          <w:szCs w:val="24"/>
          <w:shd w:val="clear" w:color="FFFFFF" w:fill="D9D9D9"/>
          <w:lang w:val="en-US" w:eastAsia="zh-CN"/>
        </w:rPr>
        <w:t>安全预防措施:</w:t>
      </w:r>
    </w:p>
    <w:p w14:paraId="357535F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49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1.    一般非危险化工产品常规储存。</w:t>
      </w:r>
    </w:p>
    <w:p w14:paraId="76420CD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49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2.    CCL-601产品在使用常规的工业卫生做法处理时被视作无危害的,可用于食品接触。我们</w:t>
      </w:r>
    </w:p>
    <w:p w14:paraId="6B2C83D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4" w:line="120" w:lineRule="auto"/>
        <w:ind w:left="549"/>
        <w:textAlignment w:val="baseline"/>
        <w:outlineLvl w:val="1"/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>可以提供材料安全性能数据以供参考。</w:t>
      </w:r>
    </w:p>
    <w:p w14:paraId="604B9A7E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textAlignment w:val="baseline"/>
        <w:rPr>
          <w:rFonts w:hint="eastAsia" w:ascii="华文中宋" w:hAnsi="华文中宋" w:eastAsia="华文中宋" w:cs="华文中宋"/>
          <w:b/>
          <w:bCs/>
          <w:spacing w:val="-3"/>
          <w:sz w:val="24"/>
          <w:szCs w:val="24"/>
          <w:shd w:val="clear" w:color="FFFFFF" w:fill="D9D9D9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spacing w:val="-3"/>
          <w:sz w:val="24"/>
          <w:szCs w:val="24"/>
          <w:shd w:val="clear" w:color="FFFFFF" w:fill="D9D9D9"/>
          <w:lang w:val="en-US" w:eastAsia="zh-CN"/>
        </w:rPr>
        <w:t>特别声明：</w:t>
      </w:r>
    </w:p>
    <w:p w14:paraId="4D55D95A">
      <w:pPr>
        <w:keepNext w:val="0"/>
        <w:keepLines w:val="0"/>
        <w:pageBreakBefore w:val="0"/>
        <w:wordWrap/>
        <w:overflowPunct/>
        <w:topLinePunct w:val="0"/>
        <w:bidi w:val="0"/>
        <w:spacing w:line="120" w:lineRule="auto"/>
      </w:pPr>
      <w:r>
        <w:rPr>
          <w:rFonts w:hint="eastAsia" w:ascii="华文中宋" w:hAnsi="华文中宋" w:eastAsia="华文中宋" w:cs="华文中宋"/>
          <w:b w:val="0"/>
          <w:bCs w:val="0"/>
          <w:spacing w:val="-3"/>
          <w:sz w:val="21"/>
          <w:szCs w:val="21"/>
          <w:lang w:val="en-US" w:eastAsia="zh-CN"/>
        </w:rPr>
        <w:t xml:space="preserve">    本说明书是依据实验所得出的结论，不等同于对产品的承诺。</w:t>
      </w:r>
      <w:r>
        <w:rPr>
          <w:rFonts w:hint="eastAsia"/>
          <w:lang w:val="en-US" w:eastAsia="zh-CN"/>
        </w:rPr>
        <w:t>　　　　　　　</w:t>
      </w:r>
    </w:p>
    <w:sectPr>
      <w:headerReference r:id="rId3" w:type="default"/>
      <w:footerReference r:id="rId4" w:type="default"/>
      <w:pgSz w:w="11906" w:h="16838"/>
      <w:pgMar w:top="720" w:right="777" w:bottom="720" w:left="106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光平黑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38EC4">
    <w:pPr>
      <w:pStyle w:val="3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-882650</wp:posOffset>
          </wp:positionH>
          <wp:positionV relativeFrom="paragraph">
            <wp:posOffset>-375920</wp:posOffset>
          </wp:positionV>
          <wp:extent cx="7747635" cy="1144905"/>
          <wp:effectExtent l="0" t="0" r="9525" b="13335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7635" cy="1144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AFE24">
    <w:pPr>
      <w:pStyle w:val="4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568325</wp:posOffset>
          </wp:positionH>
          <wp:positionV relativeFrom="paragraph">
            <wp:posOffset>-29210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00497BDD">
    <w:pPr>
      <w:pStyle w:val="4"/>
      <w:pBdr>
        <w:bottom w:val="thinThickThinSmallGap" w:color="auto" w:sz="18" w:space="1"/>
      </w:pBdr>
      <w:ind w:firstLine="2530" w:firstLineChars="7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dit="readOnly"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5C4C3AA8"/>
    <w:rsid w:val="0A9E5E78"/>
    <w:rsid w:val="10AD350D"/>
    <w:rsid w:val="29393FB1"/>
    <w:rsid w:val="2A495DB3"/>
    <w:rsid w:val="36033F5E"/>
    <w:rsid w:val="37063F20"/>
    <w:rsid w:val="3C593DEA"/>
    <w:rsid w:val="5C4C3AA8"/>
    <w:rsid w:val="5D876FA7"/>
    <w:rsid w:val="67F17A73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阿尔法文档模版.wpt</Template>
  <Pages>1</Pages>
  <Words>365</Words>
  <Characters>414</Characters>
  <Lines>0</Lines>
  <Paragraphs>0</Paragraphs>
  <TotalTime>65</TotalTime>
  <ScaleCrop>false</ScaleCrop>
  <LinksUpToDate>false</LinksUpToDate>
  <CharactersWithSpaces>458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2025-03-28T12:35:00Z</dcterms:created>
  <dc:creator>阿军古</dc:creator>
  <cp:lastModifiedBy>阿军古</cp:lastModifiedBy>
  <dcterms:modified xsi:type="dcterms:W3CDTF">2026-03-13T00:08:49Z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1FC28E991C3647A69787087839D13A51_13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