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CB599A">
      <w:pPr>
        <w:ind w:firstLine="2220" w:firstLineChars="600"/>
        <w:rPr>
          <w:rFonts w:hint="default"/>
          <w:lang w:val="en-US"/>
        </w:rPr>
      </w:pPr>
      <w:bookmarkStart w:id="0" w:name="_GoBack"/>
      <w:r>
        <w:rPr>
          <w:rFonts w:hint="eastAsia" w:eastAsia="宋体"/>
          <w:sz w:val="37"/>
          <w:szCs w:val="37"/>
          <w:lang w:val="en-US" w:eastAsia="zh-CN"/>
        </w:rPr>
        <w:t>高效辅助热稳定剂</w:t>
      </w:r>
      <w:r>
        <w:rPr>
          <w:rFonts w:hint="eastAsia"/>
          <w:sz w:val="37"/>
          <w:szCs w:val="37"/>
          <w:lang w:val="en-US" w:eastAsia="zh-CN"/>
        </w:rPr>
        <w:t>AEF-477</w:t>
      </w:r>
    </w:p>
    <w:bookmarkEnd w:id="0"/>
    <w:p w14:paraId="31548367">
      <w:pPr>
        <w:rPr>
          <w:rFonts w:hint="eastAsia"/>
        </w:rPr>
      </w:pPr>
    </w:p>
    <w:p w14:paraId="025F8FA3">
      <w:pPr>
        <w:rPr>
          <w:rFonts w:hint="eastAsia" w:eastAsia="宋体"/>
          <w:lang w:val="en-US" w:eastAsia="zh-CN"/>
        </w:rPr>
      </w:pPr>
      <w:r>
        <w:rPr>
          <w:rFonts w:hint="eastAsia"/>
        </w:rPr>
        <w:t>功能描述</w:t>
      </w:r>
      <w:r>
        <w:rPr>
          <w:rFonts w:hint="eastAsia" w:eastAsia="宋体"/>
          <w:lang w:eastAsia="zh-CN"/>
        </w:rPr>
        <w:t>：</w:t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>钙/锌热稳定剂及有机锡热稳定剂专用高效辅助热稳定剂</w:t>
      </w:r>
    </w:p>
    <w:p w14:paraId="04F64A0D">
      <w:pPr>
        <w:rPr>
          <w:rFonts w:hint="eastAsia" w:eastAsia="宋体"/>
          <w:lang w:val="en-US" w:eastAsia="zh-CN"/>
        </w:rPr>
      </w:pPr>
    </w:p>
    <w:p w14:paraId="53F0B6D8">
      <w:pPr>
        <w:ind w:left="1680" w:hanging="1680" w:hangingChars="80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应用特点</w:t>
      </w:r>
      <w:r>
        <w:rPr>
          <w:rFonts w:hint="eastAsia" w:eastAsia="宋体"/>
          <w:lang w:val="en-US" w:eastAsia="zh-CN"/>
        </w:rPr>
        <w:t>：</w:t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>是一种无毒PVC共稳定剂，可抑制锌烧</w:t>
      </w:r>
      <w:r>
        <w:rPr>
          <w:rFonts w:hint="eastAsia"/>
          <w:lang w:val="en-US" w:eastAsia="zh-CN"/>
        </w:rPr>
        <w:t>，它与钙/锌热稳定剂搭配使用，可以大幅度提高钙/锌热稳定剂的长期热稳定性；</w:t>
      </w:r>
      <w:r>
        <w:rPr>
          <w:rFonts w:hint="eastAsia" w:eastAsia="宋体"/>
          <w:lang w:val="en-US" w:eastAsia="zh-CN"/>
        </w:rPr>
        <w:t>与有机锡稳定剂结合使用时可有效提高热稳定性</w:t>
      </w:r>
      <w:r>
        <w:rPr>
          <w:rFonts w:hint="eastAsia"/>
          <w:lang w:val="en-US" w:eastAsia="zh-CN"/>
        </w:rPr>
        <w:t>，不影响维卡；无析出。</w:t>
      </w:r>
    </w:p>
    <w:p w14:paraId="032B0B31">
      <w:pPr>
        <w:ind w:left="1680" w:hanging="1680" w:hangingChars="800"/>
        <w:rPr>
          <w:rFonts w:hint="eastAsia" w:eastAsia="宋体"/>
          <w:lang w:val="en-US" w:eastAsia="zh-CN"/>
        </w:rPr>
      </w:pPr>
    </w:p>
    <w:p w14:paraId="77B79847">
      <w:pPr>
        <w:ind w:left="1680" w:hanging="1680" w:hangingChars="800"/>
        <w:rPr>
          <w:rFonts w:hint="eastAsia" w:eastAsia="宋体"/>
          <w:lang w:val="en-US" w:eastAsia="zh-CN"/>
        </w:rPr>
      </w:pPr>
      <w:r>
        <w:rPr>
          <w:rFonts w:hint="default" w:eastAsia="宋体"/>
          <w:lang w:val="en-US" w:eastAsia="zh-CN"/>
        </w:rPr>
        <w:t>推荐用量</w:t>
      </w:r>
      <w:r>
        <w:rPr>
          <w:rFonts w:hint="eastAsia" w:eastAsia="宋体"/>
          <w:lang w:val="en-US" w:eastAsia="zh-CN"/>
        </w:rPr>
        <w:t>：</w:t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 xml:space="preserve"> 0.1 - 0.</w:t>
      </w:r>
      <w:r>
        <w:rPr>
          <w:rFonts w:hint="eastAsia"/>
          <w:lang w:val="en-US" w:eastAsia="zh-CN"/>
        </w:rPr>
        <w:t>6</w:t>
      </w:r>
      <w:r>
        <w:rPr>
          <w:rFonts w:hint="eastAsia" w:eastAsia="宋体"/>
          <w:lang w:val="en-US" w:eastAsia="zh-CN"/>
        </w:rPr>
        <w:t xml:space="preserve"> phr</w:t>
      </w:r>
      <w:r>
        <w:rPr>
          <w:rFonts w:hint="eastAsia"/>
          <w:lang w:val="en-US" w:eastAsia="zh-CN"/>
        </w:rPr>
        <w:t>（用户可根据自己的实验确定具体用量）</w:t>
      </w:r>
    </w:p>
    <w:p w14:paraId="18677237">
      <w:pPr>
        <w:ind w:left="1680" w:hanging="1680" w:hangingChars="800"/>
        <w:rPr>
          <w:rFonts w:hint="eastAsia" w:eastAsia="宋体"/>
          <w:lang w:val="en-US" w:eastAsia="zh-CN"/>
        </w:rPr>
      </w:pPr>
    </w:p>
    <w:p w14:paraId="24E269FF">
      <w:pPr>
        <w:ind w:left="1680" w:hanging="1680" w:hangingChars="800"/>
        <w:rPr>
          <w:rFonts w:hint="default" w:eastAsia="宋体"/>
          <w:vertAlign w:val="baseline"/>
          <w:lang w:val="en-US" w:eastAsia="zh-CN"/>
        </w:rPr>
      </w:pPr>
      <w:r>
        <w:rPr>
          <w:rFonts w:hint="default" w:eastAsia="宋体"/>
          <w:lang w:val="en-US" w:eastAsia="zh-CN"/>
        </w:rPr>
        <w:t>物化数据</w:t>
      </w:r>
      <w:r>
        <w:rPr>
          <w:rFonts w:hint="eastAsia" w:eastAsia="宋体"/>
          <w:lang w:val="en-US" w:eastAsia="zh-CN"/>
        </w:rPr>
        <w:t>：</w:t>
      </w:r>
      <w:r>
        <w:rPr>
          <w:rFonts w:hint="eastAsia" w:eastAsia="宋体"/>
          <w:lang w:val="en-US" w:eastAsia="zh-CN"/>
        </w:rPr>
        <w:tab/>
      </w:r>
    </w:p>
    <w:tbl>
      <w:tblPr>
        <w:tblStyle w:val="6"/>
        <w:tblpPr w:leftFromText="180" w:rightFromText="180" w:vertAnchor="text" w:horzAnchor="page" w:tblpX="3524" w:tblpY="80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8"/>
        <w:gridCol w:w="1678"/>
        <w:gridCol w:w="1678"/>
        <w:gridCol w:w="1678"/>
      </w:tblGrid>
      <w:tr w14:paraId="16902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8" w:type="dxa"/>
          </w:tcPr>
          <w:p w14:paraId="0A5C192B">
            <w:pPr>
              <w:widowControl w:val="0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项目</w:t>
            </w:r>
          </w:p>
        </w:tc>
        <w:tc>
          <w:tcPr>
            <w:tcW w:w="1678" w:type="dxa"/>
          </w:tcPr>
          <w:p w14:paraId="0D379EA3">
            <w:pPr>
              <w:widowControl w:val="0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单位</w:t>
            </w:r>
          </w:p>
        </w:tc>
        <w:tc>
          <w:tcPr>
            <w:tcW w:w="1678" w:type="dxa"/>
          </w:tcPr>
          <w:p w14:paraId="58A4711A">
            <w:pPr>
              <w:widowControl w:val="0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指标</w:t>
            </w:r>
          </w:p>
        </w:tc>
        <w:tc>
          <w:tcPr>
            <w:tcW w:w="1678" w:type="dxa"/>
          </w:tcPr>
          <w:p w14:paraId="43183E0A">
            <w:pPr>
              <w:widowControl w:val="0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测试方法</w:t>
            </w:r>
          </w:p>
        </w:tc>
      </w:tr>
      <w:tr w14:paraId="2AD661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1678" w:type="dxa"/>
          </w:tcPr>
          <w:p w14:paraId="5661A28A">
            <w:pPr>
              <w:widowControl w:val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外观</w:t>
            </w:r>
          </w:p>
        </w:tc>
        <w:tc>
          <w:tcPr>
            <w:tcW w:w="1678" w:type="dxa"/>
          </w:tcPr>
          <w:p w14:paraId="5E3362F9">
            <w:pPr>
              <w:widowControl w:val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==</w:t>
            </w:r>
          </w:p>
        </w:tc>
        <w:tc>
          <w:tcPr>
            <w:tcW w:w="1678" w:type="dxa"/>
          </w:tcPr>
          <w:p w14:paraId="2F6DD1AC">
            <w:pPr>
              <w:widowControl w:val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白色粉末</w:t>
            </w:r>
          </w:p>
        </w:tc>
        <w:tc>
          <w:tcPr>
            <w:tcW w:w="1678" w:type="dxa"/>
          </w:tcPr>
          <w:p w14:paraId="37BB0DB3">
            <w:pPr>
              <w:widowControl w:val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目测</w:t>
            </w:r>
          </w:p>
        </w:tc>
      </w:tr>
      <w:tr w14:paraId="38A3B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1678" w:type="dxa"/>
          </w:tcPr>
          <w:p w14:paraId="17A59660">
            <w:pPr>
              <w:widowControl w:val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松密度</w:t>
            </w:r>
          </w:p>
        </w:tc>
        <w:tc>
          <w:tcPr>
            <w:tcW w:w="1678" w:type="dxa"/>
          </w:tcPr>
          <w:p w14:paraId="3F1E4489">
            <w:pPr>
              <w:widowControl w:val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spacing w:val="-3"/>
                <w:sz w:val="18"/>
                <w:szCs w:val="18"/>
              </w:rPr>
              <w:t>g/cc</w:t>
            </w:r>
          </w:p>
        </w:tc>
        <w:tc>
          <w:tcPr>
            <w:tcW w:w="1678" w:type="dxa"/>
          </w:tcPr>
          <w:p w14:paraId="0AF18F4C">
            <w:pPr>
              <w:widowControl w:val="0"/>
              <w:rPr>
                <w:rFonts w:hint="eastAsia" w:asciiTheme="majorEastAsia" w:hAnsiTheme="majorEastAsia" w:eastAsiaTheme="majorEastAsia" w:cstheme="majorEastAsia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vertAlign w:val="baseline"/>
                <w:lang w:val="en-US" w:eastAsia="zh-CN"/>
              </w:rPr>
              <w:t>0.3</w:t>
            </w:r>
          </w:p>
        </w:tc>
        <w:tc>
          <w:tcPr>
            <w:tcW w:w="1678" w:type="dxa"/>
          </w:tcPr>
          <w:p w14:paraId="11E756C0">
            <w:pPr>
              <w:widowControl w:val="0"/>
              <w:rPr>
                <w:rFonts w:hint="eastAsia" w:asciiTheme="majorEastAsia" w:hAnsiTheme="majorEastAsia" w:eastAsiaTheme="majorEastAsia" w:cstheme="majorEastAsia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APF</w:t>
            </w:r>
            <w:r>
              <w:rPr>
                <w:rFonts w:hint="eastAsia" w:asciiTheme="majorEastAsia" w:hAnsiTheme="majorEastAsia" w:eastAsiaTheme="majorEastAsia" w:cstheme="majorEastAsia"/>
                <w:spacing w:val="7"/>
              </w:rPr>
              <w:t>00500</w:t>
            </w:r>
          </w:p>
        </w:tc>
      </w:tr>
      <w:tr w14:paraId="165F6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1678" w:type="dxa"/>
            <w:shd w:val="clear" w:color="auto" w:fill="auto"/>
            <w:vAlign w:val="center"/>
          </w:tcPr>
          <w:p w14:paraId="3A3896E8">
            <w:pPr>
              <w:widowControl w:val="0"/>
              <w:numPr>
                <w:ilvl w:val="0"/>
                <w:numId w:val="0"/>
              </w:numPr>
              <w:wordWrap/>
              <w:adjustRightInd/>
              <w:snapToGrid/>
              <w:spacing w:line="500" w:lineRule="exact"/>
              <w:ind w:left="0" w:leftChars="0" w:firstLine="0" w:firstLineChars="0"/>
              <w:jc w:val="left"/>
              <w:textAlignment w:val="auto"/>
              <w:rPr>
                <w:rFonts w:hint="eastAsia" w:asciiTheme="majorEastAsia" w:hAnsiTheme="majorEastAsia" w:eastAsiaTheme="majorEastAsia" w:cstheme="maj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  <w:t>碱值</w:t>
            </w:r>
          </w:p>
        </w:tc>
        <w:tc>
          <w:tcPr>
            <w:tcW w:w="1678" w:type="dxa"/>
            <w:shd w:val="clear" w:color="auto" w:fill="auto"/>
            <w:vAlign w:val="center"/>
          </w:tcPr>
          <w:p w14:paraId="074715F1">
            <w:pPr>
              <w:widowControl w:val="0"/>
              <w:numPr>
                <w:ilvl w:val="0"/>
                <w:numId w:val="0"/>
              </w:numPr>
              <w:wordWrap/>
              <w:adjustRightInd/>
              <w:snapToGrid/>
              <w:spacing w:line="500" w:lineRule="exact"/>
              <w:ind w:left="0" w:leftChars="0" w:firstLine="0" w:firstLineChars="0"/>
              <w:jc w:val="left"/>
              <w:textAlignment w:val="auto"/>
              <w:rPr>
                <w:rFonts w:hint="eastAsia" w:asciiTheme="majorEastAsia" w:hAnsiTheme="majorEastAsia" w:eastAsiaTheme="majorEastAsia" w:cstheme="maj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  <w:t>mgKOH/g</w:t>
            </w:r>
          </w:p>
        </w:tc>
        <w:tc>
          <w:tcPr>
            <w:tcW w:w="1678" w:type="dxa"/>
          </w:tcPr>
          <w:p w14:paraId="36787CF2">
            <w:pPr>
              <w:widowControl w:val="0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  <w:t>520～580</w:t>
            </w:r>
          </w:p>
        </w:tc>
        <w:tc>
          <w:tcPr>
            <w:tcW w:w="1678" w:type="dxa"/>
          </w:tcPr>
          <w:p w14:paraId="67044496">
            <w:pPr>
              <w:widowControl w:val="0"/>
              <w:rPr>
                <w:sz w:val="21"/>
                <w:szCs w:val="21"/>
              </w:rPr>
            </w:pPr>
          </w:p>
        </w:tc>
      </w:tr>
      <w:tr w14:paraId="34DFA8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1678" w:type="dxa"/>
            <w:shd w:val="clear" w:color="auto" w:fill="auto"/>
            <w:vAlign w:val="center"/>
          </w:tcPr>
          <w:p w14:paraId="41E9E5EB">
            <w:pPr>
              <w:widowControl w:val="0"/>
              <w:numPr>
                <w:ilvl w:val="0"/>
                <w:numId w:val="0"/>
              </w:numPr>
              <w:wordWrap/>
              <w:adjustRightInd/>
              <w:snapToGrid/>
              <w:spacing w:line="500" w:lineRule="exact"/>
              <w:ind w:left="0" w:leftChars="0" w:firstLine="0" w:firstLineChars="0"/>
              <w:jc w:val="left"/>
              <w:textAlignment w:val="auto"/>
              <w:rPr>
                <w:rFonts w:hint="eastAsia" w:asciiTheme="majorEastAsia" w:hAnsiTheme="majorEastAsia" w:eastAsiaTheme="majorEastAsia" w:cstheme="maj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  <w:t>比重</w:t>
            </w:r>
          </w:p>
        </w:tc>
        <w:tc>
          <w:tcPr>
            <w:tcW w:w="1678" w:type="dxa"/>
            <w:shd w:val="clear" w:color="auto" w:fill="auto"/>
            <w:vAlign w:val="center"/>
          </w:tcPr>
          <w:p w14:paraId="66EB4297">
            <w:pPr>
              <w:widowControl w:val="0"/>
              <w:numPr>
                <w:ilvl w:val="0"/>
                <w:numId w:val="0"/>
              </w:numPr>
              <w:wordWrap/>
              <w:adjustRightInd/>
              <w:snapToGrid/>
              <w:spacing w:line="500" w:lineRule="exact"/>
              <w:ind w:left="0" w:leftChars="0" w:firstLine="0" w:firstLineChars="0"/>
              <w:jc w:val="left"/>
              <w:textAlignment w:val="auto"/>
              <w:rPr>
                <w:rFonts w:hint="eastAsia" w:asciiTheme="majorEastAsia" w:hAnsiTheme="majorEastAsia" w:eastAsiaTheme="majorEastAsia" w:cstheme="maj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  <w:t>g/cm</w:t>
            </w: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superscript"/>
                <w:lang w:val="en-US" w:eastAsia="zh-CN"/>
              </w:rPr>
              <w:t>3</w:t>
            </w:r>
          </w:p>
        </w:tc>
        <w:tc>
          <w:tcPr>
            <w:tcW w:w="1678" w:type="dxa"/>
          </w:tcPr>
          <w:p w14:paraId="07E29E54">
            <w:pPr>
              <w:widowControl w:val="0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  <w:t>1.1～1.2</w:t>
            </w:r>
          </w:p>
        </w:tc>
        <w:tc>
          <w:tcPr>
            <w:tcW w:w="1678" w:type="dxa"/>
          </w:tcPr>
          <w:p w14:paraId="3694AABE">
            <w:pPr>
              <w:widowControl w:val="0"/>
              <w:rPr>
                <w:sz w:val="21"/>
                <w:szCs w:val="21"/>
              </w:rPr>
            </w:pPr>
          </w:p>
        </w:tc>
      </w:tr>
    </w:tbl>
    <w:p w14:paraId="08F431DF">
      <w:pPr>
        <w:ind w:left="1680" w:hanging="1680" w:hangingChars="800"/>
        <w:rPr>
          <w:rFonts w:hint="default" w:eastAsia="宋体"/>
          <w:lang w:val="en-US" w:eastAsia="zh-CN"/>
        </w:rPr>
      </w:pPr>
    </w:p>
    <w:p w14:paraId="20193661">
      <w:pPr>
        <w:ind w:left="1680" w:hanging="1680" w:hangingChars="800"/>
        <w:rPr>
          <w:rFonts w:hint="default" w:eastAsia="宋体"/>
          <w:lang w:val="en-US" w:eastAsia="zh-CN"/>
        </w:rPr>
      </w:pPr>
    </w:p>
    <w:p w14:paraId="186F48E1">
      <w:pPr>
        <w:ind w:left="1680" w:firstLine="0" w:firstLine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注：所有数值均为典型值，而非质量标准。</w:t>
      </w:r>
    </w:p>
    <w:p w14:paraId="5E7C102C">
      <w:pPr>
        <w:ind w:left="1680" w:hanging="1680" w:hangingChars="800"/>
        <w:rPr>
          <w:rFonts w:hint="eastAsia" w:eastAsia="宋体"/>
          <w:lang w:val="en-US" w:eastAsia="zh-CN"/>
        </w:rPr>
      </w:pPr>
    </w:p>
    <w:p w14:paraId="18210EB4">
      <w:pPr>
        <w:ind w:left="1680" w:hanging="1680" w:hangingChars="80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包装规格：    </w:t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>2</w:t>
      </w:r>
      <w:r>
        <w:rPr>
          <w:rFonts w:hint="eastAsia"/>
          <w:lang w:val="en-US" w:eastAsia="zh-CN"/>
        </w:rPr>
        <w:t>5</w:t>
      </w:r>
      <w:r>
        <w:rPr>
          <w:rFonts w:hint="eastAsia" w:eastAsia="宋体"/>
          <w:lang w:val="en-US" w:eastAsia="zh-CN"/>
        </w:rPr>
        <w:t>Kg/袋或吨袋</w:t>
      </w:r>
    </w:p>
    <w:p w14:paraId="162EBDA8">
      <w:pPr>
        <w:ind w:left="1680" w:hanging="1680" w:hangingChars="800"/>
        <w:rPr>
          <w:rFonts w:hint="eastAsia" w:eastAsia="宋体"/>
          <w:lang w:val="en-US" w:eastAsia="zh-CN"/>
        </w:rPr>
      </w:pPr>
    </w:p>
    <w:p w14:paraId="1F7E20E4">
      <w:pPr>
        <w:ind w:left="1680" w:hanging="1680" w:hangingChars="80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贮    存：</w:t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>存放在合适的区域：储存温度建议15-30℃，该产品对湿度很敏感。远离热源。使用后保持容器干燥并重新密封。最大建议的存储时间：交货之日起24个月。</w:t>
      </w:r>
    </w:p>
    <w:p w14:paraId="543C3394">
      <w:r>
        <w:rPr>
          <w:rFonts w:hint="eastAsia"/>
          <w:lang w:val="en-US" w:eastAsia="zh-CN"/>
        </w:rPr>
        <w:t>　　　　　　　　　　　　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0D2A4D">
    <w:pPr>
      <w:pStyle w:val="3"/>
      <w:rPr>
        <w:rFonts w:hint="eastAsia" w:eastAsia="宋体"/>
        <w:lang w:eastAsia="zh-CN"/>
      </w:rPr>
    </w:pPr>
    <w:r>
      <w:rPr>
        <w:rFonts w:hint="eastAsia" w:eastAsia="宋体"/>
        <w:lang w:eastAsia="zh-CN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-1123315</wp:posOffset>
          </wp:positionH>
          <wp:positionV relativeFrom="paragraph">
            <wp:posOffset>-375920</wp:posOffset>
          </wp:positionV>
          <wp:extent cx="7531735" cy="1113790"/>
          <wp:effectExtent l="0" t="0" r="12065" b="13970"/>
          <wp:wrapNone/>
          <wp:docPr id="2" name="图片 3" descr="D:/阿尔法新材/阿尔法横条2.png阿尔法横条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3" descr="D:/阿尔法新材/阿尔法横条2.png阿尔法横条2"/>
                  <pic:cNvPicPr>
                    <a:picLocks noChangeAspect="1"/>
                  </pic:cNvPicPr>
                </pic:nvPicPr>
                <pic:blipFill>
                  <a:blip r:embed="rId1"/>
                  <a:srcRect l="56" r="56"/>
                  <a:stretch>
                    <a:fillRect/>
                  </a:stretch>
                </pic:blipFill>
                <pic:spPr>
                  <a:xfrm>
                    <a:off x="0" y="0"/>
                    <a:ext cx="7531735" cy="11137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B051CB">
    <w:pPr>
      <w:pStyle w:val="4"/>
      <w:pBdr>
        <w:bottom w:val="none" w:color="auto" w:sz="0" w:space="1"/>
      </w:pBdr>
      <w:jc w:val="left"/>
      <w:rPr>
        <w:rFonts w:hint="eastAsia"/>
        <w:lang w:val="en-US" w:eastAsia="zh-CN"/>
      </w:rPr>
    </w:pPr>
    <w:r>
      <w:rPr>
        <w:rFonts w:hint="default" w:eastAsia="宋体"/>
        <w:lang w:val="en-US" w:eastAsia="zh-CN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97535" cy="504190"/>
          <wp:effectExtent l="0" t="0" r="0" b="13970"/>
          <wp:wrapNone/>
          <wp:docPr id="1" name="图片 1" descr="QQ截图2024040608253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QQ截图20240406082539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7535" cy="5041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   </w:t>
    </w:r>
  </w:p>
  <w:p w14:paraId="7B07AF68">
    <w:pPr>
      <w:pStyle w:val="4"/>
      <w:pBdr>
        <w:bottom w:val="thinThickThinSmallGap" w:color="FF9900" w:sz="18" w:space="1"/>
      </w:pBdr>
      <w:ind w:firstLine="1446" w:firstLineChars="400"/>
      <w:jc w:val="left"/>
      <w:rPr>
        <w:rFonts w:hint="default"/>
        <w:b/>
        <w:bCs/>
        <w:sz w:val="36"/>
        <w:szCs w:val="36"/>
        <w:lang w:val="en-US" w:eastAsia="zh-CN"/>
      </w:rPr>
    </w:pPr>
    <w:r>
      <w:rPr>
        <w:rFonts w:hint="eastAsia"/>
        <w:b/>
        <w:bCs/>
        <w:sz w:val="36"/>
        <w:szCs w:val="36"/>
        <w:lang w:val="en-US" w:eastAsia="zh-CN"/>
      </w:rPr>
      <w:t>阿尔法（深圳）环保新材料有限公司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bordersDoNotSurroundHeader w:val="1"/>
  <w:bordersDoNotSurroundFooter w:val="1"/>
  <w:attachedTemplate r:id="rId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QzNmQyZTI3ZmRmMWQ1YmRjMGEwNTAzYzk4ZTI0NjcifQ=="/>
  </w:docVars>
  <w:rsids>
    <w:rsidRoot w:val="345A477D"/>
    <w:rsid w:val="0A9E5E78"/>
    <w:rsid w:val="290B4C05"/>
    <w:rsid w:val="2A495DB3"/>
    <w:rsid w:val="2E800B14"/>
    <w:rsid w:val="345A477D"/>
    <w:rsid w:val="5FE66060"/>
    <w:rsid w:val="600A739C"/>
    <w:rsid w:val="6E077E65"/>
    <w:rsid w:val="76F34D5F"/>
    <w:rsid w:val="7DB54FC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Verdana" w:hAnsi="Verdana" w:eastAsia="Verdana" w:cs="Verdana"/>
      <w:sz w:val="10"/>
      <w:szCs w:val="10"/>
      <w:lang w:val="en-US" w:eastAsia="en-US" w:bidi="ar-SA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38463;&#23572;&#27861;&#26032;&#26448;\&#38463;&#23572;&#27861;&#25991;&#26723;&#27169;&#29256;1.wp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阿尔法文档模版1.wpt</Template>
  <Pages>1</Pages>
  <Words>283</Words>
  <Characters>337</Characters>
  <Lines>0</Lines>
  <Paragraphs>0</Paragraphs>
  <TotalTime>5</TotalTime>
  <ScaleCrop>false</ScaleCrop>
  <LinksUpToDate>false</LinksUpToDate>
  <CharactersWithSpaces>368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2025-02-10T04:01:00Z</dcterms:created>
  <dc:creator>阿军古</dc:creator>
  <cp:lastModifiedBy>阿军古</cp:lastModifiedBy>
  <dcterms:modified xsi:type="dcterms:W3CDTF">2026-07-01T05:33:29Z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8B3D091178A043709157958D47FE8491_11</vt:lpwstr>
  </property>
  <property fmtid="{D5CDD505-2E9C-101B-9397-08002B2CF9AE}" pid="4" name="KSOTemplateDocerSaveRecord">
    <vt:lpwstr>eyJoZGlkIjoiOGQzNmQyZTI3ZmRmMWQ1YmRjMGEwNTAzYzk4ZTI0NjciLCJ1c2VySWQiOiIyMjExNDI1MDYifQ==</vt:lpwstr>
  </property>
</Properties>
</file>