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10AC">
      <w:pPr>
        <w:ind w:firstLine="2241" w:firstLineChars="700"/>
        <w:rPr>
          <w:rFonts w:ascii="Arial" w:hAnsi="Arial" w:eastAsia="等线" w:cs="Arial"/>
          <w:b/>
          <w:sz w:val="32"/>
          <w:szCs w:val="32"/>
        </w:rPr>
      </w:pPr>
      <w:bookmarkStart w:id="9" w:name="_GoBack"/>
      <w:bookmarkEnd w:id="9"/>
      <w:r>
        <w:rPr>
          <w:rFonts w:hint="eastAsia" w:ascii="Arial" w:hAnsi="Arial" w:eastAsia="等线" w:cs="Arial"/>
          <w:b/>
          <w:sz w:val="32"/>
          <w:szCs w:val="32"/>
          <w:lang w:eastAsia="zh-CN"/>
        </w:rPr>
        <w:t>AOS-10</w:t>
      </w:r>
      <w:r>
        <w:rPr>
          <w:rFonts w:ascii="Arial" w:hAnsi="Arial" w:eastAsia="等线" w:cs="Arial"/>
          <w:b/>
          <w:sz w:val="32"/>
          <w:szCs w:val="32"/>
        </w:rPr>
        <w:t xml:space="preserve"> 有机稳定剂（CPVC专用）</w:t>
      </w:r>
    </w:p>
    <w:p w14:paraId="7FCFA339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b/>
          <w:sz w:val="22"/>
        </w:rPr>
        <w:t>产品型号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eastAsia="zh-CN"/>
        </w:rPr>
        <w:t>AOS-10</w:t>
      </w:r>
    </w:p>
    <w:p w14:paraId="47D1B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产品类型</w:t>
      </w:r>
      <w:r>
        <w:rPr>
          <w:rFonts w:ascii="Arial" w:hAnsi="Arial" w:eastAsia="等线" w:cs="Arial"/>
          <w:sz w:val="22"/>
        </w:rPr>
        <w:t>：CPVC专用有机稳定剂（非有机锡）</w:t>
      </w:r>
    </w:p>
    <w:p w14:paraId="02E7078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产品概述</w:t>
      </w:r>
      <w:bookmarkEnd w:id="0"/>
    </w:p>
    <w:p w14:paraId="12BFFF1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eastAsia="zh-CN"/>
        </w:rPr>
        <w:t>AOS-10</w:t>
      </w:r>
      <w:r>
        <w:rPr>
          <w:rFonts w:ascii="Arial" w:hAnsi="Arial" w:eastAsia="等线" w:cs="Arial"/>
          <w:sz w:val="22"/>
        </w:rPr>
        <w:t xml:space="preserve"> 是专为 CPVC 高温加工研发的有机复合稳定剂（不含有机锡），以多元有机配体、</w:t>
      </w:r>
      <w:r>
        <w:rPr>
          <w:rFonts w:hint="eastAsia" w:ascii="Arial" w:hAnsi="Arial" w:eastAsia="等线" w:cs="Arial"/>
          <w:sz w:val="22"/>
          <w:lang w:val="en-US" w:eastAsia="zh-CN"/>
        </w:rPr>
        <w:t>核心超支化化合物组合而成。</w:t>
      </w:r>
      <w:r>
        <w:rPr>
          <w:rFonts w:ascii="Arial" w:hAnsi="Arial" w:eastAsia="等线" w:cs="Arial"/>
          <w:sz w:val="22"/>
        </w:rPr>
        <w:t>环保合规，适配CPVC各类硬质制品的高温成型需求，兼具优异的热稳定性与加工适配性。</w:t>
      </w:r>
    </w:p>
    <w:p w14:paraId="1F2AAE5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外观与形态</w:t>
      </w:r>
      <w:bookmarkEnd w:id="1"/>
    </w:p>
    <w:p w14:paraId="29B42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白色微粉状，无结块、无明显杂质，流动性良好，无刺激性异味。</w:t>
      </w:r>
    </w:p>
    <w:p w14:paraId="6130EF7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核心性能优势</w:t>
      </w:r>
      <w:bookmarkEnd w:id="2"/>
    </w:p>
    <w:p w14:paraId="1AE8BC5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高耐热稳定性：适配 CPVC 1</w:t>
      </w:r>
      <w:r>
        <w:rPr>
          <w:rFonts w:hint="eastAsia" w:ascii="Arial" w:hAnsi="Arial" w:eastAsia="等线" w:cs="Arial"/>
          <w:sz w:val="22"/>
          <w:lang w:val="en-US" w:eastAsia="zh-CN"/>
        </w:rPr>
        <w:t>85</w:t>
      </w:r>
      <w:r>
        <w:rPr>
          <w:rFonts w:ascii="Arial" w:hAnsi="Arial" w:eastAsia="等线" w:cs="Arial"/>
          <w:sz w:val="22"/>
        </w:rPr>
        <w:t>–2</w:t>
      </w:r>
      <w:r>
        <w:rPr>
          <w:rFonts w:hint="eastAsia" w:ascii="Arial" w:hAnsi="Arial" w:eastAsia="等线" w:cs="Arial"/>
          <w:sz w:val="22"/>
          <w:lang w:val="en-US" w:eastAsia="zh-CN"/>
        </w:rPr>
        <w:t>05</w:t>
      </w:r>
      <w:r>
        <w:rPr>
          <w:rFonts w:ascii="Arial" w:hAnsi="Arial" w:eastAsia="等线" w:cs="Arial"/>
          <w:sz w:val="22"/>
        </w:rPr>
        <w:t>℃ 高温加工，长期静态、动态热稳定性能优异，有效抑制CPVC高温降解，阻断HCl释放引发的链式反应，避免制品黄变、脆化。</w:t>
      </w:r>
    </w:p>
    <w:p w14:paraId="3A62A78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低挥发、不析出：加工过程中挥发性极低，无明显异味，不易在制品表面析出，保障制品表面光洁度与性能稳定性。</w:t>
      </w:r>
    </w:p>
    <w:p w14:paraId="02A53F3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高电绝缘性：绝缘性能优良，适配CPVC电力管、电缆护套管等高绝缘要求制品，保障使用安全性。</w:t>
      </w:r>
    </w:p>
    <w:p w14:paraId="5B6858B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环保合规：无铅、无镉、无钡等有害重金属，不含有机锡，符合 RoHS、REACH、FDA 食品接触标准，适配环保型制品生产。</w:t>
      </w:r>
    </w:p>
    <w:p w14:paraId="19D244C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4. 适用范围</w:t>
      </w:r>
      <w:bookmarkEnd w:id="3"/>
    </w:p>
    <w:p w14:paraId="3F3A6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专为CPVC硬质制品设计，广泛应用于：</w:t>
      </w:r>
    </w:p>
    <w:p w14:paraId="4ACEA81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CPVC电力管、工业化工管、给水管等各类管材制品；</w:t>
      </w:r>
    </w:p>
    <w:p w14:paraId="0C7036B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CPVC型材、板材、注塑管件（弯头、接头等）；</w:t>
      </w:r>
    </w:p>
    <w:p w14:paraId="6E5A6D5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食品接触级、卫生级CPVC制品（需配合食品级配方）；</w:t>
      </w:r>
    </w:p>
    <w:p w14:paraId="39361A4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CPVC高温挤出、注塑等成型工艺。</w:t>
      </w:r>
    </w:p>
    <w:p w14:paraId="73E3767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5. 推荐用量与加工条件</w:t>
      </w:r>
      <w:bookmarkEnd w:id="4"/>
    </w:p>
    <w:p w14:paraId="1231747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推荐用量：CPVC硬质制品 </w:t>
      </w:r>
      <w:r>
        <w:rPr>
          <w:rFonts w:hint="eastAsia" w:ascii="Arial" w:hAnsi="Arial" w:eastAsia="等线" w:cs="Arial"/>
          <w:sz w:val="22"/>
          <w:lang w:val="en-US" w:eastAsia="zh-CN"/>
        </w:rPr>
        <w:t>3.0</w:t>
      </w:r>
      <w:r>
        <w:rPr>
          <w:rFonts w:ascii="Arial" w:hAnsi="Arial" w:eastAsia="等线" w:cs="Arial"/>
          <w:sz w:val="22"/>
        </w:rPr>
        <w:t>–3.8 phr（以CPVC树脂100份为基准）；</w:t>
      </w:r>
    </w:p>
    <w:p w14:paraId="2CBAA8A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加工温度：1</w:t>
      </w:r>
      <w:r>
        <w:rPr>
          <w:rFonts w:hint="eastAsia" w:ascii="Arial" w:hAnsi="Arial" w:eastAsia="等线" w:cs="Arial"/>
          <w:sz w:val="22"/>
          <w:lang w:val="en-US" w:eastAsia="zh-CN"/>
        </w:rPr>
        <w:t>75</w:t>
      </w:r>
      <w:r>
        <w:rPr>
          <w:rFonts w:ascii="Arial" w:hAnsi="Arial" w:eastAsia="等线" w:cs="Arial"/>
          <w:sz w:val="22"/>
        </w:rPr>
        <w:t>–2</w:t>
      </w:r>
      <w:r>
        <w:rPr>
          <w:rFonts w:hint="eastAsia" w:ascii="Arial" w:hAnsi="Arial" w:eastAsia="等线" w:cs="Arial"/>
          <w:sz w:val="22"/>
          <w:lang w:val="en-US" w:eastAsia="zh-CN"/>
        </w:rPr>
        <w:t>05</w:t>
      </w:r>
      <w:r>
        <w:rPr>
          <w:rFonts w:ascii="Arial" w:hAnsi="Arial" w:eastAsia="等线" w:cs="Arial"/>
          <w:sz w:val="22"/>
        </w:rPr>
        <w:t>℃（挤出/注塑），可根据制品类型适当调整；</w:t>
      </w:r>
    </w:p>
    <w:p w14:paraId="32F797B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混合建议：高速混合时温度控制在90–1</w:t>
      </w:r>
      <w:r>
        <w:rPr>
          <w:rFonts w:hint="eastAsia" w:ascii="Arial" w:hAnsi="Arial" w:eastAsia="等线" w:cs="Arial"/>
          <w:sz w:val="22"/>
          <w:lang w:val="en-US" w:eastAsia="zh-CN"/>
        </w:rPr>
        <w:t>20</w:t>
      </w:r>
      <w:r>
        <w:rPr>
          <w:rFonts w:ascii="Arial" w:hAnsi="Arial" w:eastAsia="等线" w:cs="Arial"/>
          <w:sz w:val="22"/>
        </w:rPr>
        <w:t>℃，确保与CPVC树脂充分分散均匀，可搭配适量润滑剂优化加工性能。</w:t>
      </w:r>
      <w:r>
        <w:rPr>
          <w:rFonts w:hint="eastAsia" w:ascii="Arial" w:hAnsi="Arial" w:eastAsia="等线" w:cs="Arial"/>
          <w:sz w:val="22"/>
          <w:lang w:val="en-US" w:eastAsia="zh-CN"/>
        </w:rPr>
        <w:t>混合料需要冷却。</w:t>
      </w:r>
    </w:p>
    <w:p w14:paraId="2ED14C1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6. 包装规格</w:t>
      </w:r>
      <w:bookmarkEnd w:id="5"/>
    </w:p>
    <w:p w14:paraId="1C24C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 kg牛皮纸袋（内衬PE薄膜，密封防潮），可根据客户需求定制包装规格。</w:t>
      </w:r>
    </w:p>
    <w:p w14:paraId="49736F3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7. 储存条件</w:t>
      </w:r>
      <w:bookmarkEnd w:id="6"/>
    </w:p>
    <w:p w14:paraId="0AF1A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存放于阴凉、干燥、通风的库房，避免高温、暴晒、潮湿；密封保存，远离热源、明火及氧化剂；避免与强酸、强碱、腐蚀性物质混储；未开封状态下，保质期12个月。</w:t>
      </w:r>
    </w:p>
    <w:p w14:paraId="5414EA8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8. 合规声明</w:t>
      </w:r>
      <w:bookmarkEnd w:id="7"/>
    </w:p>
    <w:p w14:paraId="2572E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本产品不含有机锡、无铅、无镉、无钡，符合 RoHS 2.0 (2011/65/EU)、REACH（无SVHC高关注物质）、FDA 21 CFR 177.1210（食品接触应用）及GB 9685-2016标准。</w:t>
      </w:r>
    </w:p>
    <w:p w14:paraId="5E58BBA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9. 责任声明</w:t>
      </w:r>
      <w:bookmarkEnd w:id="8"/>
    </w:p>
    <w:p w14:paraId="39FB3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本TDS基于现有测试数据提供，仅供技术参考。用户需自行评估产品适用性，</w:t>
      </w:r>
      <w:r>
        <w:rPr>
          <w:rFonts w:hint="eastAsia" w:ascii="Arial" w:hAnsi="Arial" w:eastAsia="等线" w:cs="Arial"/>
          <w:sz w:val="22"/>
          <w:lang w:val="en-US" w:eastAsia="zh-CN"/>
        </w:rPr>
        <w:t>本司</w:t>
      </w:r>
      <w:r>
        <w:rPr>
          <w:rFonts w:ascii="Arial" w:hAnsi="Arial" w:eastAsia="等线" w:cs="Arial"/>
          <w:sz w:val="22"/>
        </w:rPr>
        <w:t>不承担因使用不当造成的损失。</w:t>
      </w:r>
    </w:p>
    <w:p w14:paraId="65C0F39A">
      <w:r>
        <w:rPr>
          <w:rFonts w:hint="eastAsia"/>
          <w:lang w:val="en-US" w:eastAsia="zh-CN"/>
        </w:rPr>
        <w:t>　　　　　　　　　</w:t>
      </w:r>
    </w:p>
    <w:p w14:paraId="1D04199E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9E67B">
    <w:pPr>
      <w:pStyle w:val="5"/>
      <w:tabs>
        <w:tab w:val="clear" w:pos="4153"/>
      </w:tabs>
      <w:ind w:firstLine="2079" w:firstLineChars="1155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联系电话：（0）13609623668（徐先生），（0）13155217718（丁先生）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3ADAF">
    <w:pPr>
      <w:pStyle w:val="6"/>
      <w:pBdr>
        <w:bottom w:val="thinThickThinSmallGap" w:color="FF9900" w:sz="18" w:space="1"/>
      </w:pBdr>
      <w:ind w:firstLine="720" w:firstLineChars="400"/>
      <w:jc w:val="left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539115</wp:posOffset>
          </wp:positionH>
          <wp:positionV relativeFrom="paragraph">
            <wp:posOffset>-259080</wp:posOffset>
          </wp:positionV>
          <wp:extent cx="725805" cy="642620"/>
          <wp:effectExtent l="0" t="0" r="5715" b="12700"/>
          <wp:wrapNone/>
          <wp:docPr id="1" name="图片 1" descr="积科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积科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805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</w:t>
    </w:r>
    <w:r>
      <w:rPr>
        <w:rFonts w:hint="eastAsia"/>
        <w:b/>
        <w:bCs/>
        <w:sz w:val="36"/>
        <w:szCs w:val="36"/>
        <w:lang w:val="en-US" w:eastAsia="zh-CN"/>
      </w:rPr>
      <w:t>深 圳 市 积 科 科 技 有 限 公 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10"/>
  </w:num>
  <w:num w:numId="6">
    <w:abstractNumId w:val="5"/>
  </w:num>
  <w:num w:numId="7">
    <w:abstractNumId w:val="0"/>
  </w:num>
  <w:num w:numId="8">
    <w:abstractNumId w:val="7"/>
  </w:num>
  <w:num w:numId="9">
    <w:abstractNumId w:val="9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421D6"/>
    <w:rsid w:val="038F0263"/>
    <w:rsid w:val="2F334723"/>
    <w:rsid w:val="31E247E4"/>
    <w:rsid w:val="4A8421D6"/>
    <w:rsid w:val="5FF65E6B"/>
    <w:rsid w:val="677259A5"/>
    <w:rsid w:val="789259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821</Words>
  <Characters>978</Characters>
  <Lines>0</Lines>
  <Paragraphs>0</Paragraphs>
  <TotalTime>2</TotalTime>
  <ScaleCrop>false</ScaleCrop>
  <LinksUpToDate>false</LinksUpToDate>
  <CharactersWithSpaces>1015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2026-07-02T09:27:00Z</dcterms:created>
  <dc:creator>阿军古</dc:creator>
  <cp:lastModifiedBy>阿军古</cp:lastModifiedBy>
  <dcterms:modified xsi:type="dcterms:W3CDTF">2026-07-03T08:20:26Z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467E2C6C046F4F4D8B007485F19F5715_13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