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BC4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hint="eastAsia"/>
          <w:lang w:val="en-US" w:eastAsia="zh-CN"/>
        </w:rPr>
        <w:t xml:space="preserve">　              </w:t>
      </w:r>
      <w:r>
        <w:rPr>
          <w:rFonts w:hint="eastAsia"/>
          <w:color w:val="000000"/>
          <w:sz w:val="28"/>
          <w:szCs w:val="28"/>
        </w:rPr>
        <w:t>F</w:t>
      </w:r>
      <w:r>
        <w:rPr>
          <w:rFonts w:hint="eastAsia"/>
          <w:color w:val="000000"/>
          <w:sz w:val="28"/>
          <w:szCs w:val="28"/>
          <w:lang w:val="en-US" w:eastAsia="zh-CN"/>
        </w:rPr>
        <w:t>-</w:t>
      </w:r>
      <w:r>
        <w:rPr>
          <w:rFonts w:hint="eastAsia"/>
          <w:color w:val="000000"/>
          <w:sz w:val="28"/>
          <w:szCs w:val="28"/>
        </w:rPr>
        <w:t>37 高效复合离型润滑</w:t>
      </w:r>
      <w:r>
        <w:rPr>
          <w:rFonts w:hint="eastAsia"/>
          <w:color w:val="000000"/>
          <w:sz w:val="28"/>
          <w:szCs w:val="28"/>
          <w:lang w:val="en-US" w:eastAsia="zh-CN"/>
        </w:rPr>
        <w:t>脱模</w:t>
      </w:r>
      <w:r>
        <w:rPr>
          <w:rFonts w:hint="eastAsia"/>
          <w:color w:val="000000"/>
          <w:sz w:val="28"/>
          <w:szCs w:val="28"/>
        </w:rPr>
        <w:t>助剂</w:t>
      </w:r>
      <w:r>
        <w:rPr>
          <w:color w:val="000000"/>
          <w:sz w:val="28"/>
          <w:szCs w:val="28"/>
        </w:rPr>
        <w:t>TDS</w:t>
      </w:r>
    </w:p>
    <w:p w14:paraId="47FFF9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产品型号：F37 高效复合离型润滑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脱模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助剂</w:t>
      </w:r>
    </w:p>
    <w:p w14:paraId="743798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文件版本：V1.0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     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编制日期：2026-07-11</w:t>
      </w:r>
    </w:p>
    <w:p w14:paraId="638970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1. 产品概述</w:t>
      </w:r>
    </w:p>
    <w:p w14:paraId="25460A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1.1 产品简介</w:t>
      </w:r>
    </w:p>
    <w:p w14:paraId="478CD4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F37 为高分子复合改性润滑离型助剂，采用特种有机金属活性组分搭配高分子改性聚烯烃载体，产品兼具界面隔离脱模与熔体均衡润滑双重效能，可有效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提高塑化，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改善加工过程粘模、模垢堆积、制品表面瑕疵等问题，适配各类硬质 PVC、CPVC 加工体系，与钙锌、稀土、有机锡等热稳定体系配伍性优异。</w:t>
      </w:r>
    </w:p>
    <w:p w14:paraId="6C3F2D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1.2 适用领域</w:t>
      </w:r>
    </w:p>
    <w:p w14:paraId="256435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CPVC 耐高温化工管件、冷热给水管道、UPVC给排水管材、门窗型材、注塑管件、板材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、片材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等挤出、注塑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、压延等成型工艺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。</w:t>
      </w:r>
    </w:p>
    <w:p w14:paraId="21574A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2</w:t>
      </w:r>
      <w:r>
        <w:rPr>
          <w:color w:val="000000"/>
          <w:sz w:val="19"/>
          <w:szCs w:val="19"/>
        </w:rPr>
        <w:t>. 典型理化指标（25℃标准检测条件）</w:t>
      </w:r>
      <w:bookmarkStart w:id="0" w:name="_GoBack"/>
      <w:bookmarkEnd w:id="0"/>
    </w:p>
    <w:tbl>
      <w:tblPr>
        <w:tblStyle w:val="7"/>
        <w:tblW w:w="774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72"/>
        <w:gridCol w:w="2557"/>
        <w:gridCol w:w="2611"/>
      </w:tblGrid>
      <w:tr w14:paraId="47F21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527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nil"/>
            </w:tcBorders>
            <w:shd w:val="clear" w:color="auto" w:fill="4F81BD" w:themeFill="accent1"/>
            <w:vAlign w:val="center"/>
          </w:tcPr>
          <w:p w14:paraId="2C98BDB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FFFFFF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19"/>
                <w:szCs w:val="19"/>
                <w:lang w:val="en-US" w:eastAsia="zh-CN" w:bidi="ar"/>
              </w:rPr>
              <w:t>检测项目</w:t>
            </w:r>
          </w:p>
        </w:tc>
        <w:tc>
          <w:tcPr>
            <w:tcW w:w="2527" w:type="dxa"/>
            <w:tcBorders>
              <w:top w:val="single" w:color="4F81BD" w:themeColor="accent1" w:sz="8" w:space="0"/>
              <w:left w:val="nil"/>
              <w:bottom w:val="single" w:color="4F81BD" w:themeColor="accent1" w:sz="8" w:space="0"/>
              <w:right w:val="nil"/>
            </w:tcBorders>
            <w:shd w:val="clear" w:color="auto" w:fill="4F81BD" w:themeFill="accent1"/>
            <w:vAlign w:val="center"/>
          </w:tcPr>
          <w:p w14:paraId="27D59D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FFFFFF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19"/>
                <w:szCs w:val="19"/>
                <w:lang w:val="en-US" w:eastAsia="zh-CN" w:bidi="ar"/>
              </w:rPr>
              <w:t>典型指标</w:t>
            </w:r>
          </w:p>
        </w:tc>
        <w:tc>
          <w:tcPr>
            <w:tcW w:w="2566" w:type="dxa"/>
            <w:tcBorders>
              <w:top w:val="single" w:color="4F81BD" w:themeColor="accent1" w:sz="8" w:space="0"/>
              <w:left w:val="nil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4F81BD" w:themeFill="accent1"/>
            <w:vAlign w:val="center"/>
          </w:tcPr>
          <w:p w14:paraId="621021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FFFFFF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FFFFFF"/>
                <w:kern w:val="0"/>
                <w:sz w:val="19"/>
                <w:szCs w:val="19"/>
                <w:lang w:val="en-US" w:eastAsia="zh-CN" w:bidi="ar"/>
              </w:rPr>
              <w:t>检测标准/方法</w:t>
            </w:r>
          </w:p>
        </w:tc>
      </w:tr>
      <w:tr w14:paraId="159C6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27" w:type="dxa"/>
            <w:tcBorders>
              <w:top w:val="single" w:color="4F81BD" w:themeColor="accent1" w:sz="8" w:space="0"/>
              <w:left w:val="single" w:color="4F81BD" w:themeColor="accent1" w:sz="8" w:space="0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6EDB62F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外观</w:t>
            </w:r>
          </w:p>
        </w:tc>
        <w:tc>
          <w:tcPr>
            <w:tcW w:w="2527" w:type="dxa"/>
            <w:tcBorders>
              <w:top w:val="single" w:color="4F81BD" w:themeColor="accent1" w:sz="8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2416A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均匀白色微细粉体</w:t>
            </w:r>
          </w:p>
        </w:tc>
        <w:tc>
          <w:tcPr>
            <w:tcW w:w="2566" w:type="dxa"/>
            <w:tcBorders>
              <w:top w:val="single" w:color="4F81BD" w:themeColor="accent1" w:sz="8" w:space="0"/>
              <w:left w:val="nil"/>
              <w:bottom w:val="nil"/>
              <w:right w:val="single" w:color="4F81BD" w:themeColor="accent1" w:sz="8" w:space="0"/>
            </w:tcBorders>
            <w:shd w:val="clear" w:color="auto" w:fill="EDF2F8" w:themeFill="accent1" w:themeFillTint="19"/>
            <w:vAlign w:val="center"/>
          </w:tcPr>
          <w:p w14:paraId="6607A3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目视观测</w:t>
            </w:r>
          </w:p>
        </w:tc>
      </w:tr>
      <w:tr w14:paraId="36E01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27" w:type="dxa"/>
            <w:tcBorders>
              <w:top w:val="nil"/>
              <w:left w:val="single" w:color="4F81BD" w:themeColor="accent1" w:sz="8" w:space="0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4337685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气味</w:t>
            </w: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AFCDD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轻微油脂本味，无刺激性异味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single" w:color="4F81BD" w:themeColor="accent1" w:sz="8" w:space="0"/>
            </w:tcBorders>
            <w:shd w:val="clear" w:color="auto" w:fill="EDF2F8" w:themeFill="accent1" w:themeFillTint="19"/>
            <w:vAlign w:val="center"/>
          </w:tcPr>
          <w:p w14:paraId="2CC2B10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感官评定</w:t>
            </w:r>
          </w:p>
        </w:tc>
      </w:tr>
      <w:tr w14:paraId="4447F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27" w:type="dxa"/>
            <w:tcBorders>
              <w:top w:val="nil"/>
              <w:left w:val="single" w:color="4F81BD" w:themeColor="accent1" w:sz="8" w:space="0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5DC7340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熔融软化区间</w:t>
            </w: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3B396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110～125℃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single" w:color="4F81BD" w:themeColor="accent1" w:sz="8" w:space="0"/>
            </w:tcBorders>
            <w:shd w:val="clear" w:color="auto" w:fill="EDF2F8" w:themeFill="accent1" w:themeFillTint="19"/>
            <w:vAlign w:val="center"/>
          </w:tcPr>
          <w:p w14:paraId="279BAC6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熔点测定仪 DIN ISO 2176</w:t>
            </w:r>
          </w:p>
        </w:tc>
      </w:tr>
      <w:tr w14:paraId="06309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27" w:type="dxa"/>
            <w:tcBorders>
              <w:top w:val="nil"/>
              <w:left w:val="single" w:color="4F81BD" w:themeColor="accent1" w:sz="8" w:space="0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01C5EA3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酸值 (mgKOH/g)</w:t>
            </w: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88F3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≤10.0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single" w:color="4F81BD" w:themeColor="accent1" w:sz="8" w:space="0"/>
            </w:tcBorders>
            <w:shd w:val="clear" w:color="auto" w:fill="EDF2F8" w:themeFill="accent1" w:themeFillTint="19"/>
            <w:vAlign w:val="center"/>
          </w:tcPr>
          <w:p w14:paraId="05B3905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GB/T 5530</w:t>
            </w:r>
          </w:p>
        </w:tc>
      </w:tr>
      <w:tr w14:paraId="48315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27" w:type="dxa"/>
            <w:tcBorders>
              <w:top w:val="nil"/>
              <w:left w:val="single" w:color="4F81BD" w:themeColor="accent1" w:sz="8" w:space="0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59883BD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水分含量</w:t>
            </w: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0A4BE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≤0.3%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single" w:color="4F81BD" w:themeColor="accent1" w:sz="8" w:space="0"/>
            </w:tcBorders>
            <w:shd w:val="clear" w:color="auto" w:fill="EDF2F8" w:themeFill="accent1" w:themeFillTint="19"/>
            <w:vAlign w:val="center"/>
          </w:tcPr>
          <w:p w14:paraId="79007BD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105℃恒温失重法</w:t>
            </w:r>
          </w:p>
        </w:tc>
      </w:tr>
      <w:tr w14:paraId="71A20C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27" w:type="dxa"/>
            <w:tcBorders>
              <w:top w:val="nil"/>
              <w:left w:val="single" w:color="4F81BD" w:themeColor="accent1" w:sz="8" w:space="0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015B72A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高温挥发分 (150℃/1h)</w:t>
            </w: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A7F98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≤0.5%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single" w:color="4F81BD" w:themeColor="accent1" w:sz="8" w:space="0"/>
            </w:tcBorders>
            <w:shd w:val="clear" w:color="auto" w:fill="EDF2F8" w:themeFill="accent1" w:themeFillTint="19"/>
            <w:vAlign w:val="center"/>
          </w:tcPr>
          <w:p w14:paraId="043D30C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热失重烘箱测试</w:t>
            </w:r>
          </w:p>
        </w:tc>
      </w:tr>
      <w:tr w14:paraId="230A8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27" w:type="dxa"/>
            <w:tcBorders>
              <w:top w:val="nil"/>
              <w:left w:val="single" w:color="4F81BD" w:themeColor="accent1" w:sz="8" w:space="0"/>
              <w:bottom w:val="nil"/>
              <w:right w:val="nil"/>
            </w:tcBorders>
            <w:shd w:val="clear" w:color="auto" w:fill="EDF2F8" w:themeFill="accent1" w:themeFillTint="19"/>
            <w:vAlign w:val="center"/>
          </w:tcPr>
          <w:p w14:paraId="6A6916D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热稳定耐受温度</w:t>
            </w:r>
          </w:p>
        </w:tc>
        <w:tc>
          <w:tcPr>
            <w:tcW w:w="25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366A8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≥230℃</w:t>
            </w:r>
          </w:p>
        </w:tc>
        <w:tc>
          <w:tcPr>
            <w:tcW w:w="2566" w:type="dxa"/>
            <w:tcBorders>
              <w:top w:val="nil"/>
              <w:left w:val="nil"/>
              <w:bottom w:val="nil"/>
              <w:right w:val="single" w:color="4F81BD" w:themeColor="accent1" w:sz="8" w:space="0"/>
            </w:tcBorders>
            <w:shd w:val="clear" w:color="auto" w:fill="EDF2F8" w:themeFill="accent1" w:themeFillTint="19"/>
            <w:vAlign w:val="center"/>
          </w:tcPr>
          <w:p w14:paraId="3BCBB5F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TG 热重分析检测</w:t>
            </w:r>
          </w:p>
        </w:tc>
      </w:tr>
      <w:tr w14:paraId="47D8E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527" w:type="dxa"/>
            <w:tcBorders>
              <w:top w:val="nil"/>
              <w:left w:val="single" w:color="4F81BD" w:themeColor="accent1" w:sz="8" w:space="0"/>
              <w:bottom w:val="single" w:color="4F81BD" w:themeColor="accent1" w:sz="8" w:space="0"/>
              <w:right w:val="nil"/>
            </w:tcBorders>
            <w:shd w:val="clear" w:color="auto" w:fill="EDF2F8" w:themeFill="accent1" w:themeFillTint="19"/>
            <w:vAlign w:val="center"/>
          </w:tcPr>
          <w:p w14:paraId="03A4EE2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细度通过率（100 目标准筛）</w:t>
            </w:r>
          </w:p>
        </w:tc>
        <w:tc>
          <w:tcPr>
            <w:tcW w:w="2527" w:type="dxa"/>
            <w:tcBorders>
              <w:top w:val="nil"/>
              <w:left w:val="nil"/>
              <w:bottom w:val="single" w:color="4F81BD" w:themeColor="accent1" w:sz="8" w:space="0"/>
              <w:right w:val="nil"/>
            </w:tcBorders>
            <w:shd w:val="clear" w:color="auto" w:fill="FFFFFF"/>
            <w:vAlign w:val="center"/>
          </w:tcPr>
          <w:p w14:paraId="5A633E6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≥98%</w:t>
            </w:r>
          </w:p>
        </w:tc>
        <w:tc>
          <w:tcPr>
            <w:tcW w:w="2566" w:type="dxa"/>
            <w:tcBorders>
              <w:top w:val="nil"/>
              <w:left w:val="nil"/>
              <w:bottom w:val="single" w:color="4F81BD" w:themeColor="accent1" w:sz="8" w:space="0"/>
              <w:right w:val="single" w:color="4F81BD" w:themeColor="accent1" w:sz="8" w:space="0"/>
            </w:tcBorders>
            <w:shd w:val="clear" w:color="auto" w:fill="EDF2F8" w:themeFill="accent1" w:themeFillTint="19"/>
            <w:vAlign w:val="center"/>
          </w:tcPr>
          <w:p w14:paraId="33A3BAF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kern w:val="0"/>
                <w:sz w:val="19"/>
                <w:szCs w:val="19"/>
                <w:lang w:val="en-US" w:eastAsia="zh-CN" w:bidi="ar"/>
              </w:rPr>
              <w:t>国标分样筛筛分法</w:t>
            </w:r>
          </w:p>
        </w:tc>
      </w:tr>
    </w:tbl>
    <w:p w14:paraId="44378A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3</w:t>
      </w:r>
      <w:r>
        <w:rPr>
          <w:color w:val="000000"/>
          <w:sz w:val="19"/>
          <w:szCs w:val="19"/>
        </w:rPr>
        <w:t>. 产品核心优势</w:t>
      </w:r>
    </w:p>
    <w:p w14:paraId="186121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19"/>
          <w:szCs w:val="19"/>
        </w:rPr>
      </w:pPr>
      <w:r>
        <w:rPr>
          <w:rStyle w:val="9"/>
          <w:rFonts w:hint="eastAsia"/>
          <w:b/>
          <w:bCs/>
          <w:color w:val="000000"/>
          <w:sz w:val="19"/>
          <w:szCs w:val="19"/>
          <w:lang w:val="en-US" w:eastAsia="zh-CN"/>
        </w:rPr>
        <w:t>3.1</w:t>
      </w:r>
      <w:r>
        <w:rPr>
          <w:rStyle w:val="9"/>
          <w:b/>
          <w:bCs/>
          <w:color w:val="000000"/>
          <w:sz w:val="19"/>
          <w:szCs w:val="19"/>
        </w:rPr>
        <w:t>长效界面离型效果突出</w:t>
      </w:r>
      <w:r>
        <w:rPr>
          <w:color w:val="000000"/>
          <w:sz w:val="19"/>
          <w:szCs w:val="19"/>
        </w:rPr>
        <w:t>特有活性界面亲和结构，高温加工过程可定向迁移至熔体与金属模具接触面，形成连续均匀润滑隔离膜，大幅降低物料与模壁粘附力，减少粘模、拉丝、模头积碳积垢，延长设备清模周期，提升生产连续化效率。</w:t>
      </w:r>
    </w:p>
    <w:p w14:paraId="4FBA1F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19"/>
          <w:szCs w:val="19"/>
        </w:rPr>
      </w:pPr>
      <w:r>
        <w:rPr>
          <w:rStyle w:val="9"/>
          <w:rFonts w:hint="eastAsia"/>
          <w:b/>
          <w:bCs/>
          <w:color w:val="000000"/>
          <w:sz w:val="19"/>
          <w:szCs w:val="19"/>
          <w:lang w:val="en-US" w:eastAsia="zh-CN"/>
        </w:rPr>
        <w:t>3.2</w:t>
      </w:r>
      <w:r>
        <w:rPr>
          <w:rStyle w:val="9"/>
          <w:b/>
          <w:bCs/>
          <w:color w:val="000000"/>
          <w:sz w:val="19"/>
          <w:szCs w:val="19"/>
        </w:rPr>
        <w:t>均衡复合润滑体系</w:t>
      </w:r>
      <w:r>
        <w:rPr>
          <w:color w:val="000000"/>
          <w:sz w:val="19"/>
          <w:szCs w:val="19"/>
        </w:rPr>
        <w:t>高分子改性载体优化粉体整体分散性能，平衡熔体内部摩擦阻力，改善塑化均匀度，兼顾内外润滑效果，不易出现局部润滑过剩、表面喷霜发白等不良现象。</w:t>
      </w:r>
    </w:p>
    <w:p w14:paraId="7CBA4E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19"/>
          <w:szCs w:val="19"/>
        </w:rPr>
      </w:pPr>
      <w:r>
        <w:rPr>
          <w:rStyle w:val="9"/>
          <w:rFonts w:hint="eastAsia"/>
          <w:b/>
          <w:bCs/>
          <w:color w:val="000000"/>
          <w:sz w:val="19"/>
          <w:szCs w:val="19"/>
          <w:lang w:val="en-US" w:eastAsia="zh-CN"/>
        </w:rPr>
        <w:t>3.3</w:t>
      </w:r>
      <w:r>
        <w:rPr>
          <w:rStyle w:val="9"/>
          <w:b/>
          <w:bCs/>
          <w:color w:val="000000"/>
          <w:sz w:val="19"/>
          <w:szCs w:val="19"/>
        </w:rPr>
        <w:t>广谱配伍稳定性</w:t>
      </w:r>
      <w:r>
        <w:rPr>
          <w:color w:val="000000"/>
          <w:sz w:val="19"/>
          <w:szCs w:val="19"/>
        </w:rPr>
        <w:t>与各类硬质 PVC/CPVC 热稳定剂、酯类润滑剂、填料体系兼容，加工过程不易诱发制品变色，透明</w:t>
      </w:r>
      <w:r>
        <w:rPr>
          <w:rFonts w:hint="eastAsia"/>
          <w:color w:val="000000"/>
          <w:sz w:val="19"/>
          <w:szCs w:val="19"/>
          <w:lang w:val="en-US" w:eastAsia="zh-CN"/>
        </w:rPr>
        <w:t>度稍差</w:t>
      </w:r>
      <w:r>
        <w:rPr>
          <w:color w:val="000000"/>
          <w:sz w:val="19"/>
          <w:szCs w:val="19"/>
        </w:rPr>
        <w:t>。</w:t>
      </w:r>
    </w:p>
    <w:p w14:paraId="2D0BE7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19"/>
          <w:szCs w:val="19"/>
        </w:rPr>
      </w:pPr>
      <w:r>
        <w:rPr>
          <w:rStyle w:val="9"/>
          <w:rFonts w:hint="eastAsia"/>
          <w:b/>
          <w:bCs/>
          <w:color w:val="000000"/>
          <w:sz w:val="19"/>
          <w:szCs w:val="19"/>
          <w:lang w:val="en-US" w:eastAsia="zh-CN"/>
        </w:rPr>
        <w:t>3.4</w:t>
      </w:r>
      <w:r>
        <w:rPr>
          <w:rStyle w:val="9"/>
          <w:b/>
          <w:bCs/>
          <w:color w:val="000000"/>
          <w:sz w:val="19"/>
          <w:szCs w:val="19"/>
        </w:rPr>
        <w:t>低挥发低烟气加工友好</w:t>
      </w:r>
      <w:r>
        <w:rPr>
          <w:color w:val="000000"/>
          <w:sz w:val="19"/>
          <w:szCs w:val="19"/>
        </w:rPr>
        <w:t>整体热稳定性能优异，在 PVC、CPVC 常规加工温度区间挥发量低，生产过程油烟少，改善车间操作环境。</w:t>
      </w:r>
    </w:p>
    <w:p w14:paraId="5C20D5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19"/>
          <w:szCs w:val="19"/>
        </w:rPr>
      </w:pPr>
      <w:r>
        <w:rPr>
          <w:rStyle w:val="9"/>
          <w:rFonts w:hint="eastAsia"/>
          <w:b/>
          <w:bCs/>
          <w:color w:val="000000"/>
          <w:sz w:val="19"/>
          <w:szCs w:val="19"/>
          <w:lang w:val="en-US" w:eastAsia="zh-CN"/>
        </w:rPr>
        <w:t>3.5</w:t>
      </w:r>
      <w:r>
        <w:rPr>
          <w:rStyle w:val="9"/>
          <w:b/>
          <w:bCs/>
          <w:color w:val="000000"/>
          <w:sz w:val="19"/>
          <w:szCs w:val="19"/>
        </w:rPr>
        <w:t>优化制品表观品质</w:t>
      </w:r>
      <w:r>
        <w:rPr>
          <w:color w:val="000000"/>
          <w:sz w:val="19"/>
          <w:szCs w:val="19"/>
        </w:rPr>
        <w:t>减少成型后管材、型材表面麻点、划痕、凹凸瑕疵，显著提升成品表面光泽度与整体外观质感。</w:t>
      </w:r>
    </w:p>
    <w:p w14:paraId="2A070B5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使用方法</w:t>
      </w:r>
    </w:p>
    <w:p w14:paraId="733F5E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将本品与 PVC/CPVC 树脂、热稳定剂、填料、配套润滑助剂共同投入高速混合设备，在 85～115℃区间充分混配均匀后，直接用于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压延、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挤出或注塑成型，无需单独预处理。</w:t>
      </w:r>
    </w:p>
    <w:p w14:paraId="1B32A0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/>
          <w:color w:val="000000"/>
          <w:sz w:val="19"/>
          <w:szCs w:val="19"/>
          <w:lang w:val="en-US" w:eastAsia="zh-CN"/>
        </w:rPr>
      </w:pPr>
    </w:p>
    <w:p w14:paraId="3FF165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5</w:t>
      </w:r>
      <w:r>
        <w:rPr>
          <w:color w:val="000000"/>
          <w:sz w:val="19"/>
          <w:szCs w:val="19"/>
        </w:rPr>
        <w:t>. 包装、储存及保质周期</w:t>
      </w:r>
    </w:p>
    <w:p w14:paraId="4B217B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eastAsiaTheme="minorEastAsia"/>
          <w:color w:val="000000"/>
          <w:sz w:val="19"/>
          <w:szCs w:val="19"/>
          <w:lang w:eastAsia="zh-CN"/>
        </w:rPr>
      </w:pPr>
      <w:r>
        <w:rPr>
          <w:color w:val="000000"/>
          <w:sz w:val="19"/>
          <w:szCs w:val="19"/>
        </w:rPr>
        <w:t>包装规格：25kg 内衬 PE 内膜编织袋封装</w:t>
      </w:r>
      <w:r>
        <w:rPr>
          <w:rFonts w:hint="eastAsia"/>
          <w:color w:val="000000"/>
          <w:sz w:val="19"/>
          <w:szCs w:val="19"/>
          <w:lang w:eastAsia="zh-CN"/>
        </w:rPr>
        <w:t>。</w:t>
      </w:r>
    </w:p>
    <w:p w14:paraId="00DF03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储存条件：存放于阴凉干燥仓储环境，避光防潮，环境储存温度≤35℃，远离强酸、强氧化类物料</w:t>
      </w:r>
    </w:p>
    <w:p w14:paraId="05E920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堆放要求：底部垫板离地存放，避免长期重压堆叠造成结块；轻微结块粉碎后不影响使用性能</w:t>
      </w:r>
    </w:p>
    <w:p w14:paraId="6EFCD4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保质期限：原厂密封状态下保质期 12 个月，开封后建议 3 个月内用完以保障使用效果。</w:t>
      </w:r>
    </w:p>
    <w:p w14:paraId="0FB193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6</w:t>
      </w:r>
      <w:r>
        <w:rPr>
          <w:color w:val="000000"/>
          <w:sz w:val="19"/>
          <w:szCs w:val="19"/>
        </w:rPr>
        <w:t>. 免责声明</w:t>
      </w:r>
    </w:p>
    <w:p w14:paraId="315CE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本 TDS 所列参数均为标准实验室环境下典型参考数值，仅作为客户配方调试、工艺制定参考依据。因各厂家原料体系、生产设备、加工工艺存在差异，正式量产前务必开展小试验证最佳添加比例。本文档不构成产品质量担保，产品品质以双方购销合同约定标准为准。</w:t>
      </w:r>
    </w:p>
    <w:p w14:paraId="2CC911E4"/>
    <w:p w14:paraId="1CD3AE3B">
      <w:r>
        <w:rPr>
          <w:rFonts w:hint="eastAsia"/>
          <w:lang w:val="en-US" w:eastAsia="zh-CN"/>
        </w:rPr>
        <w:t>　　　　　　　　　　　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1878D">
    <w:pPr>
      <w:pStyle w:val="5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-1123315</wp:posOffset>
          </wp:positionH>
          <wp:positionV relativeFrom="paragraph">
            <wp:posOffset>-375920</wp:posOffset>
          </wp:positionV>
          <wp:extent cx="7531735" cy="1113790"/>
          <wp:effectExtent l="0" t="0" r="12065" b="13970"/>
          <wp:wrapNone/>
          <wp:docPr id="2" name="图片 3" descr="d:/阿尔法新材/阿尔法横条2.png阿尔法横条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3" descr="d:/阿尔法新材/阿尔法横条2.png阿尔法横条2"/>
                  <pic:cNvPicPr>
                    <a:picLocks noChangeAspect="1"/>
                  </pic:cNvPicPr>
                </pic:nvPicPr>
                <pic:blipFill>
                  <a:blip r:embed="rId1"/>
                  <a:srcRect l="56" r="56"/>
                  <a:stretch>
                    <a:fillRect/>
                  </a:stretch>
                </pic:blipFill>
                <pic:spPr>
                  <a:xfrm>
                    <a:off x="0" y="0"/>
                    <a:ext cx="7531735" cy="11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2D892">
    <w:pPr>
      <w:pStyle w:val="6"/>
      <w:pBdr>
        <w:bottom w:val="none" w:color="auto" w:sz="0" w:space="1"/>
      </w:pBdr>
      <w:jc w:val="left"/>
      <w:rPr>
        <w:rFonts w:hint="eastAsia"/>
        <w:lang w:val="en-US" w:eastAsia="zh-CN"/>
      </w:rPr>
    </w:pPr>
    <w:r>
      <w:rPr>
        <w:rFonts w:hint="default" w:eastAsia="宋体"/>
        <w:lang w:val="en-US"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7535" cy="504190"/>
          <wp:effectExtent l="0" t="0" r="0" b="13970"/>
          <wp:wrapNone/>
          <wp:docPr id="1" name="图片 1" descr="QQ截图202404060825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QQ截图2024040608253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535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</w:t>
    </w:r>
  </w:p>
  <w:p w14:paraId="1144FBFE">
    <w:pPr>
      <w:pStyle w:val="6"/>
      <w:pBdr>
        <w:bottom w:val="thinThickThinSmallGap" w:color="FF9900" w:sz="18" w:space="1"/>
      </w:pBdr>
      <w:ind w:firstLine="1446" w:firstLineChars="400"/>
      <w:jc w:val="left"/>
      <w:rPr>
        <w:rFonts w:hint="default"/>
        <w:b/>
        <w:bCs/>
        <w:sz w:val="36"/>
        <w:szCs w:val="36"/>
        <w:lang w:val="en-US" w:eastAsia="zh-CN"/>
      </w:rPr>
    </w:pPr>
    <w:r>
      <w:rPr>
        <w:rFonts w:hint="eastAsia"/>
        <w:b/>
        <w:bCs/>
        <w:sz w:val="36"/>
        <w:szCs w:val="36"/>
        <w:lang w:val="en-US" w:eastAsia="zh-CN"/>
      </w:rPr>
      <w:t>阿尔法（深圳）环保新材料有限公司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A97C64"/>
    <w:multiLevelType w:val="singleLevel"/>
    <w:tmpl w:val="0AA97C64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zNmQyZTI3ZmRmMWQ1YmRjMGEwNTAzYzk4ZTI0NjcifQ=="/>
  </w:docVars>
  <w:rsids>
    <w:rsidRoot w:val="443E4335"/>
    <w:rsid w:val="0A9E5E78"/>
    <w:rsid w:val="11AE7071"/>
    <w:rsid w:val="2A495DB3"/>
    <w:rsid w:val="3A295D68"/>
    <w:rsid w:val="443E4335"/>
    <w:rsid w:val="5FE66060"/>
    <w:rsid w:val="76F34D5F"/>
    <w:rsid w:val="7DB54F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50" w:beforeLines="50" w:beforeAutospacing="0" w:after="50" w:afterLines="50" w:afterAutospacing="0"/>
      <w:jc w:val="left"/>
      <w:outlineLvl w:val="0"/>
    </w:pPr>
    <w:rPr>
      <w:rFonts w:hint="eastAsia" w:ascii="宋体" w:hAnsi="宋体" w:eastAsia="宋体" w:cs="宋体"/>
      <w:b/>
      <w:bCs/>
      <w:color w:val="F79646" w:themeColor="accent6"/>
      <w:kern w:val="44"/>
      <w:sz w:val="24"/>
      <w:szCs w:val="48"/>
      <w:lang w:bidi="ar"/>
      <w14:textFill>
        <w14:solidFill>
          <w14:schemeClr w14:val="accent6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50" w:beforeLines="50" w:beforeAutospacing="0" w:after="50" w:afterLines="50" w:afterAutospacing="0"/>
      <w:jc w:val="left"/>
      <w:outlineLvl w:val="1"/>
    </w:pPr>
    <w:rPr>
      <w:rFonts w:hint="eastAsia" w:ascii="宋体" w:hAnsi="宋体" w:eastAsia="宋体" w:cs="宋体"/>
      <w:b/>
      <w:bCs/>
      <w:color w:val="4F81BD" w:themeColor="accent1"/>
      <w:kern w:val="0"/>
      <w:sz w:val="21"/>
      <w:szCs w:val="36"/>
      <w:lang w:bidi="ar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8463;&#23572;&#27861;&#26032;&#26448;\&#38463;&#23572;&#27861;&#25991;&#26723;&#27169;&#29256;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阿尔法文档模版.wpt</Template>
  <Pages>2</Pages>
  <Words>1093</Words>
  <Characters>1225</Characters>
  <Lines>0</Lines>
  <Paragraphs>0</Paragraphs>
  <TotalTime>4</TotalTime>
  <ScaleCrop>false</ScaleCrop>
  <LinksUpToDate>false</LinksUpToDate>
  <CharactersWithSpaces>1293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2026-07-12T02:00:00Z</dcterms:created>
  <dc:creator>阿军古</dc:creator>
  <cp:lastModifiedBy>阿军古</cp:lastModifiedBy>
  <dcterms:modified xsi:type="dcterms:W3CDTF">2026-07-12T02:22:31Z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311F1B87B4E44732BA59B1D3C81F20F5_11</vt:lpwstr>
  </property>
  <property fmtid="{D5CDD505-2E9C-101B-9397-08002B2CF9AE}" pid="4" name="KSOTemplateDocerSaveRecord">
    <vt:lpwstr>eyJoZGlkIjoiOGQzNmQyZTI3ZmRmMWQ1YmRjMGEwNTAzYzk4ZTI0NjciLCJ1c2VySWQiOiIyMjExNDI1MDYifQ==</vt:lpwstr>
  </property>
</Properties>
</file>