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80CC1B">
      <w:pPr>
        <w:spacing w:before="480" w:after="480" w:line="288" w:lineRule="auto"/>
        <w:ind w:left="0"/>
      </w:pPr>
      <w:r>
        <w:rPr>
          <w:rFonts w:hint="eastAsia"/>
          <w:lang w:val="en-US" w:eastAsia="zh-CN"/>
        </w:rPr>
        <w:t xml:space="preserve">　　                  </w:t>
      </w:r>
      <w:r>
        <w:rPr>
          <w:rFonts w:ascii="Arial" w:hAnsi="Arial" w:eastAsia="等线" w:cs="Arial"/>
          <w:b/>
          <w:sz w:val="52"/>
        </w:rPr>
        <w:t>苯甲酸锌说明书</w:t>
      </w:r>
    </w:p>
    <w:p w14:paraId="0417EF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320" w:after="120" w:line="240" w:lineRule="auto"/>
        <w:ind w:left="0"/>
        <w:jc w:val="left"/>
        <w:textAlignment w:val="auto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基本信息</w:t>
      </w:r>
      <w:bookmarkEnd w:id="0"/>
    </w:p>
    <w:p w14:paraId="30872B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中文名称</w:t>
      </w:r>
      <w:r>
        <w:rPr>
          <w:rFonts w:ascii="Arial" w:hAnsi="Arial" w:eastAsia="等线" w:cs="Arial"/>
          <w:sz w:val="22"/>
        </w:rPr>
        <w:t>：苯甲酸锌（二苯甲酸锌）</w:t>
      </w:r>
      <w:r>
        <w:rPr>
          <w:rFonts w:ascii="Arial" w:hAnsi="Arial" w:eastAsia="等线" w:cs="Arial"/>
          <w:b/>
          <w:sz w:val="22"/>
        </w:rPr>
        <w:t>英文名称</w:t>
      </w:r>
      <w:r>
        <w:rPr>
          <w:rFonts w:ascii="Arial" w:hAnsi="Arial" w:eastAsia="等线" w:cs="Arial"/>
          <w:sz w:val="22"/>
        </w:rPr>
        <w:t>：Zinc Benzoate（Zinc Dibenzoate）</w:t>
      </w:r>
    </w:p>
    <w:p w14:paraId="186D0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分子式</w:t>
      </w:r>
      <w:r>
        <w:rPr>
          <w:rFonts w:ascii="Arial" w:hAnsi="Arial" w:eastAsia="等线" w:cs="Arial"/>
          <w:sz w:val="22"/>
        </w:rPr>
        <w:t>：C₁₄H₁</w:t>
      </w:r>
      <w:r>
        <w:rPr>
          <w:rFonts w:hint="eastAsia" w:ascii="Arial" w:hAnsi="Arial" w:eastAsia="等线" w:cs="Arial"/>
          <w:sz w:val="22"/>
          <w:vertAlign w:val="subscript"/>
          <w:lang w:val="en-US" w:eastAsia="zh-CN"/>
        </w:rPr>
        <w:t>0</w:t>
      </w:r>
      <w:r>
        <w:rPr>
          <w:rFonts w:ascii="Arial" w:hAnsi="Arial" w:eastAsia="等线" w:cs="Arial"/>
          <w:sz w:val="22"/>
        </w:rPr>
        <w:t>O₄Zn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</w:t>
      </w:r>
      <w:r>
        <w:rPr>
          <w:rFonts w:ascii="Arial" w:hAnsi="Arial" w:eastAsia="等线" w:cs="Arial"/>
          <w:b/>
          <w:sz w:val="22"/>
        </w:rPr>
        <w:t>分子量</w:t>
      </w:r>
      <w:r>
        <w:rPr>
          <w:rFonts w:ascii="Arial" w:hAnsi="Arial" w:eastAsia="等线" w:cs="Arial"/>
          <w:sz w:val="22"/>
        </w:rPr>
        <w:t>：307.64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</w:t>
      </w:r>
      <w:r>
        <w:rPr>
          <w:rFonts w:ascii="Arial" w:hAnsi="Arial" w:eastAsia="等线" w:cs="Arial"/>
          <w:b/>
          <w:sz w:val="22"/>
        </w:rPr>
        <w:t>CAS号</w:t>
      </w:r>
      <w:r>
        <w:rPr>
          <w:rFonts w:ascii="Arial" w:hAnsi="Arial" w:eastAsia="等线" w:cs="Arial"/>
          <w:sz w:val="22"/>
        </w:rPr>
        <w:t>：553-72-0</w:t>
      </w:r>
    </w:p>
    <w:p w14:paraId="4391A3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外观</w:t>
      </w:r>
      <w:r>
        <w:rPr>
          <w:rFonts w:ascii="Arial" w:hAnsi="Arial" w:eastAsia="等线" w:cs="Arial"/>
          <w:sz w:val="22"/>
        </w:rPr>
        <w:t>：白色结晶粉末，无臭无味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</w:t>
      </w:r>
      <w:r>
        <w:rPr>
          <w:rFonts w:ascii="Arial" w:hAnsi="Arial" w:eastAsia="等线" w:cs="Arial"/>
          <w:b/>
          <w:sz w:val="22"/>
        </w:rPr>
        <w:t>溶解性</w:t>
      </w:r>
      <w:r>
        <w:rPr>
          <w:rFonts w:ascii="Arial" w:hAnsi="Arial" w:eastAsia="等线" w:cs="Arial"/>
          <w:sz w:val="22"/>
        </w:rPr>
        <w:t>：难溶于水，微溶于乙醇</w:t>
      </w:r>
    </w:p>
    <w:p w14:paraId="5EC96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b/>
          <w:sz w:val="22"/>
        </w:rPr>
        <w:t>锌含量</w:t>
      </w:r>
      <w:r>
        <w:rPr>
          <w:rFonts w:ascii="Arial" w:hAnsi="Arial" w:eastAsia="等线" w:cs="Arial"/>
          <w:sz w:val="22"/>
        </w:rPr>
        <w:t>：19.5%–20.5%（干基）</w:t>
      </w:r>
    </w:p>
    <w:p w14:paraId="46DB1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320" w:after="120" w:line="240" w:lineRule="auto"/>
        <w:ind w:left="0"/>
        <w:jc w:val="left"/>
        <w:textAlignment w:val="auto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质量标准（企标）</w:t>
      </w:r>
      <w:bookmarkEnd w:id="1"/>
    </w:p>
    <w:tbl>
      <w:tblPr>
        <w:tblStyle w:val="5"/>
        <w:tblW w:w="73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0"/>
        <w:gridCol w:w="3917"/>
      </w:tblGrid>
      <w:tr w14:paraId="5B75B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  <w:tblHeader/>
          <w:jc w:val="center"/>
        </w:trPr>
        <w:tc>
          <w:tcPr>
            <w:tcW w:w="3884" w:type="dxa"/>
            <w:vAlign w:val="top"/>
          </w:tcPr>
          <w:p w14:paraId="267373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20" w:after="120" w:line="240" w:lineRule="auto"/>
              <w:jc w:val="left"/>
              <w:textAlignment w:val="auto"/>
              <w:outlineLvl w:val="1"/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2" w:name="heading_2"/>
            <w:r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项目</w:t>
            </w:r>
          </w:p>
        </w:tc>
        <w:tc>
          <w:tcPr>
            <w:tcW w:w="4635" w:type="dxa"/>
            <w:vAlign w:val="top"/>
          </w:tcPr>
          <w:p w14:paraId="67E84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20" w:after="120" w:line="240" w:lineRule="auto"/>
              <w:jc w:val="left"/>
              <w:textAlignment w:val="auto"/>
              <w:outlineLvl w:val="1"/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指标</w:t>
            </w:r>
          </w:p>
        </w:tc>
      </w:tr>
      <w:tr w14:paraId="561AD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  <w:jc w:val="center"/>
        </w:trPr>
        <w:tc>
          <w:tcPr>
            <w:tcW w:w="3884" w:type="dxa"/>
            <w:vAlign w:val="top"/>
          </w:tcPr>
          <w:p w14:paraId="2B0B3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20" w:after="120" w:line="240" w:lineRule="auto"/>
              <w:jc w:val="left"/>
              <w:textAlignment w:val="auto"/>
              <w:outlineLvl w:val="1"/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外观</w:t>
            </w:r>
          </w:p>
        </w:tc>
        <w:tc>
          <w:tcPr>
            <w:tcW w:w="4635" w:type="dxa"/>
            <w:vAlign w:val="top"/>
          </w:tcPr>
          <w:p w14:paraId="3BB92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20" w:after="120" w:line="240" w:lineRule="auto"/>
              <w:jc w:val="left"/>
              <w:textAlignment w:val="auto"/>
              <w:outlineLvl w:val="1"/>
              <w:rPr>
                <w:rFonts w:hint="default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白色粉末</w:t>
            </w:r>
          </w:p>
        </w:tc>
      </w:tr>
      <w:tr w14:paraId="169C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  <w:jc w:val="center"/>
        </w:trPr>
        <w:tc>
          <w:tcPr>
            <w:tcW w:w="3884" w:type="dxa"/>
            <w:vAlign w:val="top"/>
          </w:tcPr>
          <w:p w14:paraId="5F7C4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20" w:after="120" w:line="240" w:lineRule="auto"/>
              <w:jc w:val="left"/>
              <w:textAlignment w:val="auto"/>
              <w:outlineLvl w:val="1"/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粒径（目）</w:t>
            </w:r>
          </w:p>
        </w:tc>
        <w:tc>
          <w:tcPr>
            <w:tcW w:w="4635" w:type="dxa"/>
            <w:vAlign w:val="top"/>
          </w:tcPr>
          <w:p w14:paraId="069F7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20" w:after="120" w:line="240" w:lineRule="auto"/>
              <w:jc w:val="left"/>
              <w:textAlignment w:val="auto"/>
              <w:outlineLvl w:val="1"/>
              <w:rPr>
                <w:rFonts w:hint="default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≥325</w:t>
            </w:r>
          </w:p>
        </w:tc>
      </w:tr>
      <w:tr w14:paraId="18683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  <w:jc w:val="center"/>
        </w:trPr>
        <w:tc>
          <w:tcPr>
            <w:tcW w:w="3884" w:type="dxa"/>
            <w:vAlign w:val="top"/>
          </w:tcPr>
          <w:p w14:paraId="6EF42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20" w:after="120" w:line="240" w:lineRule="auto"/>
              <w:jc w:val="left"/>
              <w:textAlignment w:val="auto"/>
              <w:outlineLvl w:val="1"/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锌含量（%）</w:t>
            </w:r>
          </w:p>
        </w:tc>
        <w:tc>
          <w:tcPr>
            <w:tcW w:w="4635" w:type="dxa"/>
            <w:vAlign w:val="top"/>
          </w:tcPr>
          <w:p w14:paraId="520BD6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20" w:after="120" w:line="240" w:lineRule="auto"/>
              <w:jc w:val="left"/>
              <w:textAlignment w:val="auto"/>
              <w:outlineLvl w:val="1"/>
              <w:rPr>
                <w:rFonts w:hint="default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≥20.0</w:t>
            </w:r>
          </w:p>
        </w:tc>
      </w:tr>
      <w:tr w14:paraId="25D28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exact"/>
          <w:jc w:val="center"/>
        </w:trPr>
        <w:tc>
          <w:tcPr>
            <w:tcW w:w="3884" w:type="dxa"/>
            <w:vAlign w:val="top"/>
          </w:tcPr>
          <w:p w14:paraId="24C0B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20" w:after="120" w:line="240" w:lineRule="auto"/>
              <w:jc w:val="left"/>
              <w:textAlignment w:val="auto"/>
              <w:outlineLvl w:val="1"/>
              <w:rPr>
                <w:rFonts w:hint="default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挥发度（105℃2h）（%）</w:t>
            </w:r>
          </w:p>
        </w:tc>
        <w:tc>
          <w:tcPr>
            <w:tcW w:w="4635" w:type="dxa"/>
            <w:vAlign w:val="top"/>
          </w:tcPr>
          <w:p w14:paraId="2909E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320" w:after="120" w:line="240" w:lineRule="auto"/>
              <w:jc w:val="left"/>
              <w:textAlignment w:val="auto"/>
              <w:outlineLvl w:val="1"/>
              <w:rPr>
                <w:rFonts w:hint="default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bCs/>
                <w:sz w:val="24"/>
                <w:szCs w:val="24"/>
                <w:vertAlign w:val="baseline"/>
                <w:lang w:val="en-US" w:eastAsia="zh-CN"/>
              </w:rPr>
              <w:t>≤1.0</w:t>
            </w:r>
          </w:p>
        </w:tc>
      </w:tr>
    </w:tbl>
    <w:p w14:paraId="194A9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320" w:after="120" w:line="240" w:lineRule="auto"/>
        <w:ind w:left="0"/>
        <w:jc w:val="left"/>
        <w:textAlignment w:val="auto"/>
        <w:outlineLvl w:val="1"/>
      </w:pPr>
      <w:r>
        <w:rPr>
          <w:rFonts w:ascii="Arial" w:hAnsi="Arial" w:eastAsia="等线" w:cs="Arial"/>
          <w:b/>
          <w:sz w:val="32"/>
        </w:rPr>
        <w:t>主要用途</w:t>
      </w:r>
      <w:bookmarkEnd w:id="2"/>
    </w:p>
    <w:p w14:paraId="7611B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食品工业：防腐剂（抑制霉菌/酵母菌）、酸化剂、锌营养强化剂；适用饮料、果酱、罐头、调味品等。</w:t>
      </w:r>
    </w:p>
    <w:p w14:paraId="451C4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塑料工业：PVC热稳定剂（提升透明/柔性PVC耐热耐候性）。</w:t>
      </w:r>
    </w:p>
    <w:p w14:paraId="219CB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涂料/纺织：油漆杀菌剂、纺织柔软剂/抗静电剂。</w:t>
      </w:r>
    </w:p>
    <w:p w14:paraId="79FDC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4. 医药/化妆品：防腐抑菌、锌补充剂原料。</w:t>
      </w:r>
    </w:p>
    <w:p w14:paraId="6473E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320" w:after="120" w:line="240" w:lineRule="auto"/>
        <w:ind w:left="0"/>
        <w:jc w:val="left"/>
        <w:textAlignment w:val="auto"/>
        <w:outlineLvl w:val="1"/>
        <w:rPr>
          <w:rFonts w:ascii="Arial" w:hAnsi="Arial" w:eastAsia="等线" w:cs="Arial"/>
          <w:b/>
          <w:sz w:val="32"/>
        </w:rPr>
      </w:pPr>
      <w:bookmarkStart w:id="3" w:name="heading_3"/>
    </w:p>
    <w:p w14:paraId="7075B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320" w:after="120" w:line="240" w:lineRule="auto"/>
        <w:ind w:left="0"/>
        <w:jc w:val="left"/>
        <w:textAlignment w:val="auto"/>
        <w:outlineLvl w:val="1"/>
        <w:rPr>
          <w:rFonts w:ascii="Arial" w:hAnsi="Arial" w:eastAsia="等线" w:cs="Arial"/>
          <w:b/>
          <w:sz w:val="32"/>
        </w:rPr>
      </w:pPr>
    </w:p>
    <w:p w14:paraId="011D8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320" w:after="120" w:line="240" w:lineRule="auto"/>
        <w:ind w:left="0"/>
        <w:jc w:val="left"/>
        <w:textAlignment w:val="auto"/>
        <w:outlineLvl w:val="1"/>
      </w:pPr>
      <w:r>
        <w:rPr>
          <w:rFonts w:ascii="Arial" w:hAnsi="Arial" w:eastAsia="等线" w:cs="Arial"/>
          <w:b/>
          <w:sz w:val="32"/>
        </w:rPr>
        <w:t>用法用量</w:t>
      </w:r>
      <w:bookmarkEnd w:id="3"/>
    </w:p>
    <w:p w14:paraId="72972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1. 食品添加：0.1–1.5 g/kg（以苯甲酸计）；果酱/蜜饯可用3%–5%水溶液浸渍后洗净。</w:t>
      </w:r>
    </w:p>
    <w:p w14:paraId="206FB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2. PVC稳定剂：占配方1%–4%，与其他稳定剂复配。</w:t>
      </w:r>
    </w:p>
    <w:p w14:paraId="6F6EC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3. 纺织印染：添加量0.5%–3%（对染液质量）。</w:t>
      </w:r>
    </w:p>
    <w:p w14:paraId="7E87E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320" w:after="120" w:line="240" w:lineRule="auto"/>
        <w:ind w:left="0"/>
        <w:jc w:val="left"/>
        <w:textAlignment w:val="auto"/>
        <w:outlineLvl w:val="1"/>
      </w:pPr>
      <w:bookmarkStart w:id="4" w:name="heading_5"/>
      <w:r>
        <w:rPr>
          <w:rFonts w:ascii="Arial" w:hAnsi="Arial" w:eastAsia="等线" w:cs="Arial"/>
          <w:b/>
          <w:sz w:val="32"/>
        </w:rPr>
        <w:t>包装规格</w:t>
      </w:r>
      <w:bookmarkEnd w:id="4"/>
    </w:p>
    <w:p w14:paraId="269A7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25 kg牛皮纸袋</w:t>
      </w:r>
      <w:r>
        <w:rPr>
          <w:rFonts w:hint="eastAsia" w:ascii="Arial" w:hAnsi="Arial" w:eastAsia="等线" w:cs="Arial"/>
          <w:sz w:val="22"/>
          <w:lang w:val="en-US" w:eastAsia="zh-CN"/>
        </w:rPr>
        <w:t>或编织袋</w:t>
      </w:r>
      <w:r>
        <w:rPr>
          <w:rFonts w:ascii="Arial" w:hAnsi="Arial" w:eastAsia="等线" w:cs="Arial"/>
          <w:sz w:val="22"/>
        </w:rPr>
        <w:t>（内衬PE薄膜，密封防潮），可根据客户需求定制包装规格。</w:t>
      </w:r>
    </w:p>
    <w:p w14:paraId="57654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320" w:after="120" w:line="240" w:lineRule="auto"/>
        <w:ind w:left="0"/>
        <w:jc w:val="left"/>
        <w:textAlignment w:val="auto"/>
        <w:outlineLvl w:val="1"/>
      </w:pPr>
      <w:bookmarkStart w:id="5" w:name="heading_6"/>
      <w:r>
        <w:rPr>
          <w:rFonts w:ascii="Arial" w:hAnsi="Arial" w:eastAsia="等线" w:cs="Arial"/>
          <w:b/>
          <w:sz w:val="32"/>
        </w:rPr>
        <w:t>储存条件</w:t>
      </w:r>
      <w:bookmarkEnd w:id="5"/>
    </w:p>
    <w:p w14:paraId="33F4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存放于阴凉、干燥、通风的库房，避免高温、暴晒、潮湿；密封保存，远离热源、明火及氧化剂；避免与强酸、强碱、腐蚀性物质混储；未开封状态下，保质期</w:t>
      </w:r>
      <w:r>
        <w:rPr>
          <w:rFonts w:hint="eastAsia" w:ascii="Arial" w:hAnsi="Arial" w:eastAsia="等线" w:cs="Arial"/>
          <w:sz w:val="22"/>
          <w:lang w:val="en-US" w:eastAsia="zh-CN"/>
        </w:rPr>
        <w:t>24</w:t>
      </w:r>
      <w:bookmarkStart w:id="8" w:name="_GoBack"/>
      <w:bookmarkEnd w:id="8"/>
      <w:r>
        <w:rPr>
          <w:rFonts w:ascii="Arial" w:hAnsi="Arial" w:eastAsia="等线" w:cs="Arial"/>
          <w:sz w:val="22"/>
        </w:rPr>
        <w:t>个月。</w:t>
      </w:r>
    </w:p>
    <w:p w14:paraId="315A7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320" w:after="120" w:line="240" w:lineRule="auto"/>
        <w:ind w:left="0"/>
        <w:jc w:val="left"/>
        <w:textAlignment w:val="auto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合规声明</w:t>
      </w:r>
      <w:bookmarkEnd w:id="6"/>
    </w:p>
    <w:p w14:paraId="632DD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本产品不含有机锡、无铅、无镉、无钡，符合 RoHS 2.0 (2011/65/EU)、REACH（无SVHC高关注物质）、FDA 21 CFR 177.1210（食品接触应用）及GB 9685-2016标准。</w:t>
      </w:r>
    </w:p>
    <w:p w14:paraId="1984E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320" w:after="120" w:line="240" w:lineRule="auto"/>
        <w:ind w:left="0"/>
        <w:jc w:val="left"/>
        <w:textAlignment w:val="auto"/>
        <w:outlineLvl w:val="1"/>
      </w:pPr>
      <w:bookmarkStart w:id="7" w:name="heading_8"/>
      <w:r>
        <w:rPr>
          <w:rFonts w:ascii="Arial" w:hAnsi="Arial" w:eastAsia="等线" w:cs="Arial"/>
          <w:b/>
          <w:sz w:val="32"/>
        </w:rPr>
        <w:t>责任声明</w:t>
      </w:r>
      <w:bookmarkEnd w:id="7"/>
    </w:p>
    <w:p w14:paraId="6289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before="120" w:after="120" w:line="240" w:lineRule="auto"/>
        <w:ind w:left="0"/>
        <w:jc w:val="left"/>
        <w:textAlignment w:val="auto"/>
      </w:pPr>
      <w:r>
        <w:rPr>
          <w:rFonts w:ascii="Arial" w:hAnsi="Arial" w:eastAsia="等线" w:cs="Arial"/>
          <w:sz w:val="22"/>
        </w:rPr>
        <w:t>本TDS基于现有测试数据提供，仅供技术参考。用户需自行评估产品适用性，阿尔法（深圳）环保新材料有限公司不承担因使用不当造成的损失。</w:t>
      </w:r>
    </w:p>
    <w:p w14:paraId="7E231E6F">
      <w:r>
        <w:rPr>
          <w:rFonts w:hint="eastAsia"/>
          <w:lang w:val="en-US" w:eastAsia="zh-CN"/>
        </w:rPr>
        <w:t>　　　　　　　　　</w:t>
      </w:r>
    </w:p>
    <w:p w14:paraId="672624C8">
      <w:r>
        <w:rPr>
          <w:rFonts w:hint="eastAsia"/>
          <w:lang w:val="en-US" w:eastAsia="zh-CN"/>
        </w:rPr>
        <w:t>　　　　　　　　　　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60E9D">
    <w:pPr>
      <w:pStyle w:val="2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-1123315</wp:posOffset>
          </wp:positionH>
          <wp:positionV relativeFrom="paragraph">
            <wp:posOffset>-375920</wp:posOffset>
          </wp:positionV>
          <wp:extent cx="7531735" cy="1113790"/>
          <wp:effectExtent l="0" t="0" r="12065" b="13970"/>
          <wp:wrapNone/>
          <wp:docPr id="2" name="图片 3" descr="d:/阿尔法新材/阿尔法横条2.png阿尔法横条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3" descr="d:/阿尔法新材/阿尔法横条2.png阿尔法横条2"/>
                  <pic:cNvPicPr>
                    <a:picLocks noChangeAspect="1"/>
                  </pic:cNvPicPr>
                </pic:nvPicPr>
                <pic:blipFill>
                  <a:blip r:embed="rId1"/>
                  <a:srcRect l="56" r="56"/>
                  <a:stretch>
                    <a:fillRect/>
                  </a:stretch>
                </pic:blipFill>
                <pic:spPr>
                  <a:xfrm>
                    <a:off x="0" y="0"/>
                    <a:ext cx="7531735" cy="11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7433CF">
    <w:pPr>
      <w:pStyle w:val="3"/>
      <w:pBdr>
        <w:bottom w:val="none" w:color="auto" w:sz="0" w:space="1"/>
      </w:pBdr>
      <w:jc w:val="left"/>
      <w:rPr>
        <w:rFonts w:hint="eastAsia"/>
        <w:lang w:val="en-US" w:eastAsia="zh-CN"/>
      </w:rPr>
    </w:pPr>
    <w:r>
      <w:rPr>
        <w:rFonts w:hint="default" w:eastAsia="宋体"/>
        <w:lang w:val="en-US" w:eastAsia="zh-CN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7535" cy="504190"/>
          <wp:effectExtent l="0" t="0" r="0" b="13970"/>
          <wp:wrapNone/>
          <wp:docPr id="1" name="图片 1" descr="QQ截图202404060825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QQ截图202404060825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53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   </w:t>
    </w:r>
  </w:p>
  <w:p w14:paraId="566C5136">
    <w:pPr>
      <w:pStyle w:val="3"/>
      <w:pBdr>
        <w:bottom w:val="thinThickThinSmallGap" w:color="FF9900" w:sz="18" w:space="1"/>
      </w:pBdr>
      <w:ind w:firstLine="1446" w:firstLineChars="400"/>
      <w:jc w:val="left"/>
      <w:rPr>
        <w:rFonts w:hint="default"/>
        <w:b/>
        <w:bCs/>
        <w:sz w:val="36"/>
        <w:szCs w:val="36"/>
        <w:lang w:val="en-US" w:eastAsia="zh-CN"/>
      </w:rPr>
    </w:pPr>
    <w:r>
      <w:rPr>
        <w:rFonts w:hint="eastAsia"/>
        <w:b/>
        <w:bCs/>
        <w:sz w:val="36"/>
        <w:szCs w:val="36"/>
        <w:lang w:val="en-US" w:eastAsia="zh-CN"/>
      </w:rPr>
      <w:t>阿尔法（深圳）环保新材料有限公司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zNmQyZTI3ZmRmMWQ1YmRjMGEwNTAzYzk4ZTI0NjcifQ=="/>
  </w:docVars>
  <w:rsids>
    <w:rsidRoot w:val="7E1B46FD"/>
    <w:rsid w:val="0A9E5E78"/>
    <w:rsid w:val="2A495DB3"/>
    <w:rsid w:val="3A295D68"/>
    <w:rsid w:val="5FE66060"/>
    <w:rsid w:val="7193484D"/>
    <w:rsid w:val="76F34D5F"/>
    <w:rsid w:val="7DB54FCA"/>
    <w:rsid w:val="7E1B46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38463;&#23572;&#27861;&#26032;&#26448;\&#38463;&#23572;&#27861;&#25991;&#26723;&#27169;&#29256;.wp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阿尔法文档模版.wpt</Template>
  <Pages>2</Pages>
  <Words>575</Words>
  <Characters>726</Characters>
  <Lines>0</Lines>
  <Paragraphs>0</Paragraphs>
  <TotalTime>3</TotalTime>
  <ScaleCrop>false</ScaleCrop>
  <LinksUpToDate>false</LinksUpToDate>
  <CharactersWithSpaces>789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2026-04-27T06:04:00Z</dcterms:created>
  <dc:creator>阿军古</dc:creator>
  <cp:lastModifiedBy>阿军古</cp:lastModifiedBy>
  <dcterms:modified xsi:type="dcterms:W3CDTF">2026-04-27T06:39:52Z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2912C2CBB3C3431DB7AED82A655FE206_11</vt:lpwstr>
  </property>
  <property fmtid="{D5CDD505-2E9C-101B-9397-08002B2CF9AE}" pid="4" name="KSOTemplateDocerSaveRecord">
    <vt:lpwstr>eyJoZGlkIjoiOGQzNmQyZTI3ZmRmMWQ1YmRjMGEwNTAzYzk4ZTI0NjciLCJ1c2VySWQiOiIyMjExNDI1MDYifQ==</vt:lpwstr>
  </property>
</Properties>
</file>