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1CB280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color w:val="000000"/>
          <w:sz w:val="19"/>
          <w:szCs w:val="19"/>
        </w:rPr>
      </w:pPr>
      <w:r>
        <w:rPr>
          <w:rFonts w:hint="eastAsia"/>
          <w:lang w:val="en-US" w:eastAsia="zh-CN"/>
        </w:rPr>
        <w:t xml:space="preserve">　    </w:t>
      </w:r>
      <w:r>
        <w:rPr>
          <w:color w:val="000000"/>
          <w:sz w:val="28"/>
          <w:szCs w:val="28"/>
        </w:rPr>
        <w:t>硬脂酸根插层镁铝水滑石（</w:t>
      </w:r>
      <w:r>
        <w:rPr>
          <w:rFonts w:hint="eastAsia"/>
          <w:color w:val="000000"/>
          <w:sz w:val="28"/>
          <w:szCs w:val="28"/>
          <w:lang w:val="en-US" w:eastAsia="zh-CN"/>
        </w:rPr>
        <w:t>AEF-32</w:t>
      </w:r>
      <w:r>
        <w:rPr>
          <w:color w:val="000000"/>
          <w:sz w:val="28"/>
          <w:szCs w:val="28"/>
        </w:rPr>
        <w:t>）技术数据表（TDS）</w:t>
      </w:r>
    </w:p>
    <w:p w14:paraId="1E6D6425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firstLine="381" w:firstLineChars="200"/>
        <w:jc w:val="left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</w:rPr>
        <w:t>一、产品基础信息</w:t>
      </w:r>
    </w:p>
    <w:p w14:paraId="51DAB6F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color w:val="000000"/>
          <w:sz w:val="19"/>
          <w:szCs w:val="19"/>
        </w:rPr>
      </w:pPr>
      <w:r>
        <w:rPr>
          <w:rFonts w:ascii="宋体" w:hAnsi="宋体" w:eastAsia="宋体" w:cs="宋体"/>
          <w:color w:val="000000"/>
          <w:kern w:val="0"/>
          <w:sz w:val="19"/>
          <w:szCs w:val="19"/>
          <w:lang w:val="en-US" w:eastAsia="zh-CN" w:bidi="ar"/>
        </w:rPr>
        <w:t>1. 产品全称：硬脂酸根插层镁铝层状双金属氢氧化物（简称硬脂酸插层水滑石，St-LDH）2. 化学通式：Mg₃Al (OH)₈(C₁₈H₃₅O₂)・2H₂O3. 结构说明：层板为带正电镁铝复合氢氧化物，层间客体为完全插层硬脂酸根阴离子，区别于普通碳酸根包覆型水滑石；长烷基链撑开层板，XRD 特征层间距 3.2～3.5 nm。4. 相关 CAS 号：基体水滑石 11097-59-9；硬脂酸根 822-16-25. 适用范围：硬质 PVC 管材、门窗型材、硬质</w:t>
      </w:r>
      <w:r>
        <w:rPr>
          <w:rFonts w:hint="eastAsia" w:ascii="宋体" w:hAnsi="宋体" w:eastAsia="宋体" w:cs="宋体"/>
          <w:color w:val="000000"/>
          <w:kern w:val="0"/>
          <w:sz w:val="19"/>
          <w:szCs w:val="19"/>
          <w:lang w:val="en-US" w:eastAsia="zh-CN" w:bidi="ar"/>
        </w:rPr>
        <w:t>膜（片）材</w:t>
      </w:r>
      <w:r>
        <w:rPr>
          <w:rFonts w:ascii="宋体" w:hAnsi="宋体" w:eastAsia="宋体" w:cs="宋体"/>
          <w:color w:val="000000"/>
          <w:kern w:val="0"/>
          <w:sz w:val="19"/>
          <w:szCs w:val="19"/>
          <w:lang w:val="en-US" w:eastAsia="zh-CN" w:bidi="ar"/>
        </w:rPr>
        <w:t>，适配无铅钙锌复合稳定体系；可用于双螺杆挤出、单螺杆挤出、注塑、压延等加工工艺。</w:t>
      </w:r>
    </w:p>
    <w:p w14:paraId="19DCEAD6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firstLine="381" w:firstLineChars="200"/>
        <w:jc w:val="left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</w:rPr>
        <w:t>二、产品核心优势（PVC 加工应用）</w:t>
      </w:r>
    </w:p>
    <w:p w14:paraId="4D12B13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color w:val="000000"/>
          <w:sz w:val="19"/>
          <w:szCs w:val="19"/>
        </w:rPr>
      </w:pPr>
      <w:r>
        <w:rPr>
          <w:rFonts w:ascii="宋体" w:hAnsi="宋体" w:eastAsia="宋体" w:cs="宋体"/>
          <w:color w:val="000000"/>
          <w:kern w:val="0"/>
          <w:sz w:val="19"/>
          <w:szCs w:val="19"/>
          <w:lang w:val="en-US" w:eastAsia="zh-CN" w:bidi="ar"/>
        </w:rPr>
        <w:t>1. 双重热稳定作用：层间硬脂酸根快速捕捉 PVC 降解产生的 HCl，长碳链可置换分子链上不稳定烯丙基氯，制品初期白度远优于普通碳酸根型水滑石。2. 有效抑制锌烧：与钙锌稳定剂复配时，络合降解生成的氯化锌，减弱金属盐催化降解作用，长效热稳定时长提升 30%～50%。3. 与 PVC 相容性优异：烷基有机层降低粉体表面能，不易团聚，制品无白点、无晶点；自带内润滑效果，</w:t>
      </w:r>
      <w:r>
        <w:rPr>
          <w:rFonts w:hint="eastAsia" w:ascii="宋体" w:hAnsi="宋体" w:eastAsia="宋体" w:cs="宋体"/>
          <w:color w:val="000000"/>
          <w:kern w:val="0"/>
          <w:sz w:val="19"/>
          <w:szCs w:val="19"/>
          <w:lang w:val="en-US" w:eastAsia="zh-CN" w:bidi="ar"/>
        </w:rPr>
        <w:t>降低加工扭矩,</w:t>
      </w:r>
      <w:r>
        <w:rPr>
          <w:rFonts w:ascii="宋体" w:hAnsi="宋体" w:eastAsia="宋体" w:cs="宋体"/>
          <w:color w:val="000000"/>
          <w:kern w:val="0"/>
          <w:sz w:val="19"/>
          <w:szCs w:val="19"/>
          <w:lang w:val="en-US" w:eastAsia="zh-CN" w:bidi="ar"/>
        </w:rPr>
        <w:t>改善熔体流动性，</w:t>
      </w:r>
      <w:r>
        <w:rPr>
          <w:rFonts w:hint="eastAsia" w:ascii="宋体" w:hAnsi="宋体" w:eastAsia="宋体" w:cs="宋体"/>
          <w:color w:val="000000"/>
          <w:kern w:val="0"/>
          <w:sz w:val="19"/>
          <w:szCs w:val="19"/>
          <w:lang w:val="en-US" w:eastAsia="zh-CN" w:bidi="ar"/>
        </w:rPr>
        <w:t>脱模性优异</w:t>
      </w:r>
      <w:r>
        <w:rPr>
          <w:rFonts w:ascii="宋体" w:hAnsi="宋体" w:eastAsia="宋体" w:cs="宋体"/>
          <w:color w:val="000000"/>
          <w:kern w:val="0"/>
          <w:sz w:val="19"/>
          <w:szCs w:val="19"/>
          <w:lang w:val="en-US" w:eastAsia="zh-CN" w:bidi="ar"/>
        </w:rPr>
        <w:t>。</w:t>
      </w:r>
      <w:r>
        <w:rPr>
          <w:rFonts w:hint="eastAsia" w:ascii="宋体" w:hAnsi="宋体" w:eastAsia="宋体" w:cs="宋体"/>
          <w:color w:val="000000"/>
          <w:kern w:val="0"/>
          <w:sz w:val="19"/>
          <w:szCs w:val="19"/>
          <w:lang w:val="en-US" w:eastAsia="zh-CN" w:bidi="ar"/>
        </w:rPr>
        <w:t>4.通过插层改性的水滑石区别于普通水滑石的是具有优异的白度。5</w:t>
      </w:r>
      <w:r>
        <w:rPr>
          <w:rFonts w:ascii="宋体" w:hAnsi="宋体" w:eastAsia="宋体" w:cs="宋体"/>
          <w:color w:val="000000"/>
          <w:kern w:val="0"/>
          <w:sz w:val="19"/>
          <w:szCs w:val="19"/>
          <w:lang w:val="en-US" w:eastAsia="zh-CN" w:bidi="ar"/>
        </w:rPr>
        <w:t>. 环保无毒无重金属：不含铅、镉，重金属含量符合 RoHS、食品接触材料相关标准，可用于环保无铅制品。6. 高温低析出：硬脂酸根通过离子键固定于层间，高温挤出不迁移、长期存放无析出现象。</w:t>
      </w:r>
    </w:p>
    <w:p w14:paraId="34399BB8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firstLine="381" w:firstLineChars="200"/>
        <w:jc w:val="left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</w:rPr>
        <w:t>三、出厂理化技术指标</w:t>
      </w:r>
      <w:bookmarkStart w:id="0" w:name="_GoBack"/>
      <w:bookmarkEnd w:id="0"/>
    </w:p>
    <w:tbl>
      <w:tblPr>
        <w:tblStyle w:val="6"/>
        <w:tblpPr w:leftFromText="180" w:rightFromText="180" w:vertAnchor="text" w:horzAnchor="page" w:tblpX="2581" w:tblpY="114"/>
        <w:tblOverlap w:val="never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2168"/>
        <w:gridCol w:w="1550"/>
        <w:gridCol w:w="2610"/>
      </w:tblGrid>
      <w:tr w14:paraId="60A3370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09708E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b/>
                <w:bCs/>
                <w:color w:val="000000"/>
                <w:sz w:val="19"/>
                <w:szCs w:val="19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19"/>
                <w:szCs w:val="19"/>
                <w:lang w:val="en-US" w:eastAsia="zh-CN" w:bidi="ar"/>
              </w:rPr>
              <w:t>检测项目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DE3D29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b/>
                <w:bCs/>
                <w:color w:val="000000"/>
                <w:sz w:val="19"/>
                <w:szCs w:val="19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19"/>
                <w:szCs w:val="19"/>
                <w:lang w:val="en-US" w:eastAsia="zh-CN" w:bidi="ar"/>
              </w:rPr>
              <w:t>指标要求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8EEAEE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b/>
                <w:bCs/>
                <w:color w:val="000000"/>
                <w:sz w:val="19"/>
                <w:szCs w:val="19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19"/>
                <w:szCs w:val="19"/>
                <w:lang w:val="en-US" w:eastAsia="zh-CN" w:bidi="ar"/>
              </w:rPr>
              <w:t>检测执行方法</w:t>
            </w:r>
          </w:p>
        </w:tc>
      </w:tr>
      <w:tr w14:paraId="364EBA1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CC5F67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color w:val="000000"/>
                <w:sz w:val="19"/>
                <w:szCs w:val="19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9"/>
                <w:szCs w:val="19"/>
                <w:lang w:val="en-US" w:eastAsia="zh-CN" w:bidi="ar"/>
              </w:rPr>
              <w:t>外观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419727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color w:val="000000"/>
                <w:sz w:val="19"/>
                <w:szCs w:val="19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9"/>
                <w:szCs w:val="19"/>
                <w:lang w:val="en-US" w:eastAsia="zh-CN" w:bidi="ar"/>
              </w:rPr>
              <w:t>白色超细均匀粉末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E7A424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color w:val="000000"/>
                <w:sz w:val="19"/>
                <w:szCs w:val="19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9"/>
                <w:szCs w:val="19"/>
                <w:lang w:val="en-US" w:eastAsia="zh-CN" w:bidi="ar"/>
              </w:rPr>
              <w:t>目视法</w:t>
            </w:r>
          </w:p>
        </w:tc>
      </w:tr>
      <w:tr w14:paraId="7A2C4BC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A1B85E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color w:val="000000"/>
                <w:sz w:val="19"/>
                <w:szCs w:val="19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9"/>
                <w:szCs w:val="19"/>
                <w:lang w:val="en-US" w:eastAsia="zh-CN" w:bidi="ar"/>
              </w:rPr>
              <w:t>氧化镁（MgO）质量分数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6694D7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color w:val="000000"/>
                <w:sz w:val="19"/>
                <w:szCs w:val="19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9"/>
                <w:szCs w:val="19"/>
                <w:lang w:val="en-US" w:eastAsia="zh-CN" w:bidi="ar"/>
              </w:rPr>
              <w:t>34.0%～37.0%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7C39A8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color w:val="000000"/>
                <w:sz w:val="19"/>
                <w:szCs w:val="19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9"/>
                <w:szCs w:val="19"/>
                <w:lang w:val="en-US" w:eastAsia="zh-CN" w:bidi="ar"/>
              </w:rPr>
              <w:t>HG/T 3820、ICP 原子发射光谱</w:t>
            </w:r>
          </w:p>
        </w:tc>
      </w:tr>
      <w:tr w14:paraId="6762095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968D7E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color w:val="000000"/>
                <w:sz w:val="19"/>
                <w:szCs w:val="19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9"/>
                <w:szCs w:val="19"/>
                <w:lang w:val="en-US" w:eastAsia="zh-CN" w:bidi="ar"/>
              </w:rPr>
              <w:t>氧化铝（Al₂O₃）质量分数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FFF9D8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color w:val="000000"/>
                <w:sz w:val="19"/>
                <w:szCs w:val="19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9"/>
                <w:szCs w:val="19"/>
                <w:lang w:val="en-US" w:eastAsia="zh-CN" w:bidi="ar"/>
              </w:rPr>
              <w:t>13.0%～16.0%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D4D290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color w:val="000000"/>
                <w:sz w:val="19"/>
                <w:szCs w:val="19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9"/>
                <w:szCs w:val="19"/>
                <w:lang w:val="en-US" w:eastAsia="zh-CN" w:bidi="ar"/>
              </w:rPr>
              <w:t>HG/T 3820、ICP 原子发射光谱</w:t>
            </w:r>
          </w:p>
        </w:tc>
      </w:tr>
      <w:tr w14:paraId="41AD12F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61370C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color w:val="000000"/>
                <w:sz w:val="19"/>
                <w:szCs w:val="19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9"/>
                <w:szCs w:val="19"/>
                <w:lang w:val="en-US" w:eastAsia="zh-CN" w:bidi="ar"/>
              </w:rPr>
              <w:t>层间硬脂酸根有机碳含量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F1CE00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color w:val="000000"/>
                <w:sz w:val="19"/>
                <w:szCs w:val="19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9"/>
                <w:szCs w:val="19"/>
                <w:lang w:val="en-US" w:eastAsia="zh-CN" w:bidi="ar"/>
              </w:rPr>
              <w:t>18.0%～23.0%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1CFC64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color w:val="000000"/>
                <w:sz w:val="19"/>
                <w:szCs w:val="19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9"/>
                <w:szCs w:val="19"/>
                <w:lang w:val="en-US" w:eastAsia="zh-CN" w:bidi="ar"/>
              </w:rPr>
              <w:t>元素分析仪 + TG 热重分析</w:t>
            </w:r>
          </w:p>
        </w:tc>
      </w:tr>
      <w:tr w14:paraId="7B382BD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8FABF5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color w:val="000000"/>
                <w:sz w:val="19"/>
                <w:szCs w:val="19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9"/>
                <w:szCs w:val="19"/>
                <w:lang w:val="en-US" w:eastAsia="zh-CN" w:bidi="ar"/>
              </w:rPr>
              <w:t>105℃ 2h 挥发水分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5BD2CE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color w:val="000000"/>
                <w:sz w:val="19"/>
                <w:szCs w:val="19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9"/>
                <w:szCs w:val="19"/>
                <w:lang w:val="en-US" w:eastAsia="zh-CN" w:bidi="ar"/>
              </w:rPr>
              <w:t>≤0.50%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BF2932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color w:val="000000"/>
                <w:sz w:val="19"/>
                <w:szCs w:val="19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9"/>
                <w:szCs w:val="19"/>
                <w:lang w:val="en-US" w:eastAsia="zh-CN" w:bidi="ar"/>
              </w:rPr>
              <w:t>电热恒温烘箱失重法</w:t>
            </w:r>
          </w:p>
        </w:tc>
      </w:tr>
      <w:tr w14:paraId="21B6281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3104DF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color w:val="000000"/>
                <w:sz w:val="19"/>
                <w:szCs w:val="19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9"/>
                <w:szCs w:val="19"/>
                <w:lang w:val="en-US" w:eastAsia="zh-CN" w:bidi="ar"/>
              </w:rPr>
              <w:t>500℃总灼烧失重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514DD8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color w:val="000000"/>
                <w:sz w:val="19"/>
                <w:szCs w:val="19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9"/>
                <w:szCs w:val="19"/>
                <w:lang w:val="en-US" w:eastAsia="zh-CN" w:bidi="ar"/>
              </w:rPr>
              <w:t>42%～48%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977DE9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color w:val="000000"/>
                <w:sz w:val="19"/>
                <w:szCs w:val="19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9"/>
                <w:szCs w:val="19"/>
                <w:lang w:val="en-US" w:eastAsia="zh-CN" w:bidi="ar"/>
              </w:rPr>
              <w:t>TG-DTA 同步热分析仪</w:t>
            </w:r>
          </w:p>
        </w:tc>
      </w:tr>
      <w:tr w14:paraId="05BF24B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CB6693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color w:val="000000"/>
                <w:sz w:val="19"/>
                <w:szCs w:val="19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9"/>
                <w:szCs w:val="19"/>
                <w:lang w:val="en-US" w:eastAsia="zh-CN" w:bidi="ar"/>
              </w:rPr>
              <w:t>325 目湿法筛余物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C99003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color w:val="000000"/>
                <w:sz w:val="19"/>
                <w:szCs w:val="19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9"/>
                <w:szCs w:val="19"/>
                <w:lang w:val="en-US" w:eastAsia="zh-CN" w:bidi="ar"/>
              </w:rPr>
              <w:t>≤0.01%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8FF5A8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color w:val="000000"/>
                <w:sz w:val="19"/>
                <w:szCs w:val="19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9"/>
                <w:szCs w:val="19"/>
                <w:lang w:val="en-US" w:eastAsia="zh-CN" w:bidi="ar"/>
              </w:rPr>
              <w:t>湿法筛分试验</w:t>
            </w:r>
          </w:p>
        </w:tc>
      </w:tr>
    </w:tbl>
    <w:p w14:paraId="3CFC615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color w:val="000000"/>
          <w:sz w:val="19"/>
          <w:szCs w:val="19"/>
        </w:rPr>
      </w:pPr>
    </w:p>
    <w:p w14:paraId="72BF012C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color w:val="000000"/>
          <w:sz w:val="19"/>
          <w:szCs w:val="19"/>
        </w:rPr>
      </w:pPr>
    </w:p>
    <w:p w14:paraId="46B5B36A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color w:val="000000"/>
          <w:sz w:val="19"/>
          <w:szCs w:val="19"/>
        </w:rPr>
      </w:pPr>
    </w:p>
    <w:p w14:paraId="74877905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color w:val="000000"/>
          <w:sz w:val="19"/>
          <w:szCs w:val="19"/>
        </w:rPr>
      </w:pPr>
    </w:p>
    <w:p w14:paraId="10315B97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color w:val="000000"/>
          <w:sz w:val="19"/>
          <w:szCs w:val="19"/>
        </w:rPr>
      </w:pPr>
    </w:p>
    <w:p w14:paraId="5E0B0E04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color w:val="000000"/>
          <w:sz w:val="19"/>
          <w:szCs w:val="19"/>
        </w:rPr>
      </w:pPr>
    </w:p>
    <w:p w14:paraId="39E2D8A3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color w:val="000000"/>
          <w:sz w:val="19"/>
          <w:szCs w:val="19"/>
        </w:rPr>
      </w:pPr>
    </w:p>
    <w:p w14:paraId="1342D60C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color w:val="000000"/>
          <w:sz w:val="19"/>
          <w:szCs w:val="19"/>
        </w:rPr>
      </w:pPr>
    </w:p>
    <w:p w14:paraId="69732719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color w:val="000000"/>
          <w:sz w:val="19"/>
          <w:szCs w:val="19"/>
        </w:rPr>
      </w:pPr>
    </w:p>
    <w:p w14:paraId="6CF2DA49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color w:val="000000"/>
          <w:sz w:val="19"/>
          <w:szCs w:val="19"/>
        </w:rPr>
      </w:pPr>
    </w:p>
    <w:p w14:paraId="2A9062B2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firstLine="381" w:firstLineChars="200"/>
        <w:jc w:val="left"/>
        <w:rPr>
          <w:color w:val="000000"/>
          <w:sz w:val="19"/>
          <w:szCs w:val="19"/>
        </w:rPr>
      </w:pPr>
      <w:r>
        <w:rPr>
          <w:rFonts w:hint="eastAsia"/>
          <w:color w:val="000000"/>
          <w:sz w:val="19"/>
          <w:szCs w:val="19"/>
          <w:lang w:val="en-US" w:eastAsia="zh-CN"/>
        </w:rPr>
        <w:t>四</w:t>
      </w:r>
      <w:r>
        <w:rPr>
          <w:color w:val="000000"/>
          <w:sz w:val="19"/>
          <w:szCs w:val="19"/>
        </w:rPr>
        <w:t>、包装、储存与运输要求</w:t>
      </w:r>
    </w:p>
    <w:p w14:paraId="2B4EDE0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color w:val="000000"/>
          <w:sz w:val="19"/>
          <w:szCs w:val="19"/>
        </w:rPr>
      </w:pPr>
      <w:r>
        <w:rPr>
          <w:rFonts w:ascii="宋体" w:hAnsi="宋体" w:eastAsia="宋体" w:cs="宋体"/>
          <w:color w:val="000000"/>
          <w:kern w:val="0"/>
          <w:sz w:val="19"/>
          <w:szCs w:val="19"/>
          <w:lang w:val="en-US" w:eastAsia="zh-CN" w:bidi="ar"/>
        </w:rPr>
        <w:t>1. 产品包装：25kg / 袋，内衬 PE 内膜，外层编织袋密封包装。2. 储存条件：存放于阴凉干燥仓库，环境温度≤30℃；严格防潮防雨，堆叠高度不超过 8 层，避免重压破袋吸潮。3. 产品保质期：密封干燥储存条件下有效期 12 个月；若物料受潮结块，使用前 105℃烘干 2 小时恢复性能。4. 运输说明：普通无机化工粉体，不属于危险化学品；运输过程避免暴晒、淋雨，轻装轻卸防止包装袋破损漏粉。</w:t>
      </w:r>
    </w:p>
    <w:p w14:paraId="744A19DD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firstLine="381" w:firstLineChars="200"/>
        <w:jc w:val="left"/>
        <w:rPr>
          <w:color w:val="000000"/>
          <w:sz w:val="19"/>
          <w:szCs w:val="19"/>
        </w:rPr>
      </w:pPr>
      <w:r>
        <w:rPr>
          <w:rFonts w:hint="eastAsia"/>
          <w:color w:val="000000"/>
          <w:sz w:val="19"/>
          <w:szCs w:val="19"/>
          <w:lang w:val="en-US" w:eastAsia="zh-CN"/>
        </w:rPr>
        <w:t>五</w:t>
      </w:r>
      <w:r>
        <w:rPr>
          <w:color w:val="000000"/>
          <w:sz w:val="19"/>
          <w:szCs w:val="19"/>
        </w:rPr>
        <w:t>、基础安全提示</w:t>
      </w:r>
    </w:p>
    <w:p w14:paraId="0B389F3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color w:val="000000"/>
          <w:sz w:val="19"/>
          <w:szCs w:val="19"/>
        </w:rPr>
      </w:pPr>
      <w:r>
        <w:rPr>
          <w:rFonts w:ascii="宋体" w:hAnsi="宋体" w:eastAsia="宋体" w:cs="宋体"/>
          <w:color w:val="000000"/>
          <w:kern w:val="0"/>
          <w:sz w:val="19"/>
          <w:szCs w:val="19"/>
          <w:lang w:val="en-US" w:eastAsia="zh-CN" w:bidi="ar"/>
        </w:rPr>
        <w:t>1. 本品为超细粉体，操作过程易产生扬尘，作业时佩戴防尘口罩。2. 禁止口服，避免粉体溅入眼部；若接触皮肤 / 眼睛，使用大量流动清水冲洗。3. 废弃粉体、包装袋按一般工业固体废弃物处理，不属于有毒危险固废。</w:t>
      </w:r>
    </w:p>
    <w:p w14:paraId="6A485C6E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firstLine="381" w:firstLineChars="200"/>
        <w:jc w:val="left"/>
        <w:rPr>
          <w:rFonts w:hint="default" w:eastAsia="宋体"/>
          <w:color w:val="000000"/>
          <w:sz w:val="19"/>
          <w:szCs w:val="19"/>
          <w:lang w:val="en-US" w:eastAsia="zh-CN"/>
        </w:rPr>
      </w:pPr>
      <w:r>
        <w:rPr>
          <w:rFonts w:hint="eastAsia"/>
          <w:color w:val="000000"/>
          <w:sz w:val="19"/>
          <w:szCs w:val="19"/>
          <w:lang w:val="en-US" w:eastAsia="zh-CN"/>
        </w:rPr>
        <w:t>六</w:t>
      </w:r>
      <w:r>
        <w:rPr>
          <w:color w:val="000000"/>
          <w:sz w:val="19"/>
          <w:szCs w:val="19"/>
        </w:rPr>
        <w:t>、</w:t>
      </w:r>
      <w:r>
        <w:rPr>
          <w:rFonts w:hint="eastAsia"/>
          <w:color w:val="000000"/>
          <w:sz w:val="19"/>
          <w:szCs w:val="19"/>
          <w:lang w:val="en-US" w:eastAsia="zh-CN"/>
        </w:rPr>
        <w:t>免责说明</w:t>
      </w:r>
    </w:p>
    <w:p w14:paraId="58FD141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color w:val="000000"/>
          <w:sz w:val="19"/>
          <w:szCs w:val="19"/>
        </w:rPr>
      </w:pPr>
      <w:r>
        <w:rPr>
          <w:rFonts w:hint="eastAsia" w:ascii="宋体" w:hAnsi="宋体" w:eastAsia="宋体" w:cs="宋体"/>
          <w:color w:val="000000"/>
          <w:kern w:val="0"/>
          <w:sz w:val="19"/>
          <w:szCs w:val="19"/>
          <w:lang w:val="en-US" w:eastAsia="zh-CN" w:bidi="ar"/>
        </w:rPr>
        <w:t>本说明书所有数据均为标准实验室测试值与通用生产指导，仅供客户配方、工艺调试参考。本公司不对未提前适配试验的非常规应用及成品质量承担相关责任。</w:t>
      </w:r>
    </w:p>
    <w:p w14:paraId="2CC911E4"/>
    <w:p w14:paraId="74153D52">
      <w:r>
        <w:rPr>
          <w:rFonts w:hint="eastAsia"/>
          <w:lang w:val="en-US" w:eastAsia="zh-CN"/>
        </w:rPr>
        <w:t>　　　　　　　　　　　</w:t>
      </w: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8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69F599E">
    <w:pPr>
      <w:pStyle w:val="4"/>
      <w:rPr>
        <w:rFonts w:hint="eastAsia" w:eastAsia="宋体"/>
        <w:lang w:eastAsia="zh-CN"/>
      </w:rPr>
    </w:pPr>
    <w:r>
      <w:rPr>
        <w:rFonts w:hint="eastAsia" w:eastAsia="宋体"/>
        <w:lang w:eastAsia="zh-CN"/>
      </w:rPr>
      <w:drawing>
        <wp:anchor distT="0" distB="0" distL="114300" distR="114300" simplePos="0" relativeHeight="251660288" behindDoc="1" locked="0" layoutInCell="1" allowOverlap="1">
          <wp:simplePos x="0" y="0"/>
          <wp:positionH relativeFrom="column">
            <wp:posOffset>-1123315</wp:posOffset>
          </wp:positionH>
          <wp:positionV relativeFrom="paragraph">
            <wp:posOffset>-375920</wp:posOffset>
          </wp:positionV>
          <wp:extent cx="8014970" cy="1185545"/>
          <wp:effectExtent l="0" t="0" r="1270" b="3175"/>
          <wp:wrapNone/>
          <wp:docPr id="2" name="图片 3" descr="d:/阿尔法新材/阿尔法横条2.png阿尔法横条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3" descr="d:/阿尔法新材/阿尔法横条2.png阿尔法横条2"/>
                  <pic:cNvPicPr>
                    <a:picLocks noChangeAspect="1"/>
                  </pic:cNvPicPr>
                </pic:nvPicPr>
                <pic:blipFill>
                  <a:blip r:embed="rId1"/>
                  <a:srcRect l="56" r="56"/>
                  <a:stretch>
                    <a:fillRect/>
                  </a:stretch>
                </pic:blipFill>
                <pic:spPr>
                  <a:xfrm>
                    <a:off x="0" y="0"/>
                    <a:ext cx="8014970" cy="118554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A83FD00">
    <w:pPr>
      <w:pStyle w:val="5"/>
      <w:pBdr>
        <w:bottom w:val="none" w:color="auto" w:sz="0" w:space="1"/>
      </w:pBdr>
      <w:jc w:val="left"/>
      <w:rPr>
        <w:rFonts w:hint="eastAsia"/>
        <w:lang w:val="en-US" w:eastAsia="zh-CN"/>
      </w:rPr>
    </w:pPr>
    <w:r>
      <w:rPr>
        <w:rFonts w:hint="default" w:eastAsia="宋体"/>
        <w:lang w:val="en-US" w:eastAsia="zh-CN"/>
      </w:rPr>
      <w:drawing>
        <wp:anchor distT="0" distB="0" distL="114300" distR="114300" simplePos="0" relativeHeight="251659264" behindDoc="1" locked="0" layoutInCell="1" allowOverlap="1">
          <wp:simplePos x="0" y="0"/>
          <wp:positionH relativeFrom="column">
            <wp:posOffset>814070</wp:posOffset>
          </wp:positionH>
          <wp:positionV relativeFrom="paragraph">
            <wp:posOffset>-5715</wp:posOffset>
          </wp:positionV>
          <wp:extent cx="597535" cy="504190"/>
          <wp:effectExtent l="0" t="0" r="0" b="13970"/>
          <wp:wrapNone/>
          <wp:docPr id="1" name="图片 1" descr="QQ截图2024040608253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图片 1" descr="QQ截图20240406082539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97535" cy="50419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lang w:val="en-US" w:eastAsia="zh-CN"/>
      </w:rPr>
      <w:t xml:space="preserve">           </w:t>
    </w:r>
  </w:p>
  <w:p w14:paraId="467F7A61">
    <w:pPr>
      <w:pStyle w:val="5"/>
      <w:pBdr>
        <w:bottom w:val="thinThickThinSmallGap" w:color="FF9900" w:sz="18" w:space="1"/>
      </w:pBdr>
      <w:jc w:val="left"/>
      <w:rPr>
        <w:rFonts w:hint="default"/>
        <w:b/>
        <w:bCs/>
        <w:sz w:val="36"/>
        <w:szCs w:val="36"/>
        <w:lang w:val="en-US" w:eastAsia="zh-CN"/>
      </w:rPr>
    </w:pPr>
    <w:r>
      <w:rPr>
        <w:rFonts w:hint="eastAsia"/>
        <w:b/>
        <w:bCs/>
        <w:sz w:val="36"/>
        <w:szCs w:val="36"/>
        <w:lang w:val="en-US" w:eastAsia="zh-CN"/>
      </w:rPr>
      <w:tab/>
      <w:t xml:space="preserve">            阿尔法（深圳）环保新材料有限公司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1"/>
  <w:bordersDoNotSurroundHeader w:val="1"/>
  <w:bordersDoNotSurroundFooter w:val="1"/>
  <w:attachedTemplate r:id="rId1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2"/>
    </o:shapelayout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OGQzNmQyZTI3ZmRmMWQ1YmRjMGEwNTAzYzk4ZTI0NjcifQ=="/>
  </w:docVars>
  <w:rsids>
    <w:rsidRoot w:val="360733FF"/>
    <w:rsid w:val="0A9E5E78"/>
    <w:rsid w:val="2A495DB3"/>
    <w:rsid w:val="360733FF"/>
    <w:rsid w:val="3A295D68"/>
    <w:rsid w:val="5FE66060"/>
    <w:rsid w:val="76F34D5F"/>
    <w:rsid w:val="7DB54FCA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color w:val="F79646" w:themeColor="accent6"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color w:val="4F81BD" w:themeColor="accent1"/>
      <w:kern w:val="0"/>
      <w:sz w:val="36"/>
      <w:szCs w:val="36"/>
      <w:lang w:val="en-US" w:eastAsia="zh-CN" w:bidi="ar"/>
    </w:rPr>
  </w:style>
  <w:style w:type="character" w:default="1" w:styleId="7">
    <w:name w:val="Default Paragraph Font"/>
    <w:semiHidden/>
    <w:qFormat/>
    <w:uiPriority w:val="0"/>
  </w:style>
  <w:style w:type="table" w:default="1" w:styleId="6">
    <w:name w:val="Normal Table"/>
    <w:semiHidden/>
    <w:uiPriority w:val="0"/>
    <w:tblPr>
      <w:tblStyle w:val="6"/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5">
    <w:name w:val="header"/>
    <w:basedOn w:val="1"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&#38463;&#23572;&#27861;&#26032;&#26448;\&#38463;&#23572;&#27861;&#25991;&#26723;&#27169;&#29256;.wpt" TargetMode="Externa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阿尔法文档模版.wpt</Template>
  <Pages>1</Pages>
  <Words>0</Words>
  <Characters>0</Characters>
  <Lines>0</Lines>
  <Paragraphs>0</Paragraphs>
  <TotalTime>11</TotalTime>
  <ScaleCrop>false</ScaleCrop>
  <LinksUpToDate>false</LinksUpToDate>
  <CharactersWithSpaces>12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2026-07-06T12:10:00Z</dcterms:created>
  <dc:creator>阿军古</dc:creator>
  <cp:lastModifiedBy>阿军古</cp:lastModifiedBy>
  <dcterms:modified xsi:type="dcterms:W3CDTF">2026-07-06T12:23:37Z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ICV">
    <vt:lpwstr>10C071557DF7455A8FB037ECE69AB6F5_11</vt:lpwstr>
  </property>
  <property fmtid="{D5CDD505-2E9C-101B-9397-08002B2CF9AE}" pid="4" name="KSOTemplateDocerSaveRecord">
    <vt:lpwstr>eyJoZGlkIjoiOGQzNmQyZTI3ZmRmMWQ1YmRjMGEwNTAzYzk4ZTI0NjciLCJ1c2VySWQiOiIyMjExNDI1MDYifQ==</vt:lpwstr>
  </property>
</Properties>
</file>