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79B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AOS-508 </w:t>
      </w:r>
      <w:r>
        <w:rPr>
          <w:rFonts w:hint="eastAsia"/>
          <w:color w:val="000000"/>
          <w:sz w:val="28"/>
          <w:szCs w:val="28"/>
          <w:bdr w:val="none" w:color="auto" w:sz="0" w:space="0"/>
          <w:lang w:val="en-US" w:eastAsia="zh-CN"/>
        </w:rPr>
        <w:t>压延</w:t>
      </w:r>
      <w:r>
        <w:rPr>
          <w:color w:val="000000"/>
          <w:sz w:val="28"/>
          <w:szCs w:val="28"/>
          <w:bdr w:val="none" w:color="auto" w:sz="0" w:space="0"/>
        </w:rPr>
        <w:t>有机环保稳定剂 技术数据表（TDS）</w:t>
      </w:r>
    </w:p>
    <w:p w14:paraId="3C961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一、产品概述</w:t>
      </w:r>
    </w:p>
    <w:p w14:paraId="1E364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AOS-508 为硬质 PVC 压延膜专用复合型环保热稳定剂，采用自主合成无金属纯有机化合物复配高锌稳定助剂制备而成。产品具备极低 VOC、低气味特性，不含游离苯酚，环保性能优异。</w:t>
      </w:r>
    </w:p>
    <w:p w14:paraId="6EADD2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二、适用范围</w:t>
      </w:r>
    </w:p>
    <w:p w14:paraId="24754D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4" w:firstLineChars="20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不透明硬质 PVC 压延膜、卡基片材、印刷膜；</w:t>
      </w:r>
    </w:p>
    <w:p w14:paraId="75BEC6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4" w:firstLineChars="20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PVC 地板印刷层稳定加工。</w:t>
      </w:r>
      <w:bookmarkStart w:id="0" w:name="_GoBack"/>
      <w:bookmarkEnd w:id="0"/>
    </w:p>
    <w:p w14:paraId="10D52C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三、理化技术指标</w:t>
      </w:r>
    </w:p>
    <w:p w14:paraId="63B128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外观：白色均匀粉末 / 颗粒</w:t>
      </w:r>
    </w:p>
    <w:p w14:paraId="01C00B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加热减量（105℃/2h）：≤1.0%</w:t>
      </w:r>
    </w:p>
    <w:p w14:paraId="025ED3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细度：99% 通过 120 目筛</w:t>
      </w:r>
    </w:p>
    <w:p w14:paraId="67BFAF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重金属（铅、镉、汞、六价铬）：均＜5ppm</w:t>
      </w:r>
    </w:p>
    <w:p w14:paraId="23E52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四、推荐添加量</w:t>
      </w:r>
    </w:p>
    <w:p w14:paraId="137E3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3～3.5 phr，可根据现场配方、工艺试验结果适当调整用量。</w:t>
      </w:r>
    </w:p>
    <w:p w14:paraId="286E84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五、包装规格</w:t>
      </w:r>
    </w:p>
    <w:p w14:paraId="72264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25kg / 编织袋，亦可提供吨袋包装。</w:t>
      </w:r>
    </w:p>
    <w:p w14:paraId="47E43F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六、储存条件</w:t>
      </w:r>
    </w:p>
    <w:p w14:paraId="67326B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储存环境温度控制在 15～30℃，本品吸湿性强，需严格防潮；</w:t>
      </w:r>
    </w:p>
    <w:p w14:paraId="59923E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远离高温热源；</w:t>
      </w:r>
    </w:p>
    <w:p w14:paraId="10D9A53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每次取用后及时密封包装，保持内部干燥；</w:t>
      </w:r>
    </w:p>
    <w:p w14:paraId="04CFB7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保质期：自交货日期起 24 个月。</w:t>
      </w:r>
    </w:p>
    <w:p w14:paraId="53F37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七、特别声明</w:t>
      </w:r>
    </w:p>
    <w:p w14:paraId="6CD3A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本技术数据表内容均来源于实验室测试数据，仅作生产参考，不构成产品质量承诺。客户需结合自身配方、设备、工艺提前试样验证适配性。</w:t>
      </w:r>
    </w:p>
    <w:p w14:paraId="2CC911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F2F88"/>
    <w:rsid w:val="060D078C"/>
    <w:rsid w:val="0F1B11D4"/>
    <w:rsid w:val="105926A7"/>
    <w:rsid w:val="21591512"/>
    <w:rsid w:val="216F2F88"/>
    <w:rsid w:val="2653082F"/>
    <w:rsid w:val="2FBA0ACE"/>
    <w:rsid w:val="388572C9"/>
    <w:rsid w:val="4DC10E47"/>
    <w:rsid w:val="573B7CDB"/>
    <w:rsid w:val="70353A97"/>
    <w:rsid w:val="7D78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/>
      <w:jc w:val="left"/>
      <w:outlineLvl w:val="0"/>
    </w:pPr>
    <w:rPr>
      <w:rFonts w:hint="eastAsia" w:ascii="宋体" w:hAnsi="宋体" w:eastAsia="宋体" w:cs="宋体"/>
      <w:b/>
      <w:bCs/>
      <w:color w:val="E54C5E" w:themeColor="accent6"/>
      <w:kern w:val="44"/>
      <w:sz w:val="24"/>
      <w:szCs w:val="48"/>
      <w:lang w:bidi="ar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50" w:beforeLines="50" w:beforeAutospacing="0" w:after="50" w:afterLines="50" w:afterAutospacing="0"/>
      <w:jc w:val="left"/>
      <w:outlineLvl w:val="1"/>
    </w:pPr>
    <w:rPr>
      <w:rFonts w:hint="eastAsia" w:ascii="宋体" w:hAnsi="宋体" w:eastAsia="宋体" w:cs="宋体"/>
      <w:b/>
      <w:bCs/>
      <w:color w:val="4874CB" w:themeColor="accent1"/>
      <w:kern w:val="0"/>
      <w:sz w:val="21"/>
      <w:szCs w:val="36"/>
      <w:lang w:bidi="ar"/>
      <w14:textFill>
        <w14:solidFill>
          <w14:schemeClr w14:val="accent1">
            <w14:alpha w14:val="0"/>
          </w14:schemeClr>
        </w14:solidFill>
      </w14:textFill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4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2026-07-15T06:23:00Z</dcterms:created>
  <dc:creator>阿军古</dc:creator>
  <cp:lastModifiedBy>阿军古</cp:lastModifiedBy>
  <dcterms:modified xsi:type="dcterms:W3CDTF">2026-07-15T06:25:51Z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7DC21DA8DF824CC28E70BDB31F1A0C65_11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