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4月湿巾舆情营销复盘文档</w:t>
      </w:r>
    </w:p>
    <w:p>
      <w:pPr>
        <w:pStyle w:val="2"/>
        <w:spacing w:before="320" w:after="120" w:line="288" w:lineRule="auto"/>
        <w:ind w:left="0"/>
        <w:jc w:val="left"/>
        <w:outlineLvl w:val="1"/>
      </w:pPr>
      <w:bookmarkStart w:name="heading_0" w:id="0"/>
      <w:r>
        <w:rPr>
          <w:rFonts w:eastAsia="等线" w:ascii="Arial" w:cs="Arial" w:hAnsi="Arial"/>
          <w:b w:val="true"/>
          <w:sz w:val="32"/>
        </w:rPr>
        <w:t>一、项目概括（截至5月15日）</w:t>
      </w:r>
      <w:bookmarkEnd w:id="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本次湿巾舆情营销项目，共合作20位达人</w:t>
            </w:r>
          </w:p>
          <w:p>
            <w:pPr>
              <w:spacing w:before="120" w:after="120" w:line="288" w:lineRule="auto"/>
              <w:ind w:left="0"/>
              <w:jc w:val="left"/>
            </w:pPr>
            <w:r>
              <w:rPr>
                <w:rFonts w:eastAsia="等线" w:ascii="Arial" w:cs="Arial" w:hAnsi="Arial"/>
                <w:b w:val="true"/>
                <w:sz w:val="22"/>
              </w:rPr>
              <w:t>下单消耗费用：49385.6</w:t>
            </w:r>
          </w:p>
          <w:p>
            <w:pPr>
              <w:spacing w:before="120" w:after="120" w:line="288" w:lineRule="auto"/>
              <w:ind w:left="0"/>
              <w:jc w:val="left"/>
            </w:pPr>
            <w:r>
              <w:rPr>
                <w:rFonts w:eastAsia="等线" w:ascii="Arial" w:cs="Arial" w:hAnsi="Arial"/>
                <w:b w:val="true"/>
                <w:sz w:val="22"/>
              </w:rPr>
              <w:t>截止5月15日，阅读量：117847，互动量：13700，CPC:0.42，CPE:3.60</w:t>
            </w:r>
          </w:p>
          <w:p>
            <w:pPr>
              <w:spacing w:before="120" w:after="120" w:line="288" w:lineRule="auto"/>
              <w:ind w:left="0"/>
              <w:jc w:val="left"/>
            </w:pPr>
            <w:r>
              <w:rPr>
                <w:rFonts w:eastAsia="等线" w:ascii="Arial" w:cs="Arial" w:hAnsi="Arial"/>
                <w:b w:val="true"/>
                <w:sz w:val="22"/>
              </w:rPr>
              <w:t>达人投放周期：4月18日-4月23日</w:t>
            </w:r>
          </w:p>
          <w:p>
            <w:pPr>
              <w:spacing w:before="120" w:after="120" w:line="288" w:lineRule="auto"/>
              <w:ind w:left="0"/>
              <w:jc w:val="left"/>
            </w:pPr>
            <w:r>
              <w:rPr>
                <w:rFonts w:eastAsia="等线" w:ascii="Arial" w:cs="Arial" w:hAnsi="Arial"/>
                <w:sz w:val="22"/>
              </w:rPr>
              <w:t>投放KPI概括：</w:t>
            </w:r>
          </w:p>
          <w:p>
            <w:pPr>
              <w:spacing w:before="120" w:after="120" w:line="288" w:lineRule="auto"/>
              <w:ind w:left="0"/>
              <w:jc w:val="left"/>
            </w:pPr>
            <w:r>
              <w:rPr>
                <w:rFonts w:eastAsia="等线" w:ascii="Arial" w:cs="Arial" w:hAnsi="Arial"/>
                <w:sz w:val="22"/>
              </w:rPr>
              <w:t>预算：5W；CPC: 0.6; CPE:10; KPI达成</w:t>
            </w:r>
          </w:p>
          <w:p>
            <w:pPr>
              <w:spacing w:before="120" w:after="120" w:line="288" w:lineRule="auto"/>
              <w:ind w:left="0"/>
              <w:jc w:val="left"/>
            </w:pPr>
            <w:r>
              <w:rPr>
                <w:rFonts w:eastAsia="等线" w:ascii="Arial" w:cs="Arial" w:hAnsi="Arial"/>
                <w:sz w:val="22"/>
              </w:rPr>
              <w:t>达人总计消耗：49385.6；曝光量：80.2w；CPC： 0.42；CPE :3.60;</w:t>
            </w:r>
          </w:p>
        </w:tc>
      </w:tr>
    </w:tbl>
    <w:p>
      <w:pPr>
        <w:pStyle w:val="2"/>
        <w:spacing w:before="320" w:after="120" w:line="288" w:lineRule="auto"/>
        <w:ind w:left="0"/>
        <w:jc w:val="left"/>
        <w:outlineLvl w:val="1"/>
      </w:pPr>
      <w:bookmarkStart w:name="heading_1" w:id="1"/>
      <w:r>
        <w:rPr>
          <w:rFonts w:eastAsia="等线" w:ascii="Arial" w:cs="Arial" w:hAnsi="Arial"/>
          <w:b w:val="true"/>
          <w:sz w:val="32"/>
        </w:rPr>
        <w:t>二、整体曝光及阅读量总览</w:t>
      </w:r>
      <w:bookmarkEnd w:id="1"/>
    </w:p>
    <w:p>
      <w:pPr>
        <w:spacing w:before="120" w:after="120" w:line="288" w:lineRule="auto"/>
        <w:ind w:left="0"/>
        <w:jc w:val="left"/>
      </w:pP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 w:id="2"/>
      <w:r>
        <w:rPr>
          <w:rFonts w:eastAsia="等线" w:ascii="Arial" w:cs="Arial" w:hAnsi="Arial"/>
          <w:b w:val="true"/>
          <w:sz w:val="32"/>
        </w:rPr>
        <w:t>三、KPI 目标 VS 实际达成</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1590"/>
        <w:gridCol w:w="3555"/>
        <w:gridCol w:w="1095"/>
      </w:tblGrid>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KPI</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4月目标</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4月实际</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达成率</w:t>
            </w:r>
          </w:p>
        </w:tc>
      </w:tr>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 发布篇数</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r>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消耗总额</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50000</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49385.6</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98.8%</w:t>
            </w:r>
          </w:p>
        </w:tc>
      </w:tr>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总曝光量</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802,167</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总阅读量</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117,847</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总互动量</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13,700</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CPC</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0.6</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r>
              <w:rPr>
                <w:rFonts w:eastAsia="等线" w:ascii="Arial" w:cs="Arial" w:hAnsi="Arial"/>
                <w:sz w:val="22"/>
              </w:rPr>
              <w:t>2</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r>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CPE</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r>
              <w:rPr>
                <w:rFonts w:eastAsia="等线" w:ascii="Arial" w:cs="Arial" w:hAnsi="Arial"/>
                <w:sz w:val="22"/>
              </w:rPr>
              <w:t>60</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1005</w:t>
            </w:r>
          </w:p>
        </w:tc>
      </w:tr>
    </w:tbl>
    <w:p>
      <w:pPr>
        <w:pStyle w:val="2"/>
        <w:spacing w:before="320" w:after="120" w:line="288" w:lineRule="auto"/>
        <w:ind w:left="0"/>
        <w:jc w:val="left"/>
        <w:outlineLvl w:val="1"/>
      </w:pPr>
      <w:bookmarkStart w:name="heading_3" w:id="3"/>
      <w:r>
        <w:rPr>
          <w:rFonts w:eastAsia="等线" w:ascii="Arial" w:cs="Arial" w:hAnsi="Arial"/>
          <w:b w:val="true"/>
          <w:sz w:val="32"/>
        </w:rPr>
        <w:t>四、投放期间整体品类情况及搜索声量</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 </w:t>
      </w:r>
      <w:r>
        <w:rPr>
          <w:rFonts w:eastAsia="等线" w:ascii="Arial" w:cs="Arial" w:hAnsi="Arial"/>
          <w:b w:val="true"/>
          <w:sz w:val="30"/>
        </w:rPr>
        <w:t>品类整体概况</w:t>
      </w:r>
      <w:bookmarkEnd w:id="4"/>
    </w:p>
    <w:p>
      <w:pPr>
        <w:spacing w:before="120" w:after="120" w:line="288" w:lineRule="auto"/>
        <w:ind w:left="0"/>
        <w:jc w:val="left"/>
      </w:pPr>
      <w:r>
        <w:rPr>
          <w:rFonts w:eastAsia="等线" w:ascii="Arial" w:cs="Arial" w:hAnsi="Arial"/>
          <w:sz w:val="22"/>
        </w:rPr>
        <w:t>根据新榜声量通数据显示</w:t>
      </w:r>
      <w:r>
        <w:rPr>
          <w:rFonts w:eastAsia="等线" w:ascii="Arial" w:cs="Arial" w:hAnsi="Arial"/>
          <w:sz w:val="22"/>
        </w:rPr>
        <w:t>，</w:t>
      </w:r>
      <w:r>
        <w:rPr>
          <w:rFonts w:eastAsia="等线" w:ascii="Arial" w:cs="Arial" w:hAnsi="Arial"/>
          <w:sz w:val="22"/>
        </w:rPr>
        <w:t>表明已发布内容的质量较高，互动内容主要围绕</w:t>
      </w:r>
      <w:r>
        <w:rPr>
          <w:rFonts w:eastAsia="等线" w:ascii="Arial" w:cs="Arial" w:hAnsi="Arial"/>
          <w:b w:val="true"/>
          <w:sz w:val="22"/>
        </w:rPr>
        <w:t>产品安全争议辟谣、待产包清单推荐</w:t>
      </w:r>
      <w:r>
        <w:rPr>
          <w:rFonts w:eastAsia="等线" w:ascii="Arial" w:cs="Arial" w:hAnsi="Arial"/>
          <w:sz w:val="22"/>
        </w:rPr>
        <w:t>等主题展开，其中关于“湿巾成分安全”的讨论引发了显著的舆情，也有账号指出相应报道具有不实信息或过度解读导致新手父母产生不必要的恐慌。</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2. </w:t>
      </w:r>
      <w:r>
        <w:rPr>
          <w:rFonts w:eastAsia="等线" w:ascii="Arial" w:cs="Arial" w:hAnsi="Arial"/>
          <w:b w:val="true"/>
          <w:sz w:val="30"/>
        </w:rPr>
        <w:t>搜索声量变化</w:t>
      </w:r>
      <w:bookmarkEnd w:id="5"/>
    </w:p>
    <w:p>
      <w:pPr>
        <w:spacing w:before="120" w:after="120" w:line="288" w:lineRule="auto"/>
        <w:ind w:left="0"/>
        <w:jc w:val="left"/>
      </w:pPr>
      <w:r>
        <w:rPr>
          <w:rFonts w:eastAsia="等线" w:ascii="Arial" w:cs="Arial" w:hAnsi="Arial"/>
          <w:sz w:val="22"/>
        </w:rPr>
        <w:t>红色柱状为湿巾品类整体互动声量，呈现典型的事件驱动脉冲特征：声量高度集中在4月20-21日，两天互动量占全周期总互动量的72%，辟谣相关笔记发布后引发搜索热点，一周内回到事件前的静默水平，属于单次短期舆情，对品类长期搜索声量无持续负面影响。</w:t>
      </w:r>
    </w:p>
    <w:p>
      <w:pPr>
        <w:spacing w:before="120" w:after="120" w:line="288" w:lineRule="auto"/>
        <w:ind w:left="0"/>
        <w:jc w:val="center"/>
      </w:pPr>
      <w:r>
        <w:drawing>
          <wp:inline distT="0" distR="0" distB="0" distL="0">
            <wp:extent cx="4181475" cy="2752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4181475" cy="27527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*本数据来源于新榜品牌声量分析工具-声量通</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 </w:t>
      </w:r>
      <w:r>
        <w:rPr>
          <w:rFonts w:eastAsia="等线" w:ascii="Arial" w:cs="Arial" w:hAnsi="Arial"/>
          <w:b w:val="true"/>
          <w:sz w:val="30"/>
        </w:rPr>
        <w:t>品类热点与消费者需求</w:t>
      </w:r>
      <w:bookmarkEnd w:id="6"/>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3.1 </w:t>
      </w:r>
      <w:r>
        <w:rPr>
          <w:rFonts w:eastAsia="等线" w:ascii="Arial" w:cs="Arial" w:hAnsi="Arial"/>
          <w:b w:val="true"/>
          <w:sz w:val="28"/>
        </w:rPr>
        <w:t>品类热点</w:t>
      </w:r>
      <w:bookmarkEnd w:id="7"/>
    </w:p>
    <w:p>
      <w:pPr>
        <w:numPr>
          <w:numId w:val="1"/>
        </w:numPr>
        <w:spacing w:before="120" w:after="120" w:line="288" w:lineRule="auto"/>
        <w:ind w:left="0"/>
        <w:jc w:val="left"/>
      </w:pPr>
      <w:r>
        <w:rPr>
          <w:rFonts w:eastAsia="等线" w:ascii="Arial" w:cs="Arial" w:hAnsi="Arial"/>
          <w:sz w:val="22"/>
        </w:rPr>
        <w:t>萌芽期（4月18日）：第一篇讨论「Babycare湿巾含锑」的内容发布，获得333互动，热点初步启动。</w:t>
      </w:r>
    </w:p>
    <w:p>
      <w:pPr>
        <w:numPr>
          <w:numId w:val="2"/>
        </w:numPr>
        <w:spacing w:before="120" w:after="120" w:line="288" w:lineRule="auto"/>
        <w:ind w:left="0"/>
        <w:jc w:val="left"/>
      </w:pPr>
      <w:r>
        <w:rPr>
          <w:rFonts w:eastAsia="等线" w:ascii="Arial" w:cs="Arial" w:hAnsi="Arial"/>
          <w:sz w:val="22"/>
        </w:rPr>
        <w:t>爆发期（4月20-21日）：辟谣科普内容集中发布，声量快速冲高，4月21日单篇科普内容达到全周期互动峰值864，两天贡献了全周期71%的总互动，热点达到顶峰。</w:t>
      </w:r>
    </w:p>
    <w:p>
      <w:pPr>
        <w:numPr>
          <w:numId w:val="3"/>
        </w:numPr>
        <w:spacing w:before="120" w:after="120" w:line="288" w:lineRule="auto"/>
        <w:ind w:left="0"/>
        <w:jc w:val="left"/>
      </w:pPr>
      <w:r>
        <w:rPr>
          <w:rFonts w:eastAsia="等线" w:ascii="Arial" w:cs="Arial" w:hAnsi="Arial"/>
          <w:sz w:val="22"/>
        </w:rPr>
        <w:t>回落期（4月23日后）：热点快速降温，仅4月29日一篇母婴清单内容带来313互动的小幅反弹，后续暂无新增规模化讨论。</w:t>
      </w: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408"/>
        <w:gridCol w:w="3871"/>
      </w:tblGrid>
      <w:tr>
        <w:tc>
          <w:tcPr>
            <w:tcW w:w="4408" w:type="dxa"/>
            <w:tcMar>
              <w:top w:type="dxa" w:w="60"/>
              <w:left w:type="dxa" w:w="120"/>
              <w:bottom w:type="dxa" w:w="30"/>
              <w:right w:type="dxa" w:w="120"/>
            </w:tcMar>
          </w:tcPr>
          <w:p>
            <w:pPr>
              <w:spacing w:before="120" w:after="120" w:line="288" w:lineRule="auto"/>
              <w:ind w:left="0"/>
              <w:jc w:val="center"/>
            </w:pPr>
            <w:r>
              <w:drawing>
                <wp:inline distT="0" distR="0" distB="0" distL="0">
                  <wp:extent cx="2638425" cy="19431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2638425" cy="1943100"/>
                          </a:xfrm>
                          <a:prstGeom prst="rect">
                            <a:avLst/>
                          </a:prstGeom>
                        </pic:spPr>
                      </pic:pic>
                    </a:graphicData>
                  </a:graphic>
                </wp:inline>
              </w:drawing>
            </w:r>
          </w:p>
        </w:tc>
        <w:tc>
          <w:tcPr>
            <w:tcW w:w="3871" w:type="dxa"/>
            <w:tcMar>
              <w:top w:type="dxa" w:w="60"/>
              <w:left w:type="dxa" w:w="120"/>
              <w:bottom w:type="dxa" w:w="30"/>
              <w:right w:type="dxa" w:w="120"/>
            </w:tcMar>
          </w:tcPr>
          <w:p>
            <w:pPr>
              <w:spacing w:before="120" w:after="120" w:line="288" w:lineRule="auto"/>
              <w:ind w:left="0"/>
              <w:jc w:val="center"/>
            </w:pPr>
            <w:r>
              <w:drawing>
                <wp:inline distT="0" distR="0" distB="0" distL="0">
                  <wp:extent cx="2305050" cy="19240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2305050" cy="1924050"/>
                          </a:xfrm>
                          <a:prstGeom prst="rect">
                            <a:avLst/>
                          </a:prstGeom>
                        </pic:spPr>
                      </pic:pic>
                    </a:graphicData>
                  </a:graphic>
                </wp:inline>
              </w:drawing>
            </w:r>
          </w:p>
        </w:tc>
      </w:tr>
    </w:tbl>
    <w:p>
      <w:pPr>
        <w:spacing w:before="120" w:after="120" w:line="288" w:lineRule="auto"/>
        <w:ind w:left="0"/>
        <w:jc w:val="center"/>
      </w:pPr>
      <w:r>
        <w:rPr>
          <w:rFonts w:eastAsia="等线" w:ascii="Arial" w:cs="Arial" w:hAnsi="Arial"/>
          <w:color w:val="8f959e"/>
          <w:sz w:val="22"/>
        </w:rPr>
        <w:t>*本数据来源于新榜品牌声量分析工具-声量通</w:t>
      </w:r>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3.2 </w:t>
      </w:r>
      <w:r>
        <w:rPr>
          <w:rFonts w:eastAsia="等线" w:ascii="Arial" w:cs="Arial" w:hAnsi="Arial"/>
          <w:b w:val="true"/>
          <w:sz w:val="28"/>
        </w:rPr>
        <w:t>各类热点特征分述</w:t>
      </w:r>
      <w:bookmarkEnd w:id="8"/>
    </w:p>
    <w:p>
      <w:pPr>
        <w:pStyle w:val="5"/>
        <w:spacing w:before="240" w:after="120" w:line="288" w:lineRule="auto"/>
        <w:ind w:left="0"/>
        <w:jc w:val="left"/>
        <w:outlineLvl w:val="4"/>
      </w:pPr>
      <w:bookmarkStart w:name="heading_9" w:id="9"/>
      <w:r>
        <w:rPr>
          <w:rFonts w:eastAsia="等线" w:ascii="Arial" w:cs="Arial" w:hAnsi="Arial"/>
          <w:b w:val="true"/>
          <w:sz w:val="24"/>
        </w:rPr>
        <w:t>（1）核心事件热点：</w:t>
      </w:r>
      <w:r>
        <w:rPr>
          <w:rFonts w:eastAsia="等线" w:ascii="Arial" w:cs="Arial" w:hAnsi="Arial"/>
          <w:b w:val="true"/>
          <w:sz w:val="24"/>
        </w:rPr>
        <w:t>婴童</w:t>
      </w:r>
      <w:r>
        <w:rPr>
          <w:rFonts w:eastAsia="等线" w:ascii="Arial" w:cs="Arial" w:hAnsi="Arial"/>
          <w:b w:val="true"/>
          <w:sz w:val="24"/>
        </w:rPr>
        <w:t>湿巾含锑争议与辟谣</w:t>
      </w:r>
      <w:bookmarkEnd w:id="9"/>
    </w:p>
    <w:p>
      <w:pPr>
        <w:numPr>
          <w:numId w:val="4"/>
        </w:numPr>
        <w:spacing w:before="120" w:after="120" w:line="288" w:lineRule="auto"/>
        <w:ind w:left="0"/>
        <w:jc w:val="left"/>
      </w:pPr>
      <w:r>
        <w:rPr>
          <w:rFonts w:eastAsia="等线" w:ascii="Arial" w:cs="Arial" w:hAnsi="Arial"/>
          <w:sz w:val="22"/>
        </w:rPr>
        <w:t>核心特征：  主题集中度极高：语义核心热词为</w:t>
      </w:r>
      <w:r>
        <w:rPr>
          <w:rFonts w:eastAsia="等线" w:ascii="Arial" w:cs="Arial" w:hAnsi="Arial"/>
          <w:b w:val="true"/>
          <w:sz w:val="22"/>
        </w:rPr>
        <w:t>Babycare、辟谣、含锑、重金属、检出</w:t>
      </w:r>
      <w:r>
        <w:rPr>
          <w:rFonts w:eastAsia="等线" w:ascii="Arial" w:cs="Arial" w:hAnsi="Arial"/>
          <w:sz w:val="22"/>
        </w:rPr>
        <w:t xml:space="preserve">，所有讨论围绕Babycare湿巾的安全性争议展开，无多余发散； </w:t>
      </w:r>
    </w:p>
    <w:p>
      <w:pPr>
        <w:pStyle w:val="5"/>
        <w:spacing w:before="240" w:after="120" w:line="288" w:lineRule="auto"/>
        <w:ind w:left="0"/>
        <w:jc w:val="left"/>
        <w:outlineLvl w:val="4"/>
      </w:pPr>
      <w:bookmarkStart w:name="heading_10" w:id="10"/>
      <w:r>
        <w:rPr>
          <w:rFonts w:eastAsia="等线" w:ascii="Arial" w:cs="Arial" w:hAnsi="Arial"/>
          <w:b w:val="true"/>
          <w:sz w:val="24"/>
        </w:rPr>
        <w:t>（2）衍生科普热点：湿巾国标安全科普</w:t>
      </w:r>
      <w:bookmarkEnd w:id="10"/>
    </w:p>
    <w:p>
      <w:pPr>
        <w:spacing w:before="120" w:after="120" w:line="288" w:lineRule="auto"/>
        <w:ind w:left="0"/>
        <w:jc w:val="left"/>
      </w:pPr>
      <w:r>
        <w:rPr>
          <w:rFonts w:eastAsia="等线" w:ascii="Arial" w:cs="Arial" w:hAnsi="Arial"/>
          <w:sz w:val="22"/>
        </w:rPr>
        <w:t>这是本次争议事件衍生出来的用户需求型热点，核心热词为</w:t>
      </w:r>
      <w:r>
        <w:rPr>
          <w:rFonts w:eastAsia="等线" w:ascii="Arial" w:cs="Arial" w:hAnsi="Arial"/>
          <w:b w:val="true"/>
          <w:sz w:val="22"/>
        </w:rPr>
        <w:t>国标、GB、检测、报告、必检</w:t>
      </w:r>
      <w:r>
        <w:rPr>
          <w:rFonts w:eastAsia="等线" w:ascii="Arial" w:cs="Arial" w:hAnsi="Arial"/>
          <w:sz w:val="22"/>
        </w:rPr>
        <w:t>，总互动占比约</w:t>
      </w:r>
      <w:r>
        <w:rPr>
          <w:rFonts w:eastAsia="等线" w:ascii="Arial" w:cs="Arial" w:hAnsi="Arial"/>
          <w:b w:val="true"/>
          <w:sz w:val="22"/>
        </w:rPr>
        <w:t>11%</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sz w:val="22"/>
        </w:rPr>
        <w:t>热点特征：本次安全争议触发了用户对湿巾品类合规标准的关注，用户核心需求是明确「符合国标的湿巾是否允许含锑」「锑对宝宝健康的影响」，科普类内容因解决了用户的信息焦虑获得了高互动，充分反映出母婴用户对婴童产品安全的极高敏感度。</w:t>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3.3 </w:t>
      </w:r>
      <w:r>
        <w:rPr>
          <w:rFonts w:eastAsia="等线" w:ascii="Arial" w:cs="Arial" w:hAnsi="Arial"/>
          <w:b w:val="true"/>
          <w:sz w:val="28"/>
        </w:rPr>
        <w:t>消费者需求</w:t>
      </w:r>
      <w:bookmarkEnd w:id="11"/>
    </w:p>
    <w:p>
      <w:pPr>
        <w:spacing w:before="120" w:after="120" w:line="288" w:lineRule="auto"/>
        <w:ind w:left="0"/>
        <w:jc w:val="left"/>
      </w:pPr>
      <w:r>
        <w:rPr>
          <w:rFonts w:eastAsia="等线" w:ascii="Arial" w:cs="Arial" w:hAnsi="Arial"/>
          <w:sz w:val="22"/>
        </w:rPr>
        <w:t>4月母婴湿巾赛道整体呈现出"舆情震荡与促销驱动并存"的市场特征。受锑超标传言冲击，产品安全成为压倒一切的刚需，妈妈们高度关注成分合规性、国标资质和新生儿适用性，温和无刺激是基础门槛，品牌官方的权威声明和检测背书最能快速打消顾虑。在产品体验上，需求也在持续升级：加大加厚、水分充足、不掉毛不黏腻是基本期待，家用大包装和外出便携小包的场景细分越来越明显，甚至有人开始关注湿巾加热器这类衍生痛点。</w:t>
      </w: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1314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1600200" cy="13144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14382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1600200" cy="14382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1219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1600200" cy="1219200"/>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center"/>
      </w:pPr>
      <w:r>
        <w:rPr>
          <w:rFonts w:eastAsia="等线" w:ascii="Arial" w:cs="Arial" w:hAnsi="Arial"/>
          <w:color w:val="8f959e"/>
          <w:sz w:val="22"/>
        </w:rPr>
        <w:t>*本数据来源于新榜品牌声量分析工具-声量通</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4. </w:t>
      </w:r>
      <w:r>
        <w:rPr>
          <w:rFonts w:eastAsia="等线" w:ascii="Arial" w:cs="Arial" w:hAnsi="Arial"/>
          <w:b w:val="true"/>
          <w:sz w:val="30"/>
        </w:rPr>
        <w:t>本月投放对品类声量的贡献</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声量贡献总结：</w:t>
      </w:r>
      <w:bookmarkEnd w:id="13"/>
    </w:p>
    <w:p>
      <w:pPr>
        <w:spacing w:before="120" w:after="120" w:line="288" w:lineRule="auto"/>
        <w:ind w:left="0"/>
        <w:jc w:val="left"/>
      </w:pPr>
      <w:r>
        <w:rPr>
          <w:rFonts w:eastAsia="等线" w:ascii="Arial" w:cs="Arial" w:hAnsi="Arial"/>
          <w:sz w:val="22"/>
        </w:rPr>
        <w:t>总体声量指数为581.73分，互动效能相对较高，说明单篇内容的平均质量尚可，能够有效吸引用户互动。监测周期内，围绕“湿巾含重金属锑”的谣言与品牌辟谣是核心舆情事件，驱动了大量讨论，形成了以“辟谣”和“产品安利”为主的两大内容方向。</w:t>
      </w:r>
    </w:p>
    <w:p>
      <w:pPr>
        <w:spacing w:before="120" w:after="120" w:line="288" w:lineRule="auto"/>
        <w:ind w:left="0"/>
        <w:jc w:val="center"/>
      </w:pPr>
      <w:r>
        <w:drawing>
          <wp:inline distT="0" distR="0" distB="0" distL="0">
            <wp:extent cx="5257800" cy="27527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27527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*本数据来源于新榜品牌声量分析工具-声量通</w:t>
      </w:r>
    </w:p>
    <w:p>
      <w:pPr>
        <w:numPr>
          <w:numId w:val="6"/>
        </w:numPr>
        <w:spacing w:before="120" w:after="120" w:line="288" w:lineRule="auto"/>
        <w:ind w:left="0"/>
        <w:jc w:val="left"/>
      </w:pPr>
      <w:r>
        <w:rPr>
          <w:rFonts w:eastAsia="等线" w:ascii="Arial" w:cs="Arial" w:hAnsi="Arial"/>
          <w:sz w:val="22"/>
        </w:rPr>
        <w:t>小红书平台的内容一方面承接并消化了"锑"相关的安全性讨论热度，另一方面大量内容聚焦于舆情辟谣和国标科普的同时，会进行真实使用体验的分享以及软种草。这种内容结构的调整，使得正向声量并非停留在空洞的品牌自夸，而是落到了具体的热点问题上，提升了用户在危机后对Babycare湿巾产品力的信任度。</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pStyle w:val="3"/>
              <w:spacing w:before="300" w:after="120" w:line="288" w:lineRule="auto"/>
              <w:ind w:left="0"/>
              <w:jc w:val="center"/>
              <w:outlineLvl w:val="2"/>
            </w:pPr>
            <w:bookmarkStart w:name="heading_14" w:id="14"/>
            <w:r>
              <w:rPr>
                <w:rFonts w:eastAsia="等线" w:ascii="Arial" w:cs="Arial" w:hAnsi="Arial"/>
                <w:b w:val="true"/>
                <w:sz w:val="30"/>
              </w:rPr>
              <w:t>部分正面评论</w:t>
            </w:r>
            <w:bookmarkEnd w:id="14"/>
          </w:p>
          <w:p>
            <w:pPr>
              <w:spacing w:before="120" w:after="120" w:line="288" w:lineRule="auto"/>
              <w:ind w:left="0"/>
              <w:jc w:val="left"/>
            </w:pPr>
            <w:r>
              <w:rPr>
                <w:rFonts w:eastAsia="等线" w:ascii="Arial" w:cs="Arial" w:hAnsi="Arial"/>
                <w:sz w:val="22"/>
              </w:rPr>
              <w:t>正面评论集中于：用户认可内容对国标、婴童标准的科普价值，有效缓解育儿选购焦虑；同时多位用户肯定 BBC 作为大品牌品质靠谱、使用体验良好，品牌口碑认可度高，整体用户正向反馈积极。</w:t>
            </w:r>
          </w:p>
          <w:p>
            <w:pPr>
              <w:spacing w:before="120" w:after="120" w:line="288" w:lineRule="auto"/>
              <w:ind w:left="0"/>
              <w:jc w:val="center"/>
            </w:pPr>
            <w:r>
              <w:drawing>
                <wp:inline distT="0" distR="0" distB="0" distL="0">
                  <wp:extent cx="1600200" cy="5334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1600200" cy="533400"/>
                          </a:xfrm>
                          <a:prstGeom prst="rect">
                            <a:avLst/>
                          </a:prstGeom>
                        </pic:spPr>
                      </pic:pic>
                    </a:graphicData>
                  </a:graphic>
                </wp:inline>
              </w:drawing>
            </w:r>
          </w:p>
          <w:p>
            <w:pPr>
              <w:spacing w:before="120" w:after="120" w:line="288" w:lineRule="auto"/>
              <w:ind w:left="0"/>
              <w:jc w:val="center"/>
            </w:pPr>
            <w:r>
              <w:drawing>
                <wp:inline distT="0" distR="0" distB="0" distL="0">
                  <wp:extent cx="1600200" cy="6953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1600200" cy="695325"/>
                          </a:xfrm>
                          <a:prstGeom prst="rect">
                            <a:avLst/>
                          </a:prstGeom>
                        </pic:spPr>
                      </pic:pic>
                    </a:graphicData>
                  </a:graphic>
                </wp:inline>
              </w:drawing>
            </w:r>
          </w:p>
          <w:p>
            <w:pPr>
              <w:spacing w:before="120" w:after="120" w:line="288" w:lineRule="auto"/>
              <w:ind w:left="0"/>
              <w:jc w:val="center"/>
            </w:pPr>
            <w:r>
              <w:drawing>
                <wp:inline distT="0" distR="0" distB="0" distL="0">
                  <wp:extent cx="1600200" cy="15621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1600200" cy="1562100"/>
                          </a:xfrm>
                          <a:prstGeom prst="rect">
                            <a:avLst/>
                          </a:prstGeom>
                        </pic:spPr>
                      </pic:pic>
                    </a:graphicData>
                  </a:graphic>
                </wp:inline>
              </w:drawing>
            </w:r>
          </w:p>
          <w:p>
            <w:pPr>
              <w:spacing w:before="120" w:after="120" w:line="288" w:lineRule="auto"/>
              <w:ind w:left="0"/>
              <w:jc w:val="left"/>
            </w:pPr>
          </w:p>
        </w:tc>
        <w:tc>
          <w:tcPr>
            <w:tcW w:w="2760" w:type="dxa"/>
            <w:tcMar>
              <w:top w:type="dxa" w:w="60"/>
              <w:left w:type="dxa" w:w="120"/>
              <w:bottom w:type="dxa" w:w="30"/>
              <w:right w:type="dxa" w:w="120"/>
            </w:tcMar>
          </w:tcPr>
          <w:p>
            <w:pPr>
              <w:pStyle w:val="3"/>
              <w:spacing w:before="300" w:after="120" w:line="288" w:lineRule="auto"/>
              <w:ind w:left="0"/>
              <w:jc w:val="center"/>
              <w:outlineLvl w:val="2"/>
            </w:pPr>
            <w:bookmarkStart w:name="heading_15" w:id="15"/>
            <w:r>
              <w:rPr>
                <w:rFonts w:eastAsia="等线" w:ascii="Arial" w:cs="Arial" w:hAnsi="Arial"/>
                <w:b w:val="true"/>
                <w:sz w:val="30"/>
              </w:rPr>
              <w:t>部分中性评论</w:t>
            </w:r>
            <w:bookmarkEnd w:id="15"/>
          </w:p>
          <w:p>
            <w:pPr>
              <w:spacing w:before="120" w:after="120" w:line="288" w:lineRule="auto"/>
              <w:ind w:left="0"/>
              <w:jc w:val="left"/>
            </w:pPr>
            <w:r>
              <w:rPr>
                <w:rFonts w:eastAsia="等线" w:ascii="Arial" w:cs="Arial" w:hAnsi="Arial"/>
                <w:sz w:val="22"/>
              </w:rPr>
              <w:t>中性评论集中于：家长群体普遍反馈婴童湿巾品类繁杂、挑选难度较大，日常使用频次高，同时意识到选购湿巾需具备自我判断能力，感慨湿巾选购存在较多细节学问，侧面反映出母婴人群对专业选购科普的需求。</w:t>
            </w:r>
          </w:p>
          <w:p>
            <w:pPr>
              <w:spacing w:before="120" w:after="120" w:line="288" w:lineRule="auto"/>
              <w:ind w:left="0"/>
              <w:jc w:val="center"/>
            </w:pPr>
            <w:r>
              <w:drawing>
                <wp:inline distT="0" distR="0" distB="0" distL="0">
                  <wp:extent cx="1600200" cy="8953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1600200" cy="895350"/>
                          </a:xfrm>
                          <a:prstGeom prst="rect">
                            <a:avLst/>
                          </a:prstGeom>
                        </pic:spPr>
                      </pic:pic>
                    </a:graphicData>
                  </a:graphic>
                </wp:inline>
              </w:drawing>
            </w:r>
          </w:p>
          <w:p>
            <w:pPr>
              <w:spacing w:before="120" w:after="120" w:line="288" w:lineRule="auto"/>
              <w:ind w:left="0"/>
              <w:jc w:val="center"/>
            </w:pPr>
            <w:r>
              <w:drawing>
                <wp:inline distT="0" distR="0" distB="0" distL="0">
                  <wp:extent cx="1600200" cy="5810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1600200" cy="581025"/>
                          </a:xfrm>
                          <a:prstGeom prst="rect">
                            <a:avLst/>
                          </a:prstGeom>
                        </pic:spPr>
                      </pic:pic>
                    </a:graphicData>
                  </a:graphic>
                </wp:inline>
              </w:drawing>
            </w:r>
          </w:p>
          <w:p>
            <w:pPr>
              <w:spacing w:before="120" w:after="120" w:line="288" w:lineRule="auto"/>
              <w:ind w:left="0"/>
              <w:jc w:val="center"/>
            </w:pPr>
            <w:r>
              <w:drawing>
                <wp:inline distT="0" distR="0" distB="0" distL="0">
                  <wp:extent cx="1600200" cy="5715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9"/>
                          <a:stretch>
                            <a:fillRect/>
                          </a:stretch>
                        </pic:blipFill>
                        <pic:spPr>
                          <a:xfrm>
                            <a:off x="0" y="0"/>
                            <a:ext cx="1600200" cy="571500"/>
                          </a:xfrm>
                          <a:prstGeom prst="rect">
                            <a:avLst/>
                          </a:prstGeom>
                        </pic:spPr>
                      </pic:pic>
                    </a:graphicData>
                  </a:graphic>
                </wp:inline>
              </w:drawing>
            </w:r>
          </w:p>
          <w:p>
            <w:pPr>
              <w:spacing w:before="120" w:after="120" w:line="288" w:lineRule="auto"/>
              <w:ind w:left="0"/>
              <w:jc w:val="center"/>
            </w:pPr>
            <w:r>
              <w:drawing>
                <wp:inline distT="0" distR="0" distB="0" distL="0">
                  <wp:extent cx="1600200" cy="6286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0"/>
                          <a:stretch>
                            <a:fillRect/>
                          </a:stretch>
                        </pic:blipFill>
                        <pic:spPr>
                          <a:xfrm>
                            <a:off x="0" y="0"/>
                            <a:ext cx="1600200" cy="628650"/>
                          </a:xfrm>
                          <a:prstGeom prst="rect">
                            <a:avLst/>
                          </a:prstGeom>
                        </pic:spPr>
                      </pic:pic>
                    </a:graphicData>
                  </a:graphic>
                </wp:inline>
              </w:drawing>
            </w:r>
          </w:p>
          <w:p>
            <w:pPr>
              <w:spacing w:before="120" w:after="120" w:line="288" w:lineRule="auto"/>
              <w:ind w:left="0"/>
              <w:jc w:val="left"/>
            </w:pPr>
          </w:p>
        </w:tc>
        <w:tc>
          <w:tcPr>
            <w:tcW w:w="2760" w:type="dxa"/>
            <w:tcMar>
              <w:top w:type="dxa" w:w="60"/>
              <w:left w:type="dxa" w:w="120"/>
              <w:bottom w:type="dxa" w:w="30"/>
              <w:right w:type="dxa" w:w="120"/>
            </w:tcMar>
          </w:tcPr>
          <w:p>
            <w:pPr>
              <w:pStyle w:val="3"/>
              <w:spacing w:before="300" w:after="120" w:line="288" w:lineRule="auto"/>
              <w:ind w:left="0"/>
              <w:jc w:val="center"/>
              <w:outlineLvl w:val="2"/>
            </w:pPr>
            <w:bookmarkStart w:name="heading_16" w:id="16"/>
            <w:r>
              <w:rPr>
                <w:rFonts w:eastAsia="等线" w:ascii="Arial" w:cs="Arial" w:hAnsi="Arial"/>
                <w:b w:val="true"/>
                <w:sz w:val="30"/>
              </w:rPr>
              <w:t>部分负面评论</w:t>
            </w:r>
            <w:bookmarkEnd w:id="16"/>
          </w:p>
          <w:p>
            <w:pPr>
              <w:spacing w:before="120" w:after="120" w:line="288" w:lineRule="auto"/>
              <w:ind w:left="0"/>
              <w:jc w:val="left"/>
            </w:pPr>
            <w:r>
              <w:rPr>
                <w:rFonts w:eastAsia="等线" w:ascii="Arial" w:cs="Arial" w:hAnsi="Arial"/>
                <w:sz w:val="22"/>
              </w:rPr>
              <w:t>负面评论主要为：部分用户认为母婴行业部分品牌刻意制造成分焦虑，质疑相关媒体、消促会发布内容有失偏颇，存在谣言误导问题，对行业信息发布的客观性与公信力提出质疑。</w:t>
            </w:r>
          </w:p>
          <w:p>
            <w:pPr>
              <w:spacing w:before="120" w:after="120" w:line="288" w:lineRule="auto"/>
              <w:ind w:left="0"/>
              <w:jc w:val="center"/>
            </w:pPr>
            <w:r>
              <w:drawing>
                <wp:inline distT="0" distR="0" distB="0" distL="0">
                  <wp:extent cx="1600200" cy="8858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1"/>
                          <a:stretch>
                            <a:fillRect/>
                          </a:stretch>
                        </pic:blipFill>
                        <pic:spPr>
                          <a:xfrm>
                            <a:off x="0" y="0"/>
                            <a:ext cx="1600200" cy="885825"/>
                          </a:xfrm>
                          <a:prstGeom prst="rect">
                            <a:avLst/>
                          </a:prstGeom>
                        </pic:spPr>
                      </pic:pic>
                    </a:graphicData>
                  </a:graphic>
                </wp:inline>
              </w:drawing>
            </w:r>
          </w:p>
          <w:p>
            <w:pPr>
              <w:spacing w:before="120" w:after="120" w:line="288" w:lineRule="auto"/>
              <w:ind w:left="0"/>
              <w:jc w:val="center"/>
            </w:pPr>
            <w:r>
              <w:drawing>
                <wp:inline distT="0" distR="0" distB="0" distL="0">
                  <wp:extent cx="1600200" cy="4953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2"/>
                          <a:stretch>
                            <a:fillRect/>
                          </a:stretch>
                        </pic:blipFill>
                        <pic:spPr>
                          <a:xfrm>
                            <a:off x="0" y="0"/>
                            <a:ext cx="1600200" cy="495300"/>
                          </a:xfrm>
                          <a:prstGeom prst="rect">
                            <a:avLst/>
                          </a:prstGeom>
                        </pic:spPr>
                      </pic:pic>
                    </a:graphicData>
                  </a:graphic>
                </wp:inline>
              </w:drawing>
            </w:r>
          </w:p>
          <w:p>
            <w:pPr>
              <w:spacing w:before="120" w:after="120" w:line="288" w:lineRule="auto"/>
              <w:ind w:left="0"/>
              <w:jc w:val="center"/>
            </w:pPr>
            <w:r>
              <w:drawing>
                <wp:inline distT="0" distR="0" distB="0" distL="0">
                  <wp:extent cx="1600200" cy="4762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3"/>
                          <a:stretch>
                            <a:fillRect/>
                          </a:stretch>
                        </pic:blipFill>
                        <pic:spPr>
                          <a:xfrm>
                            <a:off x="0" y="0"/>
                            <a:ext cx="1600200" cy="476250"/>
                          </a:xfrm>
                          <a:prstGeom prst="rect">
                            <a:avLst/>
                          </a:prstGeom>
                        </pic:spPr>
                      </pic:pic>
                    </a:graphicData>
                  </a:graphic>
                </wp:inline>
              </w:drawing>
            </w:r>
          </w:p>
          <w:p>
            <w:pPr>
              <w:spacing w:before="120" w:after="120" w:line="288" w:lineRule="auto"/>
              <w:ind w:left="0"/>
              <w:jc w:val="center"/>
            </w:pPr>
            <w:r>
              <w:drawing>
                <wp:inline distT="0" distR="0" distB="0" distL="0">
                  <wp:extent cx="1600200" cy="5048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4"/>
                          <a:stretch>
                            <a:fillRect/>
                          </a:stretch>
                        </pic:blipFill>
                        <pic:spPr>
                          <a:xfrm>
                            <a:off x="0" y="0"/>
                            <a:ext cx="1600200" cy="504825"/>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17" w:id="17"/>
      <w:r>
        <w:rPr>
          <w:rFonts w:eastAsia="等线" w:ascii="Arial" w:cs="Arial" w:hAnsi="Arial"/>
          <w:color w:val="3370ff"/>
          <w:sz w:val="30"/>
        </w:rPr>
        <w:t xml:space="preserve">5. </w:t>
      </w:r>
      <w:r>
        <w:rPr>
          <w:rFonts w:eastAsia="等线" w:ascii="Arial" w:cs="Arial" w:hAnsi="Arial"/>
          <w:b w:val="true"/>
          <w:sz w:val="30"/>
        </w:rPr>
        <w:t>本批达人笔记投放后，BBC品牌在湿巾品类中负面讨论的趋势</w:t>
      </w:r>
      <w:bookmarkEnd w:id="17"/>
    </w:p>
    <w:p>
      <w:pPr>
        <w:spacing w:before="120" w:after="120" w:line="288" w:lineRule="auto"/>
        <w:ind w:left="0"/>
        <w:jc w:val="left"/>
      </w:pPr>
      <w:r>
        <w:rPr>
          <w:rFonts w:eastAsia="等线" w:ascii="Arial" w:cs="Arial" w:hAnsi="Arial"/>
          <w:sz w:val="22"/>
        </w:rPr>
        <w:t>在监测周期内（2026.04.10-2026.05.01），累计仅产出11条BBC湿巾相关负面讨论，总互动量2109；在本次投放过后，无新增负面讨论，负面讨论的声量有效减少，新增负面讨论数量显著回落，全周期内15天无新增负面讨论。</w:t>
      </w:r>
    </w:p>
    <w:p>
      <w:pPr>
        <w:spacing w:before="120" w:after="120" w:line="288" w:lineRule="auto"/>
        <w:ind w:left="0"/>
      </w:pPr>
      <w:r>
        <w:object>
          <v:shape id="_x0000_i1026" style="width:414pt;height:197pt;mso-width-percent:0;mso-height-percent:0;mso-width-percent:0;mso-height-percent:0" type="#_x0000_t75" o:ole="">
            <v:imagedata r:id="rId26" o:title=""/>
          </v:shape>
          <o:OLEObject DrawAspect="Icon" ObjectID="_1718471220" ProgID="Excel.Sheet.12" ShapeID="_x0000_i1026"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center"/>
      </w:pPr>
      <w:r>
        <w:rPr>
          <w:rFonts w:eastAsia="等线" w:ascii="Arial" w:cs="Arial" w:hAnsi="Arial"/>
          <w:color w:val="8f959e"/>
          <w:sz w:val="22"/>
        </w:rPr>
        <w:t>*本数据来源于新榜品牌声量分析工具-声量通</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五、优质内容发布总结</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780"/>
        <w:gridCol w:w="780"/>
        <w:gridCol w:w="1860"/>
        <w:gridCol w:w="780"/>
        <w:gridCol w:w="885"/>
        <w:gridCol w:w="780"/>
        <w:gridCol w:w="1650"/>
      </w:tblGrid>
      <w:tr>
        <w:tc>
          <w:tcPr>
            <w:tcW w:w="8280" w:type="dxa"/>
            <w:hMerge w:val="restart"/>
            <w:tcMar>
              <w:top w:type="dxa" w:w="60"/>
              <w:left w:type="dxa" w:w="120"/>
              <w:bottom w:type="dxa" w:w="30"/>
              <w:right w:type="dxa" w:w="120"/>
            </w:tcMar>
          </w:tcPr>
          <w:p>
            <w:pPr>
              <w:pStyle w:val="3"/>
              <w:spacing w:before="300" w:after="120" w:line="288" w:lineRule="auto"/>
              <w:ind w:left="0"/>
              <w:jc w:val="center"/>
              <w:outlineLvl w:val="2"/>
            </w:pPr>
            <w:bookmarkStart w:name="heading_19" w:id="19"/>
            <w:r>
              <w:rPr>
                <w:rFonts w:eastAsia="等线" w:ascii="Arial" w:cs="Arial" w:hAnsi="Arial"/>
                <w:b w:val="true"/>
                <w:color w:val="245bdb"/>
                <w:sz w:val="30"/>
              </w:rPr>
              <w:t>优质内容总结分析</w:t>
            </w:r>
            <w:bookmarkEnd w:id="19"/>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186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42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优质作品1</w:t>
            </w:r>
          </w:p>
        </w:tc>
        <w:tc>
          <w:tcPr>
            <w:tcW w:w="780" w:type="dxa"/>
            <w:hMerge w:val="continue"/>
            <w:tcMar>
              <w:top w:type="dxa" w:w="60"/>
              <w:left w:type="dxa" w:w="120"/>
              <w:bottom w:type="dxa" w:w="30"/>
              <w:right w:type="dxa" w:w="120"/>
            </w:tcMar>
          </w:tcPr>
          <w:p>
            <w:pPr>
              <w:spacing w:before="120" w:after="120" w:line="288" w:lineRule="auto"/>
              <w:ind w:left="0"/>
              <w:jc w:val="center"/>
            </w:pPr>
          </w:p>
        </w:tc>
        <w:tc>
          <w:tcPr>
            <w:tcW w:w="780" w:type="dxa"/>
            <w:hMerge w:val="continue"/>
            <w:tcMar>
              <w:top w:type="dxa" w:w="60"/>
              <w:left w:type="dxa" w:w="120"/>
              <w:bottom w:type="dxa" w:w="30"/>
              <w:right w:type="dxa" w:w="120"/>
            </w:tcMar>
          </w:tcPr>
          <w:p>
            <w:pPr>
              <w:spacing w:before="120" w:after="120" w:line="288" w:lineRule="auto"/>
              <w:ind w:left="0"/>
              <w:jc w:val="center"/>
            </w:pPr>
          </w:p>
        </w:tc>
        <w:tc>
          <w:tcPr>
            <w:tcW w:w="1860" w:type="dxa"/>
            <w:hMerge w:val="continue"/>
            <w:tcMar>
              <w:top w:type="dxa" w:w="60"/>
              <w:left w:type="dxa" w:w="120"/>
              <w:bottom w:type="dxa" w:w="30"/>
              <w:right w:type="dxa" w:w="120"/>
            </w:tcMar>
          </w:tcPr>
          <w:p>
            <w:pPr>
              <w:spacing w:before="120" w:after="120" w:line="288" w:lineRule="auto"/>
              <w:ind w:left="0"/>
              <w:jc w:val="center"/>
            </w:pPr>
          </w:p>
        </w:tc>
        <w:tc>
          <w:tcPr>
            <w:tcW w:w="40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优质作品2</w:t>
            </w:r>
          </w:p>
        </w:tc>
        <w:tc>
          <w:tcPr>
            <w:tcW w:w="885" w:type="dxa"/>
            <w:hMerge w:val="continue"/>
            <w:tcMar>
              <w:top w:type="dxa" w:w="60"/>
              <w:left w:type="dxa" w:w="120"/>
              <w:bottom w:type="dxa" w:w="30"/>
              <w:right w:type="dxa" w:w="120"/>
            </w:tcMar>
          </w:tcPr>
          <w:p>
            <w:pPr>
              <w:spacing w:before="120" w:after="120" w:line="288" w:lineRule="auto"/>
              <w:ind w:left="0"/>
              <w:jc w:val="center"/>
            </w:pPr>
          </w:p>
        </w:tc>
        <w:tc>
          <w:tcPr>
            <w:tcW w:w="780" w:type="dxa"/>
            <w:hMerge w:val="continue"/>
            <w:tcMar>
              <w:top w:type="dxa" w:w="60"/>
              <w:left w:type="dxa" w:w="120"/>
              <w:bottom w:type="dxa" w:w="30"/>
              <w:right w:type="dxa" w:w="120"/>
            </w:tcMar>
          </w:tcPr>
          <w:p>
            <w:pPr>
              <w:spacing w:before="120" w:after="120" w:line="288" w:lineRule="auto"/>
              <w:ind w:left="0"/>
              <w:jc w:val="center"/>
            </w:pPr>
          </w:p>
        </w:tc>
        <w:tc>
          <w:tcPr>
            <w:tcW w:w="1650" w:type="dxa"/>
            <w:hMerge w:val="continue"/>
            <w:tcMar>
              <w:top w:type="dxa" w:w="60"/>
              <w:left w:type="dxa" w:w="120"/>
              <w:bottom w:type="dxa" w:w="30"/>
              <w:right w:type="dxa" w:w="120"/>
            </w:tcMar>
          </w:tcPr>
          <w:p>
            <w:pPr>
              <w:spacing w:before="120" w:after="120" w:line="288" w:lineRule="auto"/>
              <w:ind w:left="0"/>
              <w:jc w:val="center"/>
            </w:pPr>
          </w:p>
        </w:tc>
      </w:tr>
      <w:tr>
        <w:tc>
          <w:tcPr>
            <w:tcW w:w="1560"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838200" cy="11811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7"/>
                          <a:stretch>
                            <a:fillRect/>
                          </a:stretch>
                        </pic:blipFill>
                        <pic:spPr>
                          <a:xfrm>
                            <a:off x="0" y="0"/>
                            <a:ext cx="838200" cy="1181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@桃气小甜酱</w:t>
            </w:r>
          </w:p>
          <w:p>
            <w:pPr>
              <w:spacing w:before="120" w:after="120" w:line="288" w:lineRule="auto"/>
              <w:ind w:left="0"/>
              <w:jc w:val="left"/>
            </w:pPr>
            <w:hyperlink r:id="rId28">
              <w:r>
                <w:rPr>
                  <w:rFonts w:eastAsia="等线" w:ascii="Arial" w:cs="Arial" w:hAnsi="Arial"/>
                  <w:color w:val="3370ff"/>
                  <w:sz w:val="22"/>
                </w:rPr>
                <w:t>宝宝湿巾里的“锑”，真的有那么可怕吗？ - 小红书</w:t>
              </w:r>
            </w:hyperlink>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26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消耗总金额：</w:t>
            </w:r>
            <w:r>
              <w:rPr>
                <w:rFonts w:eastAsia="等线" w:ascii="Arial" w:cs="Arial" w:hAnsi="Arial"/>
                <w:sz w:val="22"/>
              </w:rPr>
              <w:t>1650</w:t>
            </w:r>
          </w:p>
          <w:p>
            <w:pPr>
              <w:spacing w:before="120" w:after="120" w:line="288" w:lineRule="auto"/>
              <w:ind w:left="0"/>
              <w:jc w:val="left"/>
            </w:pPr>
            <w:r>
              <w:rPr>
                <w:rFonts w:eastAsia="等线" w:ascii="Arial" w:cs="Arial" w:hAnsi="Arial"/>
                <w:sz w:val="22"/>
              </w:rPr>
              <w:t>CPC:</w:t>
            </w:r>
            <w:r>
              <w:rPr>
                <w:rFonts w:eastAsia="等线" w:ascii="Arial" w:cs="Arial" w:hAnsi="Arial"/>
                <w:sz w:val="22"/>
              </w:rPr>
              <w:t>0.28</w:t>
            </w:r>
          </w:p>
          <w:p>
            <w:pPr>
              <w:spacing w:before="120" w:after="120" w:line="288" w:lineRule="auto"/>
              <w:ind w:left="0"/>
              <w:jc w:val="left"/>
            </w:pPr>
            <w:r>
              <w:rPr>
                <w:rFonts w:eastAsia="等线" w:ascii="Arial" w:cs="Arial" w:hAnsi="Arial"/>
                <w:sz w:val="22"/>
              </w:rPr>
              <w:t>CPE:</w:t>
            </w:r>
            <w:r>
              <w:rPr>
                <w:rFonts w:eastAsia="等线" w:ascii="Arial" w:cs="Arial" w:hAnsi="Arial"/>
                <w:sz w:val="22"/>
              </w:rPr>
              <w:t>2.72</w:t>
            </w:r>
          </w:p>
          <w:p>
            <w:pPr>
              <w:spacing w:before="120" w:after="120" w:line="288" w:lineRule="auto"/>
              <w:ind w:left="0"/>
              <w:jc w:val="left"/>
            </w:pPr>
            <w:r>
              <w:rPr>
                <w:rFonts w:eastAsia="等线" w:ascii="Arial" w:cs="Arial" w:hAnsi="Arial"/>
                <w:sz w:val="22"/>
              </w:rPr>
              <w:t>曝光量：</w:t>
            </w:r>
            <w:r>
              <w:rPr>
                <w:rFonts w:eastAsia="等线" w:ascii="Arial" w:cs="Arial" w:hAnsi="Arial"/>
                <w:sz w:val="22"/>
              </w:rPr>
              <w:t>18574</w:t>
            </w:r>
          </w:p>
          <w:p>
            <w:pPr>
              <w:spacing w:before="120" w:after="120" w:line="288" w:lineRule="auto"/>
              <w:ind w:left="0"/>
              <w:jc w:val="left"/>
            </w:pPr>
            <w:r>
              <w:rPr>
                <w:rFonts w:eastAsia="等线" w:ascii="Arial" w:cs="Arial" w:hAnsi="Arial"/>
                <w:sz w:val="22"/>
              </w:rPr>
              <w:t>浏览量：</w:t>
            </w:r>
            <w:r>
              <w:rPr>
                <w:rFonts w:eastAsia="等线" w:ascii="Arial" w:cs="Arial" w:hAnsi="Arial"/>
                <w:sz w:val="22"/>
              </w:rPr>
              <w:t>5485</w:t>
            </w:r>
          </w:p>
          <w:p>
            <w:pPr>
              <w:spacing w:before="120" w:after="120" w:line="288" w:lineRule="auto"/>
              <w:ind w:left="0"/>
              <w:jc w:val="left"/>
            </w:pPr>
            <w:r>
              <w:rPr>
                <w:rFonts w:eastAsia="等线" w:ascii="Arial" w:cs="Arial" w:hAnsi="Arial"/>
                <w:sz w:val="22"/>
              </w:rPr>
              <w:t>互动量：</w:t>
            </w:r>
            <w:r>
              <w:rPr>
                <w:rFonts w:eastAsia="等线" w:ascii="Arial" w:cs="Arial" w:hAnsi="Arial"/>
                <w:sz w:val="22"/>
              </w:rPr>
              <w:t>559</w:t>
            </w:r>
          </w:p>
          <w:p>
            <w:pPr>
              <w:spacing w:before="120" w:after="120" w:line="288" w:lineRule="auto"/>
              <w:ind w:left="0"/>
              <w:jc w:val="left"/>
            </w:pPr>
            <w:r>
              <w:rPr>
                <w:rFonts w:eastAsia="等线" w:ascii="Arial" w:cs="Arial" w:hAnsi="Arial"/>
                <w:sz w:val="22"/>
              </w:rPr>
              <w:t>优势总结</w:t>
            </w:r>
          </w:p>
          <w:tbl>
            <w:tblPr>
              <w:tblW w:w="0" w:type="auto"/>
              <w:tblInd w:w="0" w:type="dxa"/>
              <w:tblBorders>
                <w:top w:val="single"/>
                <w:left w:val="single"/>
                <w:bottom w:val="single"/>
                <w:right w:val="single"/>
                <w:insideH w:val="single"/>
                <w:insideV w:val="single"/>
              </w:tblBorders>
              <w:tblLayout w:type="fixed"/>
            </w:tblPr>
            <w:tblGrid>
              <w:gridCol w:w="2400"/>
            </w:tblGrid>
            <w:tr>
              <w:tc>
                <w:tcPr>
                  <w:tcW w:w="2400" w:type="dxa"/>
                  <w:tcBorders>
                    <w:top w:val="nil"/>
                    <w:left w:sz="18" w:val="single" w:color="BBBFC4"/>
                    <w:bottom w:val="nil"/>
                    <w:right w:val="nil"/>
                  </w:tcBorders>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color w:val="646a73"/>
                      <w:sz w:val="22"/>
                    </w:rPr>
                    <w:t>封面：</w:t>
                  </w:r>
                  <w:r>
                    <w:rPr>
                      <w:rFonts w:eastAsia="等线" w:ascii="Arial" w:cs="Arial" w:hAnsi="Arial"/>
                      <w:color w:val="646a73"/>
                      <w:sz w:val="22"/>
                    </w:rPr>
                    <w:t>直击痛点，用 “锑”“宝宝湿巾”关键词，精准戳中宝妈最在意的健康风险；用反问句式，强好奇心，让人不点进来就不安心；同时视觉干净，走理性科普风，平台更易推、用户更信任。</w:t>
                  </w:r>
                </w:p>
                <w:p>
                  <w:pPr>
                    <w:numPr>
                      <w:numId w:val="8"/>
                    </w:numPr>
                    <w:spacing w:before="120" w:after="120" w:line="288" w:lineRule="auto"/>
                    <w:ind w:left="0"/>
                    <w:jc w:val="left"/>
                  </w:pPr>
                  <w:r>
                    <w:rPr>
                      <w:rFonts w:eastAsia="等线" w:ascii="Arial" w:cs="Arial" w:hAnsi="Arial"/>
                      <w:color w:val="646a73"/>
                      <w:sz w:val="22"/>
                    </w:rPr>
                    <w:t>标题：</w:t>
                  </w:r>
                  <w:r>
                    <w:rPr>
                      <w:rFonts w:eastAsia="等线" w:ascii="Arial" w:cs="Arial" w:hAnsi="Arial"/>
                      <w:b w:val="true"/>
                      <w:color w:val="646a73"/>
                      <w:sz w:val="22"/>
                    </w:rPr>
                    <w:t>踩中热点，</w:t>
                  </w:r>
                  <w:r>
                    <w:rPr>
                      <w:rFonts w:eastAsia="等线" w:ascii="Arial" w:cs="Arial" w:hAnsi="Arial"/>
                      <w:color w:val="646a73"/>
                      <w:sz w:val="22"/>
                    </w:rPr>
                    <w:t>当时湿巾 “锑” 话题热度高，自带流量；</w:t>
                  </w:r>
                  <w:r>
                    <w:rPr>
                      <w:rFonts w:eastAsia="等线" w:ascii="Arial" w:cs="Arial" w:hAnsi="Arial"/>
                      <w:b w:val="true"/>
                      <w:color w:val="646a73"/>
                      <w:sz w:val="22"/>
                    </w:rPr>
                    <w:t>反问句式，</w:t>
                  </w:r>
                  <w:r>
                    <w:rPr>
                      <w:rFonts w:eastAsia="等线" w:ascii="Arial" w:cs="Arial" w:hAnsi="Arial"/>
                      <w:color w:val="646a73"/>
                      <w:sz w:val="22"/>
                    </w:rPr>
                    <w:t>与首图一致引发好奇；</w:t>
                  </w:r>
                  <w:r>
                    <w:rPr>
                      <w:rFonts w:eastAsia="等线" w:ascii="Arial" w:cs="Arial" w:hAnsi="Arial"/>
                      <w:b w:val="true"/>
                      <w:color w:val="646a73"/>
                      <w:sz w:val="22"/>
                    </w:rPr>
                    <w:t>立场中立，</w:t>
                  </w:r>
                  <w:r>
                    <w:rPr>
                      <w:rFonts w:eastAsia="等线" w:ascii="Arial" w:cs="Arial" w:hAnsi="Arial"/>
                      <w:color w:val="646a73"/>
                      <w:sz w:val="22"/>
                    </w:rPr>
                    <w:t>不制造恐慌、不极端，专业感强；宝宝湿巾直接锁定宝妈 / 母婴人群，标签准。</w:t>
                  </w:r>
                </w:p>
                <w:p>
                  <w:pPr>
                    <w:numPr>
                      <w:numId w:val="9"/>
                    </w:numPr>
                    <w:spacing w:before="120" w:after="120" w:line="288" w:lineRule="auto"/>
                    <w:ind w:left="0"/>
                    <w:jc w:val="left"/>
                  </w:pPr>
                  <w:r>
                    <w:rPr>
                      <w:rFonts w:eastAsia="等线" w:ascii="Arial" w:cs="Arial" w:hAnsi="Arial"/>
                      <w:color w:val="646a73"/>
                      <w:sz w:val="22"/>
                    </w:rPr>
                    <w:t>文案：</w:t>
                  </w:r>
                  <w:r>
                    <w:rPr>
                      <w:rFonts w:eastAsia="等线" w:ascii="Arial" w:cs="Arial" w:hAnsi="Arial"/>
                      <w:color w:val="646a73"/>
                      <w:sz w:val="22"/>
                    </w:rPr>
                    <w:t>开头借热点切入，共情宝妈焦虑，拉近距离；接着用大白话解释锑的来源与国标背景，不夸大风险，引用标准增强专业可信度，让用户安心。另外，还以 “自查自用” 建立信任，用官方声明、检测报告三重背书，不像硬广，说服力极强。</w:t>
                  </w:r>
                </w:p>
                <w:p>
                  <w:pPr>
                    <w:numPr>
                      <w:numId w:val="10"/>
                    </w:numPr>
                    <w:spacing w:before="120" w:after="120" w:line="288" w:lineRule="auto"/>
                    <w:ind w:left="0"/>
                    <w:jc w:val="left"/>
                  </w:pPr>
                  <w:r>
                    <w:rPr>
                      <w:rFonts w:eastAsia="等线" w:ascii="Arial" w:cs="Arial" w:hAnsi="Arial"/>
                      <w:color w:val="646a73"/>
                      <w:sz w:val="22"/>
                    </w:rPr>
                    <w:t>配图</w:t>
                  </w:r>
                  <w:r>
                    <w:rPr>
                      <w:rFonts w:eastAsia="等线" w:ascii="Arial" w:cs="Arial" w:hAnsi="Arial"/>
                      <w:color w:val="646a73"/>
                      <w:sz w:val="22"/>
                    </w:rPr>
                    <w:t>：</w:t>
                  </w:r>
                  <w:r>
                    <w:rPr>
                      <w:rFonts w:eastAsia="等线" w:ascii="Arial" w:cs="Arial" w:hAnsi="Arial"/>
                      <w:color w:val="646a73"/>
                      <w:sz w:val="22"/>
                    </w:rPr>
                    <w:t>配图用对比表、检测数据、红框标注等可视化形式，把抽象的安全标准变成用户一眼能看懂的内容，说服力极强。并且官方声明、第三方报告和客服聊天记录也给到重点标注，既显专业权威，又像真实自用分享，弱化硬广感。</w:t>
                  </w:r>
                </w:p>
              </w:tc>
            </w:tr>
          </w:tbl>
          <w:p>
            <w:pPr>
              <w:spacing w:before="120" w:after="120" w:line="288" w:lineRule="auto"/>
              <w:ind w:left="0"/>
              <w:jc w:val="left"/>
            </w:pPr>
          </w:p>
        </w:tc>
        <w:tc>
          <w:tcPr>
            <w:tcW w:w="1860" w:type="dxa"/>
            <w:hMerge w:val="continue"/>
            <w:tcMar>
              <w:top w:type="dxa" w:w="60"/>
              <w:left w:type="dxa" w:w="120"/>
              <w:bottom w:type="dxa" w:w="30"/>
              <w:right w:type="dxa" w:w="120"/>
            </w:tcMar>
          </w:tcPr>
          <w:p>
            <w:pPr>
              <w:spacing w:before="120" w:after="120" w:line="288" w:lineRule="auto"/>
              <w:ind w:left="0"/>
              <w:jc w:val="left"/>
            </w:pPr>
          </w:p>
        </w:tc>
        <w:tc>
          <w:tcPr>
            <w:tcW w:w="16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904875" cy="12096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9"/>
                          <a:stretch>
                            <a:fillRect/>
                          </a:stretch>
                        </pic:blipFill>
                        <pic:spPr>
                          <a:xfrm>
                            <a:off x="0" y="0"/>
                            <a:ext cx="904875"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@圆圆不圆（小月龄）</w:t>
            </w:r>
          </w:p>
          <w:p>
            <w:pPr>
              <w:spacing w:before="120" w:after="120" w:line="288" w:lineRule="auto"/>
              <w:ind w:left="0"/>
              <w:jc w:val="left"/>
            </w:pPr>
            <w:hyperlink r:id="rId30">
              <w:r>
                <w:rPr>
                  <w:rFonts w:eastAsia="等线" w:ascii="Arial" w:cs="Arial" w:hAnsi="Arial"/>
                  <w:color w:val="3370ff"/>
                  <w:sz w:val="22"/>
                </w:rPr>
                <w:t>搞懂国标再焦虑！宝宝湿巾争议，别交智商税！ - 小红书</w:t>
              </w:r>
            </w:hyperlink>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243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消耗总金额：</w:t>
            </w:r>
            <w:r>
              <w:rPr>
                <w:rFonts w:eastAsia="等线" w:ascii="Arial" w:cs="Arial" w:hAnsi="Arial"/>
                <w:sz w:val="22"/>
              </w:rPr>
              <w:t>3300</w:t>
            </w:r>
          </w:p>
          <w:p>
            <w:pPr>
              <w:spacing w:before="120" w:after="120" w:line="288" w:lineRule="auto"/>
              <w:ind w:left="0"/>
              <w:jc w:val="left"/>
            </w:pPr>
            <w:r>
              <w:rPr>
                <w:rFonts w:eastAsia="等线" w:ascii="Arial" w:cs="Arial" w:hAnsi="Arial"/>
                <w:sz w:val="22"/>
              </w:rPr>
              <w:t>CPC:</w:t>
            </w:r>
            <w:r>
              <w:rPr>
                <w:rFonts w:eastAsia="等线" w:ascii="Arial" w:cs="Arial" w:hAnsi="Arial"/>
                <w:sz w:val="22"/>
              </w:rPr>
              <w:t>0.29</w:t>
            </w:r>
          </w:p>
          <w:p>
            <w:pPr>
              <w:spacing w:before="120" w:after="120" w:line="288" w:lineRule="auto"/>
              <w:ind w:left="0"/>
              <w:jc w:val="left"/>
            </w:pPr>
            <w:r>
              <w:rPr>
                <w:rFonts w:eastAsia="等线" w:ascii="Arial" w:cs="Arial" w:hAnsi="Arial"/>
                <w:sz w:val="22"/>
              </w:rPr>
              <w:t>CPE:</w:t>
            </w:r>
            <w:r>
              <w:rPr>
                <w:rFonts w:eastAsia="等线" w:ascii="Arial" w:cs="Arial" w:hAnsi="Arial"/>
                <w:sz w:val="22"/>
              </w:rPr>
              <w:t>3.45</w:t>
            </w:r>
          </w:p>
          <w:p>
            <w:pPr>
              <w:spacing w:before="120" w:after="120" w:line="288" w:lineRule="auto"/>
              <w:ind w:left="0"/>
              <w:jc w:val="left"/>
            </w:pPr>
            <w:r>
              <w:rPr>
                <w:rFonts w:eastAsia="等线" w:ascii="Arial" w:cs="Arial" w:hAnsi="Arial"/>
                <w:sz w:val="22"/>
              </w:rPr>
              <w:t>曝光量：</w:t>
            </w:r>
            <w:r>
              <w:rPr>
                <w:rFonts w:eastAsia="等线" w:ascii="Arial" w:cs="Arial" w:hAnsi="Arial"/>
                <w:sz w:val="22"/>
              </w:rPr>
              <w:t>93127</w:t>
            </w:r>
          </w:p>
          <w:p>
            <w:pPr>
              <w:spacing w:before="120" w:after="120" w:line="288" w:lineRule="auto"/>
              <w:ind w:left="0"/>
              <w:jc w:val="left"/>
            </w:pPr>
            <w:r>
              <w:rPr>
                <w:rFonts w:eastAsia="等线" w:ascii="Arial" w:cs="Arial" w:hAnsi="Arial"/>
                <w:sz w:val="22"/>
              </w:rPr>
              <w:t>浏览量：</w:t>
            </w:r>
            <w:r>
              <w:rPr>
                <w:rFonts w:eastAsia="等线" w:ascii="Arial" w:cs="Arial" w:hAnsi="Arial"/>
                <w:sz w:val="22"/>
              </w:rPr>
              <w:t>10514</w:t>
            </w:r>
          </w:p>
          <w:p>
            <w:pPr>
              <w:spacing w:before="120" w:after="120" w:line="288" w:lineRule="auto"/>
              <w:ind w:left="0"/>
              <w:jc w:val="left"/>
            </w:pPr>
            <w:r>
              <w:rPr>
                <w:rFonts w:eastAsia="等线" w:ascii="Arial" w:cs="Arial" w:hAnsi="Arial"/>
                <w:sz w:val="22"/>
              </w:rPr>
              <w:t>互动量：</w:t>
            </w:r>
            <w:r>
              <w:rPr>
                <w:rFonts w:eastAsia="等线" w:ascii="Arial" w:cs="Arial" w:hAnsi="Arial"/>
                <w:sz w:val="22"/>
              </w:rPr>
              <w:t>879</w:t>
            </w:r>
          </w:p>
          <w:p>
            <w:pPr>
              <w:spacing w:before="120" w:after="120" w:line="288" w:lineRule="auto"/>
              <w:ind w:left="0"/>
              <w:jc w:val="left"/>
            </w:pPr>
            <w:r>
              <w:rPr>
                <w:rFonts w:eastAsia="等线" w:ascii="Arial" w:cs="Arial" w:hAnsi="Arial"/>
                <w:sz w:val="22"/>
              </w:rPr>
              <w:t>优势总结</w:t>
            </w:r>
          </w:p>
          <w:tbl>
            <w:tblPr>
              <w:tblW w:w="0" w:type="auto"/>
              <w:tblInd w:w="0" w:type="dxa"/>
              <w:tblBorders>
                <w:top w:val="single"/>
                <w:left w:val="single"/>
                <w:bottom w:val="single"/>
                <w:right w:val="single"/>
                <w:insideH w:val="single"/>
                <w:insideV w:val="single"/>
              </w:tblBorders>
              <w:tblLayout w:type="fixed"/>
            </w:tblPr>
            <w:tblGrid>
              <w:gridCol w:w="2190"/>
            </w:tblGrid>
            <w:tr>
              <w:tc>
                <w:tcPr>
                  <w:tcW w:w="2190" w:type="dxa"/>
                  <w:tcBorders>
                    <w:top w:val="nil"/>
                    <w:left w:sz="18" w:val="single" w:color="BBBFC4"/>
                    <w:bottom w:val="nil"/>
                    <w:right w:val="nil"/>
                  </w:tcBorders>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color w:val="646a73"/>
                      <w:sz w:val="22"/>
                    </w:rPr>
                    <w:t>封面：</w:t>
                  </w:r>
                  <w:r>
                    <w:rPr>
                      <w:rFonts w:eastAsia="等线" w:ascii="Arial" w:cs="Arial" w:hAnsi="Arial"/>
                      <w:color w:val="646a73"/>
                      <w:sz w:val="22"/>
                    </w:rPr>
                    <w:t>用情绪化的 emoji 和大问号，把宝妈的核心焦虑可视化，瞬间抓住眼球，让用户一眼就明白笔记主题。</w:t>
                  </w:r>
                </w:p>
                <w:p>
                  <w:pPr>
                    <w:numPr>
                      <w:numId w:val="12"/>
                    </w:numPr>
                    <w:spacing w:before="120" w:after="120" w:line="288" w:lineRule="auto"/>
                    <w:ind w:left="0"/>
                    <w:jc w:val="left"/>
                  </w:pPr>
                  <w:r>
                    <w:rPr>
                      <w:rFonts w:eastAsia="等线" w:ascii="Arial" w:cs="Arial" w:hAnsi="Arial"/>
                      <w:color w:val="646a73"/>
                      <w:sz w:val="22"/>
                    </w:rPr>
                    <w:t>标题：</w:t>
                  </w:r>
                  <w:r>
                    <w:rPr>
                      <w:rFonts w:eastAsia="等线" w:ascii="Arial" w:cs="Arial" w:hAnsi="Arial"/>
                      <w:color w:val="646a73"/>
                      <w:sz w:val="22"/>
                    </w:rPr>
                    <w:t>直接戳中宝妈 “跟风焦虑” 的痛点，用 “搞懂国标” 和 “别交智商税” 两个关键词，既引发共鸣，又给出了解决问题的承诺，自带点击欲。</w:t>
                  </w:r>
                </w:p>
                <w:p>
                  <w:pPr>
                    <w:numPr>
                      <w:numId w:val="13"/>
                    </w:numPr>
                    <w:spacing w:before="120" w:after="120" w:line="288" w:lineRule="auto"/>
                    <w:ind w:left="0"/>
                    <w:jc w:val="left"/>
                  </w:pPr>
                  <w:r>
                    <w:rPr>
                      <w:rFonts w:eastAsia="等线" w:ascii="Arial" w:cs="Arial" w:hAnsi="Arial"/>
                      <w:color w:val="646a73"/>
                      <w:sz w:val="22"/>
                    </w:rPr>
                    <w:t>文案：</w:t>
                  </w:r>
                  <w:r>
                    <w:rPr>
                      <w:rFonts w:eastAsia="等线" w:ascii="Arial" w:cs="Arial" w:hAnsi="Arial"/>
                      <w:color w:val="646a73"/>
                      <w:sz w:val="22"/>
                    </w:rPr>
                    <w:t>逻辑清晰，从“缓解焦虑到科普国标到品牌背书”完成闭环。先用 “没必要扔湿巾” 安抚情绪，再用大白话讲清国标底线，最后自然带出 Babycare“主动加码自检、资质可查” 的优势，种草不生硬，说服力强。</w:t>
                  </w:r>
                </w:p>
                <w:p>
                  <w:pPr>
                    <w:numPr>
                      <w:numId w:val="14"/>
                    </w:numPr>
                    <w:spacing w:before="120" w:after="120" w:line="288" w:lineRule="auto"/>
                    <w:ind w:left="0"/>
                    <w:jc w:val="left"/>
                  </w:pPr>
                  <w:r>
                    <w:rPr>
                      <w:rFonts w:eastAsia="等线" w:ascii="Arial" w:cs="Arial" w:hAnsi="Arial"/>
                      <w:color w:val="646a73"/>
                      <w:sz w:val="22"/>
                    </w:rPr>
                    <w:t>配图：证据链完整且层层递进，用国标原文、产品检测表、第三方报告截图，用权威文件和数据打消用户顾虑，让结论更加具有说服性</w:t>
                  </w:r>
                </w:p>
              </w:tc>
            </w:tr>
          </w:tbl>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42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优质作品3</w:t>
            </w:r>
          </w:p>
        </w:tc>
        <w:tc>
          <w:tcPr>
            <w:tcW w:w="780" w:type="dxa"/>
            <w:hMerge w:val="continue"/>
            <w:tcMar>
              <w:top w:type="dxa" w:w="60"/>
              <w:left w:type="dxa" w:w="120"/>
              <w:bottom w:type="dxa" w:w="30"/>
              <w:right w:type="dxa" w:w="120"/>
            </w:tcMar>
          </w:tcPr>
          <w:p>
            <w:pPr>
              <w:spacing w:before="120" w:after="120" w:line="288" w:lineRule="auto"/>
              <w:ind w:left="0"/>
              <w:jc w:val="center"/>
            </w:pPr>
          </w:p>
        </w:tc>
        <w:tc>
          <w:tcPr>
            <w:tcW w:w="780" w:type="dxa"/>
            <w:hMerge w:val="continue"/>
            <w:tcMar>
              <w:top w:type="dxa" w:w="60"/>
              <w:left w:type="dxa" w:w="120"/>
              <w:bottom w:type="dxa" w:w="30"/>
              <w:right w:type="dxa" w:w="120"/>
            </w:tcMar>
          </w:tcPr>
          <w:p>
            <w:pPr>
              <w:spacing w:before="120" w:after="120" w:line="288" w:lineRule="auto"/>
              <w:ind w:left="0"/>
              <w:jc w:val="center"/>
            </w:pPr>
          </w:p>
        </w:tc>
        <w:tc>
          <w:tcPr>
            <w:tcW w:w="1860" w:type="dxa"/>
            <w:hMerge w:val="continue"/>
            <w:tcMar>
              <w:top w:type="dxa" w:w="60"/>
              <w:left w:type="dxa" w:w="120"/>
              <w:bottom w:type="dxa" w:w="30"/>
              <w:right w:type="dxa" w:w="120"/>
            </w:tcMar>
          </w:tcPr>
          <w:p>
            <w:pPr>
              <w:spacing w:before="120" w:after="120" w:line="288" w:lineRule="auto"/>
              <w:ind w:left="0"/>
              <w:jc w:val="center"/>
            </w:pPr>
          </w:p>
        </w:tc>
        <w:tc>
          <w:tcPr>
            <w:tcW w:w="40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优质作品4</w:t>
            </w:r>
          </w:p>
        </w:tc>
        <w:tc>
          <w:tcPr>
            <w:tcW w:w="885" w:type="dxa"/>
            <w:hMerge w:val="continue"/>
            <w:tcMar>
              <w:top w:type="dxa" w:w="60"/>
              <w:left w:type="dxa" w:w="120"/>
              <w:bottom w:type="dxa" w:w="30"/>
              <w:right w:type="dxa" w:w="120"/>
            </w:tcMar>
          </w:tcPr>
          <w:p>
            <w:pPr>
              <w:spacing w:before="120" w:after="120" w:line="288" w:lineRule="auto"/>
              <w:ind w:left="0"/>
              <w:jc w:val="center"/>
            </w:pPr>
          </w:p>
        </w:tc>
        <w:tc>
          <w:tcPr>
            <w:tcW w:w="780" w:type="dxa"/>
            <w:hMerge w:val="continue"/>
            <w:tcMar>
              <w:top w:type="dxa" w:w="60"/>
              <w:left w:type="dxa" w:w="120"/>
              <w:bottom w:type="dxa" w:w="30"/>
              <w:right w:type="dxa" w:w="120"/>
            </w:tcMar>
          </w:tcPr>
          <w:p>
            <w:pPr>
              <w:spacing w:before="120" w:after="120" w:line="288" w:lineRule="auto"/>
              <w:ind w:left="0"/>
              <w:jc w:val="center"/>
            </w:pPr>
          </w:p>
        </w:tc>
        <w:tc>
          <w:tcPr>
            <w:tcW w:w="1650" w:type="dxa"/>
            <w:hMerge w:val="continue"/>
            <w:tcMar>
              <w:top w:type="dxa" w:w="60"/>
              <w:left w:type="dxa" w:w="120"/>
              <w:bottom w:type="dxa" w:w="30"/>
              <w:right w:type="dxa" w:w="120"/>
            </w:tcMar>
          </w:tcPr>
          <w:p>
            <w:pPr>
              <w:spacing w:before="120" w:after="120" w:line="288" w:lineRule="auto"/>
              <w:ind w:left="0"/>
              <w:jc w:val="center"/>
            </w:pPr>
          </w:p>
        </w:tc>
      </w:tr>
      <w:tr>
        <w:tc>
          <w:tcPr>
            <w:tcW w:w="1560"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838200" cy="9906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1"/>
                          <a:stretch>
                            <a:fillRect/>
                          </a:stretch>
                        </pic:blipFill>
                        <pic:spPr>
                          <a:xfrm>
                            <a:off x="0" y="0"/>
                            <a:ext cx="838200" cy="990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两个鹅子🖤（备孕中梦想👧）</w:t>
            </w:r>
          </w:p>
          <w:p>
            <w:pPr>
              <w:spacing w:before="120" w:after="120" w:line="288" w:lineRule="auto"/>
              <w:ind w:left="0"/>
              <w:jc w:val="left"/>
            </w:pPr>
            <w:hyperlink r:id="rId32">
              <w:r>
                <w:rPr>
                  <w:rFonts w:eastAsia="等线" w:ascii="Arial" w:cs="Arial" w:hAnsi="Arial"/>
                  <w:color w:val="3370ff"/>
                  <w:sz w:val="22"/>
                </w:rPr>
                <w:t>一张报告被乱解读！母婴用品的瓜，别再乱吃</w:t>
              </w:r>
            </w:hyperlink>
          </w:p>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26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消耗总金额：</w:t>
            </w:r>
            <w:r>
              <w:rPr>
                <w:rFonts w:eastAsia="等线" w:ascii="Arial" w:cs="Arial" w:hAnsi="Arial"/>
                <w:sz w:val="22"/>
              </w:rPr>
              <w:t>2000</w:t>
            </w:r>
          </w:p>
          <w:p>
            <w:pPr>
              <w:spacing w:before="120" w:after="120" w:line="288" w:lineRule="auto"/>
              <w:ind w:left="0"/>
              <w:jc w:val="left"/>
            </w:pPr>
            <w:r>
              <w:rPr>
                <w:rFonts w:eastAsia="等线" w:ascii="Arial" w:cs="Arial" w:hAnsi="Arial"/>
                <w:sz w:val="22"/>
              </w:rPr>
              <w:t>CPC:</w:t>
            </w:r>
            <w:r>
              <w:rPr>
                <w:rFonts w:eastAsia="等线" w:ascii="Arial" w:cs="Arial" w:hAnsi="Arial"/>
                <w:sz w:val="22"/>
              </w:rPr>
              <w:t>0.4</w:t>
            </w:r>
          </w:p>
          <w:p>
            <w:pPr>
              <w:spacing w:before="120" w:after="120" w:line="288" w:lineRule="auto"/>
              <w:ind w:left="0"/>
              <w:jc w:val="left"/>
            </w:pPr>
            <w:r>
              <w:rPr>
                <w:rFonts w:eastAsia="等线" w:ascii="Arial" w:cs="Arial" w:hAnsi="Arial"/>
                <w:sz w:val="22"/>
              </w:rPr>
              <w:t>CPE:</w:t>
            </w:r>
            <w:r>
              <w:rPr>
                <w:rFonts w:eastAsia="等线" w:ascii="Arial" w:cs="Arial" w:hAnsi="Arial"/>
                <w:sz w:val="22"/>
              </w:rPr>
              <w:t>2.46</w:t>
            </w:r>
          </w:p>
          <w:p>
            <w:pPr>
              <w:spacing w:before="120" w:after="120" w:line="288" w:lineRule="auto"/>
              <w:ind w:left="0"/>
              <w:jc w:val="left"/>
            </w:pPr>
            <w:r>
              <w:rPr>
                <w:rFonts w:eastAsia="等线" w:ascii="Arial" w:cs="Arial" w:hAnsi="Arial"/>
                <w:sz w:val="22"/>
              </w:rPr>
              <w:t>曝光量：</w:t>
            </w:r>
            <w:r>
              <w:rPr>
                <w:rFonts w:eastAsia="等线" w:ascii="Arial" w:cs="Arial" w:hAnsi="Arial"/>
                <w:sz w:val="22"/>
              </w:rPr>
              <w:t>70139</w:t>
            </w:r>
          </w:p>
          <w:p>
            <w:pPr>
              <w:spacing w:before="120" w:after="120" w:line="288" w:lineRule="auto"/>
              <w:ind w:left="0"/>
              <w:jc w:val="left"/>
            </w:pPr>
            <w:r>
              <w:rPr>
                <w:rFonts w:eastAsia="等线" w:ascii="Arial" w:cs="Arial" w:hAnsi="Arial"/>
                <w:sz w:val="22"/>
              </w:rPr>
              <w:t>浏览量：</w:t>
            </w:r>
            <w:r>
              <w:rPr>
                <w:rFonts w:eastAsia="等线" w:ascii="Arial" w:cs="Arial" w:hAnsi="Arial"/>
                <w:sz w:val="22"/>
              </w:rPr>
              <w:t>5107</w:t>
            </w:r>
          </w:p>
          <w:p>
            <w:pPr>
              <w:spacing w:before="120" w:after="120" w:line="288" w:lineRule="auto"/>
              <w:ind w:left="0"/>
              <w:jc w:val="left"/>
            </w:pPr>
            <w:r>
              <w:rPr>
                <w:rFonts w:eastAsia="等线" w:ascii="Arial" w:cs="Arial" w:hAnsi="Arial"/>
                <w:sz w:val="22"/>
              </w:rPr>
              <w:t>互动量：</w:t>
            </w:r>
            <w:r>
              <w:rPr>
                <w:rFonts w:eastAsia="等线" w:ascii="Arial" w:cs="Arial" w:hAnsi="Arial"/>
                <w:sz w:val="22"/>
              </w:rPr>
              <w:t>822</w:t>
            </w:r>
          </w:p>
          <w:p>
            <w:pPr>
              <w:spacing w:before="120" w:after="120" w:line="288" w:lineRule="auto"/>
              <w:ind w:left="0"/>
              <w:jc w:val="left"/>
            </w:pPr>
            <w:r>
              <w:rPr>
                <w:rFonts w:eastAsia="等线" w:ascii="Arial" w:cs="Arial" w:hAnsi="Arial"/>
                <w:sz w:val="22"/>
              </w:rPr>
              <w:t>优势总结</w:t>
            </w:r>
          </w:p>
          <w:tbl>
            <w:tblPr>
              <w:tblW w:w="0" w:type="auto"/>
              <w:tblInd w:w="0" w:type="dxa"/>
              <w:tblBorders>
                <w:top w:val="single"/>
                <w:left w:val="single"/>
                <w:bottom w:val="single"/>
                <w:right w:val="single"/>
                <w:insideH w:val="single"/>
                <w:insideV w:val="single"/>
              </w:tblBorders>
              <w:tblLayout w:type="fixed"/>
            </w:tblPr>
            <w:tblGrid>
              <w:gridCol w:w="2400"/>
            </w:tblGrid>
            <w:tr>
              <w:tc>
                <w:tcPr>
                  <w:tcW w:w="2400" w:type="dxa"/>
                  <w:tcBorders>
                    <w:top w:val="nil"/>
                    <w:left w:sz="18" w:val="single" w:color="BBBFC4"/>
                    <w:bottom w:val="nil"/>
                    <w:right w:val="nil"/>
                  </w:tcBorders>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color w:val="646a73"/>
                      <w:sz w:val="22"/>
                    </w:rPr>
                    <w:t>封面：</w:t>
                  </w:r>
                  <w:r>
                    <w:rPr>
                      <w:rFonts w:eastAsia="等线" w:ascii="Arial" w:cs="Arial" w:hAnsi="Arial"/>
                      <w:color w:val="646a73"/>
                      <w:sz w:val="22"/>
                    </w:rPr>
                    <w:t>大字报版式 +焦虑 emoji，emoji表情自带吃瓜感、争议感，大字报自带 “辟谣、扒瓜、干货科普” 属性，天然吸引想避坑、求真相的精准宝妈人群。</w:t>
                  </w:r>
                </w:p>
                <w:p>
                  <w:pPr>
                    <w:numPr>
                      <w:numId w:val="16"/>
                    </w:numPr>
                    <w:spacing w:before="120" w:after="120" w:line="288" w:lineRule="auto"/>
                    <w:ind w:left="0"/>
                    <w:jc w:val="left"/>
                  </w:pPr>
                  <w:r>
                    <w:rPr>
                      <w:rFonts w:eastAsia="等线" w:ascii="Arial" w:cs="Arial" w:hAnsi="Arial"/>
                      <w:color w:val="646a73"/>
                      <w:sz w:val="22"/>
                    </w:rPr>
                    <w:t>标题：</w:t>
                  </w:r>
                  <w:r>
                    <w:rPr>
                      <w:rFonts w:eastAsia="等线" w:ascii="Arial" w:cs="Arial" w:hAnsi="Arial"/>
                      <w:color w:val="646a73"/>
                      <w:sz w:val="22"/>
                    </w:rPr>
                    <w:t>悬念拉满，埋下冲突感，勾起用户好奇心，锁定母婴用品、宝妈吃瓜赛道，筛选精准流量，同时暗示辟谣反转，引导点击查看全貌。</w:t>
                  </w:r>
                </w:p>
                <w:p>
                  <w:pPr>
                    <w:numPr>
                      <w:numId w:val="17"/>
                    </w:numPr>
                    <w:spacing w:before="120" w:after="120" w:line="288" w:lineRule="auto"/>
                    <w:ind w:left="0"/>
                    <w:jc w:val="left"/>
                  </w:pPr>
                  <w:r>
                    <w:rPr>
                      <w:rFonts w:eastAsia="等线" w:ascii="Arial" w:cs="Arial" w:hAnsi="Arial"/>
                      <w:color w:val="646a73"/>
                      <w:sz w:val="22"/>
                    </w:rPr>
                    <w:t>文案：</w:t>
                  </w:r>
                  <w:r>
                    <w:rPr>
                      <w:rFonts w:eastAsia="等线" w:ascii="Arial" w:cs="Arial" w:hAnsi="Arial"/>
                      <w:color w:val="646a73"/>
                      <w:sz w:val="22"/>
                    </w:rPr>
                    <w:t>开头紧跟热门舆情切入，快速建立情绪认同；全程大白话拆解，依托完整报告佐证，以真实自用视角输出观点，理性种草</w:t>
                  </w:r>
                </w:p>
                <w:p>
                  <w:pPr>
                    <w:numPr>
                      <w:numId w:val="18"/>
                    </w:numPr>
                    <w:spacing w:before="120" w:after="120" w:line="288" w:lineRule="auto"/>
                    <w:ind w:left="0"/>
                    <w:jc w:val="left"/>
                  </w:pPr>
                  <w:r>
                    <w:rPr>
                      <w:rFonts w:eastAsia="等线" w:ascii="Arial" w:cs="Arial" w:hAnsi="Arial"/>
                      <w:color w:val="646a73"/>
                      <w:sz w:val="22"/>
                    </w:rPr>
                    <w:t>配图</w:t>
                  </w:r>
                  <w:r>
                    <w:rPr>
                      <w:rFonts w:eastAsia="等线" w:ascii="Arial" w:cs="Arial" w:hAnsi="Arial"/>
                      <w:color w:val="646a73"/>
                      <w:sz w:val="22"/>
                    </w:rPr>
                    <w:t>：</w:t>
                  </w:r>
                  <w:r>
                    <w:rPr>
                      <w:rFonts w:eastAsia="等线" w:ascii="Arial" w:cs="Arial" w:hAnsi="Arial"/>
                      <w:color w:val="646a73"/>
                      <w:sz w:val="22"/>
                    </w:rPr>
                    <w:t>把专业检测标准、概念差异可视化，降低理解门槛；以真实资讯截图替代刻意营销，兼具权威感和生活化分享感，进一步弱化广告痕迹、强化可信度</w:t>
                  </w:r>
                </w:p>
              </w:tc>
            </w:tr>
          </w:tbl>
          <w:p/>
        </w:tc>
        <w:tc>
          <w:tcPr>
            <w:tcW w:w="1860" w:type="dxa"/>
            <w:hMerge w:val="continue"/>
            <w:tcMar>
              <w:top w:type="dxa" w:w="60"/>
              <w:left w:type="dxa" w:w="120"/>
              <w:bottom w:type="dxa" w:w="30"/>
              <w:right w:type="dxa" w:w="120"/>
            </w:tcMar>
          </w:tcPr>
          <w:p>
            <w:pPr>
              <w:spacing w:before="120" w:after="120" w:line="288" w:lineRule="auto"/>
              <w:ind w:left="0"/>
              <w:jc w:val="left"/>
            </w:pPr>
          </w:p>
        </w:tc>
        <w:tc>
          <w:tcPr>
            <w:tcW w:w="16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904875" cy="10382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3"/>
                          <a:stretch>
                            <a:fillRect/>
                          </a:stretch>
                        </pic:blipFill>
                        <pic:spPr>
                          <a:xfrm>
                            <a:off x="0" y="0"/>
                            <a:ext cx="904875" cy="1038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炘炘妈妈育儿记</w:t>
            </w:r>
          </w:p>
          <w:p>
            <w:pPr>
              <w:spacing w:before="120" w:after="120" w:line="288" w:lineRule="auto"/>
              <w:ind w:left="0"/>
              <w:jc w:val="left"/>
            </w:pPr>
            <w:hyperlink r:id="rId34">
              <w:r>
                <w:rPr>
                  <w:rFonts w:eastAsia="等线" w:ascii="Arial" w:cs="Arial" w:hAnsi="Arial"/>
                  <w:color w:val="3370ff"/>
                  <w:sz w:val="22"/>
                </w:rPr>
                <w:t>宝宝湿巾里的“锑”到底是怎么回事？</w:t>
              </w:r>
            </w:hyperlink>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243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消耗总金额：</w:t>
            </w:r>
            <w:r>
              <w:rPr>
                <w:rFonts w:eastAsia="等线" w:ascii="Arial" w:cs="Arial" w:hAnsi="Arial"/>
                <w:sz w:val="22"/>
              </w:rPr>
              <w:t>1200</w:t>
            </w:r>
          </w:p>
          <w:p>
            <w:pPr>
              <w:spacing w:before="120" w:after="120" w:line="288" w:lineRule="auto"/>
              <w:ind w:left="0"/>
              <w:jc w:val="left"/>
            </w:pPr>
            <w:r>
              <w:rPr>
                <w:rFonts w:eastAsia="等线" w:ascii="Arial" w:cs="Arial" w:hAnsi="Arial"/>
                <w:sz w:val="22"/>
              </w:rPr>
              <w:t>CPC:</w:t>
            </w:r>
            <w:r>
              <w:rPr>
                <w:rFonts w:eastAsia="等线" w:ascii="Arial" w:cs="Arial" w:hAnsi="Arial"/>
                <w:sz w:val="22"/>
              </w:rPr>
              <w:t>0.37</w:t>
            </w:r>
          </w:p>
          <w:p>
            <w:pPr>
              <w:spacing w:before="120" w:after="120" w:line="288" w:lineRule="auto"/>
              <w:ind w:left="0"/>
              <w:jc w:val="left"/>
            </w:pPr>
            <w:r>
              <w:rPr>
                <w:rFonts w:eastAsia="等线" w:ascii="Arial" w:cs="Arial" w:hAnsi="Arial"/>
                <w:sz w:val="22"/>
              </w:rPr>
              <w:t>CPE:</w:t>
            </w:r>
            <w:r>
              <w:rPr>
                <w:rFonts w:eastAsia="等线" w:ascii="Arial" w:cs="Arial" w:hAnsi="Arial"/>
                <w:sz w:val="22"/>
              </w:rPr>
              <w:t>3.51</w:t>
            </w:r>
          </w:p>
          <w:p>
            <w:pPr>
              <w:spacing w:before="120" w:after="120" w:line="288" w:lineRule="auto"/>
              <w:ind w:left="0"/>
              <w:jc w:val="left"/>
            </w:pPr>
            <w:r>
              <w:rPr>
                <w:rFonts w:eastAsia="等线" w:ascii="Arial" w:cs="Arial" w:hAnsi="Arial"/>
                <w:sz w:val="22"/>
              </w:rPr>
              <w:t>曝光量：</w:t>
            </w:r>
            <w:r>
              <w:rPr>
                <w:rFonts w:eastAsia="等线" w:ascii="Arial" w:cs="Arial" w:hAnsi="Arial"/>
                <w:sz w:val="22"/>
              </w:rPr>
              <w:t>24238</w:t>
            </w:r>
          </w:p>
          <w:p>
            <w:pPr>
              <w:spacing w:before="120" w:after="120" w:line="288" w:lineRule="auto"/>
              <w:ind w:left="0"/>
              <w:jc w:val="left"/>
            </w:pPr>
            <w:r>
              <w:rPr>
                <w:rFonts w:eastAsia="等线" w:ascii="Arial" w:cs="Arial" w:hAnsi="Arial"/>
                <w:sz w:val="22"/>
              </w:rPr>
              <w:t>浏览量：</w:t>
            </w:r>
            <w:r>
              <w:rPr>
                <w:rFonts w:eastAsia="等线" w:ascii="Arial" w:cs="Arial" w:hAnsi="Arial"/>
                <w:sz w:val="22"/>
              </w:rPr>
              <w:t>3268</w:t>
            </w:r>
          </w:p>
          <w:p>
            <w:pPr>
              <w:spacing w:before="120" w:after="120" w:line="288" w:lineRule="auto"/>
              <w:ind w:left="0"/>
              <w:jc w:val="left"/>
            </w:pPr>
            <w:r>
              <w:rPr>
                <w:rFonts w:eastAsia="等线" w:ascii="Arial" w:cs="Arial" w:hAnsi="Arial"/>
                <w:sz w:val="22"/>
              </w:rPr>
              <w:t>互动量：</w:t>
            </w:r>
            <w:r>
              <w:rPr>
                <w:rFonts w:eastAsia="等线" w:ascii="Arial" w:cs="Arial" w:hAnsi="Arial"/>
                <w:sz w:val="22"/>
              </w:rPr>
              <w:t>346</w:t>
            </w:r>
          </w:p>
          <w:p>
            <w:pPr>
              <w:spacing w:before="120" w:after="120" w:line="288" w:lineRule="auto"/>
              <w:ind w:left="0"/>
              <w:jc w:val="left"/>
            </w:pPr>
            <w:r>
              <w:rPr>
                <w:rFonts w:eastAsia="等线" w:ascii="Arial" w:cs="Arial" w:hAnsi="Arial"/>
                <w:sz w:val="22"/>
              </w:rPr>
              <w:t>优势总结</w:t>
            </w:r>
          </w:p>
          <w:tbl>
            <w:tblPr>
              <w:tblW w:w="0" w:type="auto"/>
              <w:tblInd w:w="0" w:type="dxa"/>
              <w:tblBorders>
                <w:top w:val="single"/>
                <w:left w:val="single"/>
                <w:bottom w:val="single"/>
                <w:right w:val="single"/>
                <w:insideH w:val="single"/>
                <w:insideV w:val="single"/>
              </w:tblBorders>
              <w:tblLayout w:type="fixed"/>
            </w:tblPr>
            <w:tblGrid>
              <w:gridCol w:w="2190"/>
            </w:tblGrid>
            <w:tr>
              <w:tc>
                <w:tcPr>
                  <w:tcW w:w="2190" w:type="dxa"/>
                  <w:tcBorders>
                    <w:top w:val="nil"/>
                    <w:left w:sz="18" w:val="single" w:color="BBBFC4"/>
                    <w:bottom w:val="nil"/>
                    <w:right w:val="nil"/>
                  </w:tcBorders>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color w:val="646a73"/>
                      <w:sz w:val="22"/>
                    </w:rPr>
                    <w:t>封面：</w:t>
                  </w:r>
                  <w:r>
                    <w:rPr>
                      <w:rFonts w:eastAsia="等线" w:ascii="Arial" w:cs="Arial" w:hAnsi="Arial"/>
                      <w:color w:val="646a73"/>
                      <w:sz w:val="22"/>
                    </w:rPr>
                    <w:t>采用大字报排版，字体层级分明、大小粗细有区分，关键信息高亮突出，视觉醒目抓眼；画面中心搭配本人自用湿巾实拍图，自带反转叙事感，瞬间勾起用户好奇、停留意愿强。</w:t>
                  </w:r>
                </w:p>
                <w:p>
                  <w:pPr>
                    <w:numPr>
                      <w:numId w:val="20"/>
                    </w:numPr>
                    <w:spacing w:before="120" w:after="120" w:line="288" w:lineRule="auto"/>
                    <w:ind w:left="0"/>
                    <w:jc w:val="left"/>
                  </w:pPr>
                  <w:r>
                    <w:rPr>
                      <w:rFonts w:eastAsia="等线" w:ascii="Arial" w:cs="Arial" w:hAnsi="Arial"/>
                      <w:color w:val="646a73"/>
                      <w:sz w:val="22"/>
                    </w:rPr>
                    <w:t>标题：</w:t>
                  </w:r>
                  <w:r>
                    <w:rPr>
                      <w:rFonts w:eastAsia="等线" w:ascii="Arial" w:cs="Arial" w:hAnsi="Arial"/>
                      <w:color w:val="646a73"/>
                      <w:sz w:val="22"/>
                    </w:rPr>
                    <w:t>以疑问句式直击大众核心困惑，精准聚焦 “宝宝湿巾锑争议” 热点话题；直白通俗、不绕弯子，精准命中宝妈求知、避坑需求，自然吸引精准受众点开阅读。</w:t>
                  </w:r>
                </w:p>
                <w:p>
                  <w:pPr>
                    <w:numPr>
                      <w:numId w:val="21"/>
                    </w:numPr>
                    <w:spacing w:before="120" w:after="120" w:line="288" w:lineRule="auto"/>
                    <w:ind w:left="0"/>
                    <w:jc w:val="left"/>
                  </w:pPr>
                  <w:r>
                    <w:rPr>
                      <w:rFonts w:eastAsia="等线" w:ascii="Arial" w:cs="Arial" w:hAnsi="Arial"/>
                      <w:color w:val="646a73"/>
                      <w:sz w:val="22"/>
                    </w:rPr>
                    <w:t>文案：</w:t>
                  </w:r>
                  <w:r>
                    <w:rPr>
                      <w:rFonts w:eastAsia="等线" w:ascii="Arial" w:cs="Arial" w:hAnsi="Arial"/>
                      <w:color w:val="646a73"/>
                      <w:sz w:val="22"/>
                    </w:rPr>
                    <w:t>以家庭日常真实场景开篇，用夫妻对话切入热点事件，代入感极强；借博士妈妈人设建立专业权威，结尾安抚宝妈情绪，容易引发圈层共鸣。</w:t>
                  </w:r>
                </w:p>
                <w:p>
                  <w:pPr>
                    <w:numPr>
                      <w:numId w:val="22"/>
                    </w:numPr>
                    <w:spacing w:before="120" w:after="120" w:line="288" w:lineRule="auto"/>
                    <w:ind w:left="0"/>
                    <w:jc w:val="left"/>
                  </w:pPr>
                  <w:r>
                    <w:rPr>
                      <w:rFonts w:eastAsia="等线" w:ascii="Arial" w:cs="Arial" w:hAnsi="Arial"/>
                      <w:color w:val="646a73"/>
                      <w:sz w:val="22"/>
                    </w:rPr>
                    <w:t>配图</w:t>
                  </w:r>
                  <w:r>
                    <w:rPr>
                      <w:rFonts w:eastAsia="等线" w:ascii="Arial" w:cs="Arial" w:hAnsi="Arial"/>
                      <w:color w:val="646a73"/>
                      <w:sz w:val="22"/>
                    </w:rPr>
                    <w:t>：</w:t>
                  </w:r>
                  <w:r>
                    <w:rPr>
                      <w:rFonts w:eastAsia="等线" w:ascii="Arial" w:cs="Arial" w:hAnsi="Arial"/>
                      <w:color w:val="646a73"/>
                      <w:sz w:val="22"/>
                    </w:rPr>
                    <w:t>搭配专业知识点科普图解、囤货实景实拍图，把抽象国标条款、重金属原理可视化呈现，通俗易懂；实景囤货图强化真实自用人设，弱化广告感</w:t>
                  </w:r>
                </w:p>
              </w:tc>
            </w:tr>
          </w:tbl>
          <w:p/>
        </w:tc>
        <w:tc>
          <w:tcPr>
            <w:tcW w:w="1650"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0" w:id="20"/>
      <w:r>
        <w:rPr>
          <w:rFonts w:eastAsia="等线" w:ascii="Arial" w:cs="Arial" w:hAnsi="Arial"/>
          <w:b w:val="true"/>
          <w:sz w:val="32"/>
        </w:rPr>
        <w:t>六、优质内容总结分级及后续此类突发事件的优化方向</w:t>
      </w:r>
      <w:bookmarkEnd w:id="20"/>
    </w:p>
    <w:p>
      <w:pPr>
        <w:numPr>
          <w:numId w:val="23"/>
        </w:numPr>
        <w:spacing w:before="120" w:after="120" w:line="288" w:lineRule="auto"/>
        <w:ind w:left="0"/>
        <w:jc w:val="left"/>
      </w:pPr>
      <w:r>
        <w:rPr>
          <w:rFonts w:eastAsia="等线" w:ascii="Arial" w:cs="Arial" w:hAnsi="Arial"/>
          <w:sz w:val="22"/>
        </w:rPr>
        <w:t>内容总结分级</w:t>
      </w:r>
    </w:p>
    <w:p>
      <w:pPr>
        <w:spacing w:before="120" w:after="120" w:line="288" w:lineRule="auto"/>
        <w:ind w:left="0"/>
        <w:jc w:val="left"/>
      </w:pPr>
      <w:r>
        <w:rPr>
          <w:rFonts w:eastAsia="等线" w:ascii="Arial" w:cs="Arial" w:hAnsi="Arial"/>
          <w:sz w:val="22"/>
        </w:rPr>
        <w:t>本月投放整体表现符合预期，共产出A级优质内容</w:t>
      </w:r>
      <w:r>
        <w:rPr>
          <w:rFonts w:eastAsia="等线" w:ascii="Arial" w:cs="Arial" w:hAnsi="Arial"/>
          <w:sz w:val="22"/>
        </w:rPr>
        <w:t>4</w:t>
      </w:r>
      <w:r>
        <w:rPr>
          <w:rFonts w:eastAsia="等线" w:ascii="Arial" w:cs="Arial" w:hAnsi="Arial"/>
          <w:sz w:val="22"/>
        </w:rPr>
        <w:t>篇，B级达标内容</w:t>
      </w:r>
      <w:r>
        <w:rPr>
          <w:rFonts w:eastAsia="等线" w:ascii="Arial" w:cs="Arial" w:hAnsi="Arial"/>
          <w:sz w:val="22"/>
        </w:rPr>
        <w:t>16</w:t>
      </w:r>
      <w:r>
        <w:rPr>
          <w:rFonts w:eastAsia="等线" w:ascii="Arial" w:cs="Arial" w:hAnsi="Arial"/>
          <w:sz w:val="22"/>
        </w:rPr>
        <w:t>篇，C级待优化</w:t>
      </w:r>
      <w:r>
        <w:rPr>
          <w:rFonts w:eastAsia="等线" w:ascii="Arial" w:cs="Arial" w:hAnsi="Arial"/>
          <w:sz w:val="22"/>
        </w:rPr>
        <w:t>0</w:t>
      </w:r>
      <w:r>
        <w:rPr>
          <w:rFonts w:eastAsia="等线" w:ascii="Arial" w:cs="Arial" w:hAnsi="Arial"/>
          <w:sz w:val="22"/>
        </w:rPr>
        <w:t>篇。</w:t>
      </w:r>
    </w:p>
    <w:p>
      <w:pPr>
        <w:spacing w:before="120" w:after="120" w:line="288" w:lineRule="auto"/>
        <w:ind w:left="0"/>
        <w:jc w:val="left"/>
      </w:pPr>
      <w:r>
        <w:rPr>
          <w:rFonts w:eastAsia="等线" w:ascii="Arial" w:cs="Arial" w:hAnsi="Arial"/>
          <w:sz w:val="22"/>
        </w:rPr>
        <w:t>🌟 A级优质内容（点赞比较多的、整体互动好的）</w:t>
      </w:r>
    </w:p>
    <w:p>
      <w:pPr>
        <w:spacing w:before="120" w:after="120" w:line="288" w:lineRule="auto"/>
        <w:ind w:left="0"/>
        <w:jc w:val="center"/>
      </w:pPr>
      <w:r>
        <w:drawing>
          <wp:inline distT="0" distR="0" distB="0" distL="0">
            <wp:extent cx="5257800" cy="4857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5"/>
                    <a:stretch>
                      <a:fillRect/>
                    </a:stretch>
                  </pic:blipFill>
                  <pic:spPr>
                    <a:xfrm>
                      <a:off x="0" y="0"/>
                      <a:ext cx="5257800" cy="485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💬B级达标内容（百赞的笔记）</w:t>
      </w:r>
    </w:p>
    <w:p>
      <w:pPr>
        <w:spacing w:before="120" w:after="120" w:line="288" w:lineRule="auto"/>
        <w:ind w:left="0"/>
        <w:jc w:val="center"/>
      </w:pPr>
      <w:r>
        <w:drawing>
          <wp:inline distT="0" distR="0" distB="0" distL="0">
            <wp:extent cx="5257800" cy="16287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6"/>
                    <a:stretch>
                      <a:fillRect/>
                    </a:stretch>
                  </pic:blipFill>
                  <pic:spPr>
                    <a:xfrm>
                      <a:off x="0" y="0"/>
                      <a:ext cx="5257800" cy="1628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C级待优化内容（数据比较差的）</w:t>
      </w:r>
    </w:p>
    <w:p>
      <w:pPr>
        <w:pBdr>
          <w:bottom w:val="single" w:color="dee0e3"/>
          <w:between w:val="single" w:color="dee0e3"/>
        </w:pBdr>
        <w:spacing w:before="120" w:after="120" w:line="288" w:lineRule="auto"/>
        <w:ind w:left="0"/>
      </w:pPr>
    </w:p>
    <w:p>
      <w:pPr>
        <w:numPr>
          <w:numId w:val="24"/>
        </w:numPr>
        <w:spacing w:before="120" w:after="120" w:line="288" w:lineRule="auto"/>
        <w:ind w:left="0"/>
        <w:jc w:val="left"/>
      </w:pPr>
      <w:r>
        <w:rPr>
          <w:rFonts w:eastAsia="等线" w:ascii="Arial" w:cs="Arial" w:hAnsi="Arial"/>
          <w:sz w:val="22"/>
        </w:rPr>
        <w:t>优质内容共性特征</w:t>
      </w:r>
    </w:p>
    <w:p>
      <w:pPr>
        <w:spacing w:before="120" w:after="120" w:line="288" w:lineRule="auto"/>
        <w:ind w:left="0"/>
        <w:jc w:val="left"/>
      </w:pPr>
      <w:r>
        <w:rPr>
          <w:rFonts w:eastAsia="等线" w:ascii="Arial" w:cs="Arial" w:hAnsi="Arial"/>
          <w:sz w:val="22"/>
        </w:rPr>
        <w:t>1.</w:t>
      </w:r>
      <w:r>
        <w:rPr>
          <w:rFonts w:eastAsia="等线" w:ascii="Arial" w:cs="Arial" w:hAnsi="Arial"/>
          <w:b w:val="true"/>
          <w:sz w:val="22"/>
        </w:rPr>
        <w:t>标题：</w:t>
      </w:r>
      <w:r>
        <w:rPr>
          <w:rFonts w:eastAsia="等线" w:ascii="Arial" w:cs="Arial" w:hAnsi="Arial"/>
          <w:sz w:val="22"/>
        </w:rPr>
        <w:t>普遍采用反问或悬念句式，且直接植入 “宝宝湿巾”“锑”“别被带节奏” 等热点关键词，精准戳中宝妈焦虑，自带点击钩子。立场中立且带引导性，既不制造恐慌，也不直接站队，而是以 “解惑、避坑” 的姿态吸引用户点击。</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619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7"/>
                          <a:stretch>
                            <a:fillRect/>
                          </a:stretch>
                        </pic:blipFill>
                        <pic:spPr>
                          <a:xfrm>
                            <a:off x="0" y="0"/>
                            <a:ext cx="895350" cy="161925"/>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905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8"/>
                          <a:stretch>
                            <a:fillRect/>
                          </a:stretch>
                        </pic:blipFill>
                        <pic:spPr>
                          <a:xfrm>
                            <a:off x="0" y="0"/>
                            <a:ext cx="895350" cy="190500"/>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428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9"/>
                          <a:stretch>
                            <a:fillRect/>
                          </a:stretch>
                        </pic:blipFill>
                        <pic:spPr>
                          <a:xfrm>
                            <a:off x="0" y="0"/>
                            <a:ext cx="895350" cy="142875"/>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619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40"/>
                          <a:stretch>
                            <a:fillRect/>
                          </a:stretch>
                        </pic:blipFill>
                        <pic:spPr>
                          <a:xfrm>
                            <a:off x="0" y="0"/>
                            <a:ext cx="895350" cy="161925"/>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619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41"/>
                          <a:stretch>
                            <a:fillRect/>
                          </a:stretch>
                        </pic:blipFill>
                        <pic:spPr>
                          <a:xfrm>
                            <a:off x="0" y="0"/>
                            <a:ext cx="895350" cy="1619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2.</w:t>
      </w:r>
      <w:r>
        <w:rPr>
          <w:rFonts w:eastAsia="等线" w:ascii="Arial" w:cs="Arial" w:hAnsi="Arial"/>
          <w:b w:val="true"/>
          <w:sz w:val="22"/>
        </w:rPr>
        <w:t>首图：</w:t>
      </w:r>
      <w:r>
        <w:rPr>
          <w:rFonts w:eastAsia="等线" w:ascii="Arial" w:cs="Arial" w:hAnsi="Arial"/>
          <w:sz w:val="22"/>
        </w:rPr>
        <w:t>以大字报形式为主，以超大字号 +红 / 黄等高对比色强化核心问题，画面简洁干净，不堆砌多余元素，配合表情符号或相关的图片强化情绪共鸣，信息极简、主题一目了然，和标题形成强呼应。</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1811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42"/>
                          <a:stretch>
                            <a:fillRect/>
                          </a:stretch>
                        </pic:blipFill>
                        <pic:spPr>
                          <a:xfrm>
                            <a:off x="0" y="0"/>
                            <a:ext cx="895350" cy="1181100"/>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1811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3"/>
                          <a:stretch>
                            <a:fillRect/>
                          </a:stretch>
                        </pic:blipFill>
                        <pic:spPr>
                          <a:xfrm>
                            <a:off x="0" y="0"/>
                            <a:ext cx="895350" cy="1181100"/>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2192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4"/>
                          <a:stretch>
                            <a:fillRect/>
                          </a:stretch>
                        </pic:blipFill>
                        <pic:spPr>
                          <a:xfrm>
                            <a:off x="0" y="0"/>
                            <a:ext cx="895350" cy="1219200"/>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17157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5"/>
                          <a:stretch>
                            <a:fillRect/>
                          </a:stretch>
                        </pic:blipFill>
                        <pic:spPr>
                          <a:xfrm>
                            <a:off x="0" y="0"/>
                            <a:ext cx="895350" cy="1171575"/>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2287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6"/>
                          <a:stretch>
                            <a:fillRect/>
                          </a:stretch>
                        </pic:blipFill>
                        <pic:spPr>
                          <a:xfrm>
                            <a:off x="0" y="0"/>
                            <a:ext cx="895350" cy="12287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3.</w:t>
      </w:r>
      <w:r>
        <w:rPr>
          <w:rFonts w:eastAsia="等线" w:ascii="Arial" w:cs="Arial" w:hAnsi="Arial"/>
          <w:b w:val="true"/>
          <w:sz w:val="22"/>
        </w:rPr>
        <w:t>配图：</w:t>
      </w:r>
      <w:r>
        <w:rPr>
          <w:rFonts w:eastAsia="等线" w:ascii="Arial" w:cs="Arial" w:hAnsi="Arial"/>
          <w:sz w:val="22"/>
        </w:rPr>
        <w:t>核心素材均为权威背书类内容（官方声明、第三方检测报告、客服聊天记录、国标原文等），从根源上打消用户顾虑。并且，以红框标注关键数据、压字点明重点和结论、自制对比表格等形式，对复杂信息做了轻量化处理，把专业数据变成用户能快速看懂的信息。逻辑上也形成完整闭环，从行业标准科普→产品检测数据→品牌官方回应，层层递进，让结论更有说服力。</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18110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7"/>
                          <a:stretch>
                            <a:fillRect/>
                          </a:stretch>
                        </pic:blipFill>
                        <pic:spPr>
                          <a:xfrm>
                            <a:off x="0" y="0"/>
                            <a:ext cx="895350" cy="1181100"/>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1906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8"/>
                          <a:stretch>
                            <a:fillRect/>
                          </a:stretch>
                        </pic:blipFill>
                        <pic:spPr>
                          <a:xfrm>
                            <a:off x="0" y="0"/>
                            <a:ext cx="895350" cy="1190625"/>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18110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9"/>
                          <a:stretch>
                            <a:fillRect/>
                          </a:stretch>
                        </pic:blipFill>
                        <pic:spPr>
                          <a:xfrm>
                            <a:off x="0" y="0"/>
                            <a:ext cx="895350" cy="1181100"/>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25730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50"/>
                          <a:stretch>
                            <a:fillRect/>
                          </a:stretch>
                        </pic:blipFill>
                        <pic:spPr>
                          <a:xfrm>
                            <a:off x="0" y="0"/>
                            <a:ext cx="895350" cy="1257300"/>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20015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51"/>
                          <a:stretch>
                            <a:fillRect/>
                          </a:stretch>
                        </pic:blipFill>
                        <pic:spPr>
                          <a:xfrm>
                            <a:off x="0" y="0"/>
                            <a:ext cx="895350" cy="12001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4.</w:t>
      </w:r>
      <w:r>
        <w:rPr>
          <w:rFonts w:eastAsia="等线" w:ascii="Arial" w:cs="Arial" w:hAnsi="Arial"/>
          <w:b w:val="true"/>
          <w:sz w:val="22"/>
        </w:rPr>
        <w:t>文案：</w:t>
      </w:r>
      <w:r>
        <w:rPr>
          <w:rFonts w:eastAsia="等线" w:ascii="Arial" w:cs="Arial" w:hAnsi="Arial"/>
          <w:sz w:val="22"/>
        </w:rPr>
        <w:t>文案部分定位清晰，开篇就表明，基本一眼就能看出是辟谣 / 科普向内容。逻辑完整，都是先安抚情绪（“别慌，没必要扔湿巾”）→再科普真相（锑的来源、国标背景）→最后给出解决方案（怎么选、选什么）。在表达上也兼顾了专业与通俗，引用国标编号、检测数据，但全程用宝妈口吻和大白话，避免生硬说教，既权威又亲切，用户看完既能懂，也能被种草。</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5716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52"/>
                          <a:stretch>
                            <a:fillRect/>
                          </a:stretch>
                        </pic:blipFill>
                        <pic:spPr>
                          <a:xfrm>
                            <a:off x="0" y="0"/>
                            <a:ext cx="895350" cy="1571625"/>
                          </a:xfrm>
                          <a:prstGeom prst="rect">
                            <a:avLst/>
                          </a:prstGeom>
                        </pic:spPr>
                      </pic:pic>
                    </a:graphicData>
                  </a:graphic>
                </wp:inline>
              </w:drawing>
            </w:r>
          </w:p>
          <w:p>
            <w:pPr>
              <w:spacing w:before="120" w:after="120" w:line="288" w:lineRule="auto"/>
              <w:ind w:left="0"/>
              <w:jc w:val="left"/>
            </w:pP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252412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53"/>
                          <a:stretch>
                            <a:fillRect/>
                          </a:stretch>
                        </pic:blipFill>
                        <pic:spPr>
                          <a:xfrm>
                            <a:off x="0" y="0"/>
                            <a:ext cx="895350" cy="2524125"/>
                          </a:xfrm>
                          <a:prstGeom prst="rect">
                            <a:avLst/>
                          </a:prstGeom>
                        </pic:spPr>
                      </pic:pic>
                    </a:graphicData>
                  </a:graphic>
                </wp:inline>
              </w:drawing>
            </w: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29540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4"/>
                          <a:stretch>
                            <a:fillRect/>
                          </a:stretch>
                        </pic:blipFill>
                        <pic:spPr>
                          <a:xfrm>
                            <a:off x="0" y="0"/>
                            <a:ext cx="895350" cy="1295400"/>
                          </a:xfrm>
                          <a:prstGeom prst="rect">
                            <a:avLst/>
                          </a:prstGeom>
                        </pic:spPr>
                      </pic:pic>
                    </a:graphicData>
                  </a:graphic>
                </wp:inline>
              </w:drawing>
            </w:r>
          </w:p>
          <w:p>
            <w:pPr>
              <w:spacing w:before="120" w:after="120" w:line="288" w:lineRule="auto"/>
              <w:ind w:left="0"/>
              <w:jc w:val="left"/>
            </w:pP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72402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55"/>
                          <a:stretch>
                            <a:fillRect/>
                          </a:stretch>
                        </pic:blipFill>
                        <pic:spPr>
                          <a:xfrm>
                            <a:off x="0" y="0"/>
                            <a:ext cx="895350" cy="1724025"/>
                          </a:xfrm>
                          <a:prstGeom prst="rect">
                            <a:avLst/>
                          </a:prstGeom>
                        </pic:spPr>
                      </pic:pic>
                    </a:graphicData>
                  </a:graphic>
                </wp:inline>
              </w:drawing>
            </w:r>
          </w:p>
          <w:p>
            <w:pPr>
              <w:spacing w:before="120" w:after="120" w:line="288" w:lineRule="auto"/>
              <w:ind w:left="0"/>
              <w:jc w:val="left"/>
            </w:pPr>
          </w:p>
        </w:tc>
        <w:tc>
          <w:tcPr>
            <w:tcW w:w="1656" w:type="dxa"/>
            <w:tcMar>
              <w:top w:type="dxa" w:w="60"/>
              <w:left w:type="dxa" w:w="120"/>
              <w:bottom w:type="dxa" w:w="30"/>
              <w:right w:type="dxa" w:w="120"/>
            </w:tcMar>
          </w:tcPr>
          <w:p>
            <w:pPr>
              <w:spacing w:before="120" w:after="120" w:line="288" w:lineRule="auto"/>
              <w:ind w:left="0"/>
              <w:jc w:val="center"/>
            </w:pPr>
            <w:r>
              <w:drawing>
                <wp:inline distT="0" distR="0" distB="0" distL="0">
                  <wp:extent cx="895350" cy="104775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6"/>
                          <a:stretch>
                            <a:fillRect/>
                          </a:stretch>
                        </pic:blipFill>
                        <pic:spPr>
                          <a:xfrm>
                            <a:off x="0" y="0"/>
                            <a:ext cx="895350" cy="1047750"/>
                          </a:xfrm>
                          <a:prstGeom prst="rect">
                            <a:avLst/>
                          </a:prstGeom>
                        </pic:spPr>
                      </pic:pic>
                    </a:graphicData>
                  </a:graphic>
                </wp:inline>
              </w:drawing>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numPr>
          <w:numId w:val="25"/>
        </w:numPr>
        <w:spacing w:before="120" w:after="120" w:line="288" w:lineRule="auto"/>
        <w:ind w:left="0"/>
        <w:jc w:val="left"/>
      </w:pPr>
      <w:r>
        <w:rPr>
          <w:rFonts w:eastAsia="等线" w:ascii="Arial" w:cs="Arial" w:hAnsi="Arial"/>
          <w:b w:val="true"/>
          <w:sz w:val="22"/>
        </w:rPr>
        <w:t>低效内容问题归因</w:t>
      </w:r>
    </w:p>
    <w:p>
      <w:pPr>
        <w:spacing w:before="120" w:after="120" w:line="288" w:lineRule="auto"/>
        <w:ind w:left="0"/>
        <w:jc w:val="left"/>
      </w:pPr>
      <w:r>
        <w:rPr>
          <w:rFonts w:eastAsia="等线" w:ascii="Arial" w:cs="Arial" w:hAnsi="Arial"/>
          <w:b w:val="true"/>
          <w:sz w:val="22"/>
        </w:rPr>
        <w:t>整体核心问题：</w:t>
      </w:r>
      <w:r>
        <w:rPr>
          <w:rFonts w:eastAsia="等线" w:ascii="Arial" w:cs="Arial" w:hAnsi="Arial"/>
          <w:sz w:val="22"/>
        </w:rPr>
        <w:t>多数内容</w:t>
      </w:r>
      <w:r>
        <w:rPr>
          <w:rFonts w:eastAsia="等线" w:ascii="Arial" w:cs="Arial" w:hAnsi="Arial"/>
          <w:sz w:val="22"/>
        </w:rPr>
        <w:t>为</w:t>
      </w:r>
      <w:r>
        <w:rPr>
          <w:rFonts w:eastAsia="等线" w:ascii="Arial" w:cs="Arial" w:hAnsi="Arial"/>
          <w:sz w:val="22"/>
        </w:rPr>
        <w:t>“科学讲解+反辟谣”的固定套路，同质化现象突出，内容框架、表达形式、核心观点</w:t>
      </w:r>
      <w:r>
        <w:rPr>
          <w:rFonts w:eastAsia="等线" w:ascii="Arial" w:cs="Arial" w:hAnsi="Arial"/>
          <w:sz w:val="22"/>
        </w:rPr>
        <w:t>主要以辟谣+统一口径为主</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评论区问题：</w:t>
      </w:r>
      <w:r>
        <w:rPr>
          <w:rFonts w:eastAsia="等线" w:ascii="Arial" w:cs="Arial" w:hAnsi="Arial"/>
          <w:sz w:val="22"/>
        </w:rPr>
        <w:t>达人在发布笔记内容后</w:t>
      </w:r>
      <w:r>
        <w:rPr>
          <w:rFonts w:eastAsia="等线" w:ascii="Arial" w:cs="Arial" w:hAnsi="Arial"/>
          <w:sz w:val="22"/>
        </w:rPr>
        <w:t>，未主动引导用户留言提问、分享观点，未能为评论区互动营造基础氛围，直接导致评论区活跃度</w:t>
      </w:r>
      <w:r>
        <w:rPr>
          <w:rFonts w:eastAsia="等线" w:ascii="Arial" w:cs="Arial" w:hAnsi="Arial"/>
          <w:sz w:val="22"/>
        </w:rPr>
        <w:t>不高。</w:t>
      </w:r>
    </w:p>
    <w:p>
      <w:pPr>
        <w:pBdr>
          <w:bottom w:val="single" w:color="dee0e3"/>
          <w:between w:val="single" w:color="dee0e3"/>
        </w:pBdr>
        <w:spacing w:before="120" w:after="120" w:line="288" w:lineRule="auto"/>
        <w:ind w:left="0"/>
      </w:pPr>
    </w:p>
    <w:p>
      <w:pPr>
        <w:numPr>
          <w:numId w:val="26"/>
        </w:numPr>
        <w:spacing w:before="120" w:after="120" w:line="288" w:lineRule="auto"/>
        <w:ind w:left="0"/>
        <w:jc w:val="left"/>
      </w:pPr>
      <w:r>
        <w:rPr>
          <w:rFonts w:eastAsia="等线" w:ascii="Arial" w:cs="Arial" w:hAnsi="Arial"/>
          <w:b w:val="true"/>
          <w:sz w:val="22"/>
        </w:rPr>
        <w:t>后续优化方向</w:t>
      </w:r>
    </w:p>
    <w:p>
      <w:pPr>
        <w:spacing w:before="120" w:after="120" w:line="288" w:lineRule="auto"/>
        <w:ind w:left="0"/>
        <w:jc w:val="left"/>
      </w:pPr>
      <w:r>
        <w:rPr>
          <w:rFonts w:eastAsia="等线" w:ascii="Arial" w:cs="Arial" w:hAnsi="Arial"/>
          <w:sz w:val="22"/>
        </w:rPr>
        <w:t>1、</w:t>
      </w:r>
      <w:r>
        <w:rPr>
          <w:rFonts w:eastAsia="等线" w:ascii="Arial" w:cs="Arial" w:hAnsi="Arial"/>
          <w:b w:val="true"/>
          <w:sz w:val="22"/>
        </w:rPr>
        <w:t>内容端：</w:t>
      </w:r>
      <w:r>
        <w:rPr>
          <w:rFonts w:eastAsia="等线" w:ascii="Arial" w:cs="Arial" w:hAnsi="Arial"/>
          <w:sz w:val="22"/>
        </w:rPr>
        <w:t>优化内容逻辑，</w:t>
      </w:r>
      <w:r>
        <w:rPr>
          <w:rFonts w:eastAsia="等线" w:ascii="Arial" w:cs="Arial" w:hAnsi="Arial"/>
          <w:sz w:val="22"/>
        </w:rPr>
        <w:t>在</w:t>
      </w:r>
      <w:r>
        <w:rPr>
          <w:rFonts w:eastAsia="等线" w:ascii="Arial" w:cs="Arial" w:hAnsi="Arial"/>
          <w:sz w:val="22"/>
        </w:rPr>
        <w:t>科普讲解</w:t>
      </w:r>
      <w:r>
        <w:rPr>
          <w:rFonts w:eastAsia="等线" w:ascii="Arial" w:cs="Arial" w:hAnsi="Arial"/>
          <w:sz w:val="22"/>
        </w:rPr>
        <w:t>+辟谣的同时</w:t>
      </w:r>
      <w:r>
        <w:rPr>
          <w:rFonts w:eastAsia="等线" w:ascii="Arial" w:cs="Arial" w:hAnsi="Arial"/>
          <w:sz w:val="22"/>
        </w:rPr>
        <w:t>，深度融入宝妈日常护理场景，强化内容实用价值，贴合用户核心需求；聚焦儿科医生、博士宝妈等细分人设标签，强化专业背书，打造差异化内容记忆点。</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媒介</w:t>
      </w:r>
      <w:r>
        <w:rPr>
          <w:rFonts w:eastAsia="等线" w:ascii="Arial" w:cs="Arial" w:hAnsi="Arial"/>
          <w:b w:val="true"/>
          <w:sz w:val="22"/>
        </w:rPr>
        <w:t>端：</w:t>
      </w:r>
      <w:r>
        <w:rPr>
          <w:rFonts w:eastAsia="等线" w:ascii="Arial" w:cs="Arial" w:hAnsi="Arial"/>
          <w:sz w:val="22"/>
        </w:rPr>
        <w:t>达人选择上，避开泛母婴类达人，精准筛选宝妈、新手妈妈及母婴用品核心粉丝占比高的达人</w:t>
      </w:r>
      <w:r>
        <w:rPr>
          <w:rFonts w:eastAsia="等线" w:ascii="Arial" w:cs="Arial" w:hAnsi="Arial"/>
          <w:b w:val="true"/>
          <w:sz w:val="22"/>
        </w:rPr>
        <w:t>；</w:t>
      </w:r>
      <w:r>
        <w:rPr>
          <w:rFonts w:eastAsia="等线" w:ascii="Arial" w:cs="Arial" w:hAnsi="Arial"/>
          <w:sz w:val="22"/>
        </w:rPr>
        <w:t>投放时段精准贴合宝妈活跃高峰（早 8 点、午 12 点、晚 8-10 点）</w:t>
      </w:r>
      <w:r>
        <w:rPr>
          <w:rFonts w:eastAsia="等线" w:ascii="Arial" w:cs="Arial" w:hAnsi="Arial"/>
          <w:sz w:val="22"/>
        </w:rPr>
        <w:t>，投放声量会有更好提升</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达人沟通层面：</w:t>
      </w:r>
      <w:r>
        <w:rPr>
          <w:rFonts w:eastAsia="等线" w:ascii="Arial" w:cs="Arial" w:hAnsi="Arial"/>
          <w:sz w:val="22"/>
        </w:rPr>
        <w:t>明确要求达人提升评论区互动频率，及时、认真回复用户各类评论，同时主动发起贴合内容主题的互动话题（如 “你们家宝宝用的哪种湿巾？评论区交流分享～”），有效</w:t>
      </w:r>
      <w:r>
        <w:rPr>
          <w:rFonts w:eastAsia="等线" w:ascii="Arial" w:cs="Arial" w:hAnsi="Arial"/>
          <w:sz w:val="22"/>
        </w:rPr>
        <w:t>改善</w:t>
      </w:r>
      <w:r>
        <w:rPr>
          <w:rFonts w:eastAsia="等线" w:ascii="Arial" w:cs="Arial" w:hAnsi="Arial"/>
          <w:sz w:val="22"/>
        </w:rPr>
        <w:t>当前评论量少、互动不足的短板，提升内容整体互动率。</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七、项目总结——邹芮</w:t>
      </w:r>
      <w:bookmarkEnd w:id="2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22" w:id="22"/>
            <w:r>
              <w:rPr>
                <w:rFonts w:eastAsia="等线" w:ascii="Arial" w:cs="Arial" w:hAnsi="Arial"/>
                <w:b w:val="true"/>
                <w:sz w:val="24"/>
              </w:rPr>
              <w:t>一、本期项目挑战</w:t>
            </w:r>
            <w:bookmarkEnd w:id="22"/>
          </w:p>
          <w:p>
            <w:pPr>
              <w:numPr>
                <w:numId w:val="27"/>
              </w:numPr>
              <w:spacing w:before="120" w:after="120" w:line="288" w:lineRule="auto"/>
              <w:ind w:left="0"/>
              <w:jc w:val="left"/>
            </w:pPr>
            <w:r>
              <w:rPr>
                <w:rFonts w:eastAsia="等线" w:ascii="Arial" w:cs="Arial" w:hAnsi="Arial"/>
                <w:sz w:val="22"/>
              </w:rPr>
              <w:t>困难点</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color w:val="646a73"/>
                      <w:sz w:val="22"/>
                    </w:rPr>
                    <w:t>突发舆情应对时间紧迫：本次投放面临的是“Babycare湿巾含锑”谣言的突发危机，需在极短时间内完成20位达人的紧急投放与内容上线，从选号建联到执行发布的时间周期短，正向内容投放必须与负面舆情"抢时间、抢流量"。</w:t>
                  </w:r>
                </w:p>
                <w:p>
                  <w:pPr>
                    <w:numPr>
                      <w:numId w:val="29"/>
                    </w:numPr>
                    <w:spacing w:before="120" w:after="120" w:line="288" w:lineRule="auto"/>
                    <w:ind w:left="0"/>
                    <w:jc w:val="left"/>
                  </w:pPr>
                  <w:r>
                    <w:rPr>
                      <w:rFonts w:eastAsia="等线" w:ascii="Arial" w:cs="Arial" w:hAnsi="Arial"/>
                      <w:color w:val="646a73"/>
                      <w:sz w:val="22"/>
                    </w:rPr>
                    <w:t>用户安全焦虑情绪高涨：母婴品类用户对婴童接触类产品安全敏感度极高，谣言引发了大面积恐慌和信任危机，任何数据引用、检测报告展示或科普表述的细微偏差，都可能被用户放大解读，从"辟谣"滑向"实锤"，反而加剧恐慌情绪。</w:t>
                  </w:r>
                </w:p>
                <w:p>
                  <w:pPr>
                    <w:numPr>
                      <w:numId w:val="30"/>
                    </w:numPr>
                    <w:spacing w:before="120" w:after="120" w:line="288" w:lineRule="auto"/>
                    <w:ind w:left="0"/>
                    <w:jc w:val="left"/>
                  </w:pPr>
                  <w:r>
                    <w:rPr>
                      <w:rFonts w:eastAsia="等线" w:ascii="Arial" w:cs="Arial" w:hAnsi="Arial"/>
                      <w:color w:val="646a73"/>
                      <w:sz w:val="22"/>
                    </w:rPr>
                    <w:t>稿件内容审核把握：审核环节必须逐字核对国标条文、检测数值与品牌官方声明口径的一致性，确保所有内容既专业权威又通俗易懂，避免因表述生硬或信息过载引发二次舆情风险。同时，需严格把控达人内容的立场边界，既要中立理性地安抚焦虑，又不能过度承诺或回避问题。</w:t>
                  </w:r>
                </w:p>
              </w:tc>
            </w:tr>
          </w:tbl>
          <w:p>
            <w:pPr>
              <w:numPr>
                <w:numId w:val="31"/>
              </w:numPr>
              <w:spacing w:before="120" w:after="120" w:line="288" w:lineRule="auto"/>
              <w:ind w:left="0"/>
              <w:jc w:val="left"/>
            </w:pPr>
            <w:r>
              <w:rPr>
                <w:rFonts w:eastAsia="等线" w:ascii="Arial" w:cs="Arial" w:hAnsi="Arial"/>
                <w:sz w:val="22"/>
              </w:rPr>
              <w:t>不足之处</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numPr>
                      <w:numId w:val="32"/>
                    </w:numPr>
                    <w:spacing w:before="120" w:after="120" w:line="288" w:lineRule="auto"/>
                    <w:ind w:left="0"/>
                    <w:jc w:val="left"/>
                  </w:pPr>
                  <w:r>
                    <w:rPr>
                      <w:rFonts w:eastAsia="等线" w:ascii="Arial" w:cs="Arial" w:hAnsi="Arial"/>
                      <w:color w:val="646a73"/>
                      <w:sz w:val="22"/>
                    </w:rPr>
                    <w:t>内容同质化：多数笔记陷入"科学讲解+反辟谣"的固定套路，缺乏差异化和创新视角，导致部分内容易被平台算法判定为重复内容，自然流量倾斜不足。</w:t>
                  </w:r>
                </w:p>
                <w:p>
                  <w:pPr>
                    <w:numPr>
                      <w:numId w:val="33"/>
                    </w:numPr>
                    <w:spacing w:before="120" w:after="120" w:line="288" w:lineRule="auto"/>
                    <w:ind w:left="0"/>
                    <w:jc w:val="left"/>
                  </w:pPr>
                  <w:r>
                    <w:rPr>
                      <w:rFonts w:eastAsia="等线" w:ascii="Arial" w:cs="Arial" w:hAnsi="Arial"/>
                      <w:color w:val="646a73"/>
                      <w:sz w:val="22"/>
                    </w:rPr>
                    <w:t>互动引导缺失：达人在评论区互动环节互动率较低，用户更多的是浏览笔记，对话题讨论或引发共鸣的互动较少。</w:t>
                  </w:r>
                </w:p>
                <w:p>
                  <w:pPr>
                    <w:numPr>
                      <w:numId w:val="34"/>
                    </w:numPr>
                    <w:spacing w:before="120" w:after="120" w:line="288" w:lineRule="auto"/>
                    <w:ind w:left="0"/>
                    <w:jc w:val="left"/>
                  </w:pPr>
                  <w:r>
                    <w:rPr>
                      <w:rFonts w:eastAsia="等线" w:ascii="Arial" w:cs="Arial" w:hAnsi="Arial"/>
                      <w:color w:val="646a73"/>
                      <w:sz w:val="22"/>
                    </w:rPr>
                    <w:t>优质内容产出少：20篇内容中仅5篇达到A级优质，其余15篇为B级达标，说明内容质量分化明显，部分笔记在点击率、互动率上表现偏弱。</w:t>
                  </w:r>
                </w:p>
              </w:tc>
            </w:tr>
          </w:tbl>
          <w:p>
            <w:pPr>
              <w:pStyle w:val="5"/>
              <w:spacing w:before="240" w:after="120" w:line="288" w:lineRule="auto"/>
              <w:ind w:left="0"/>
              <w:jc w:val="left"/>
              <w:outlineLvl w:val="4"/>
            </w:pPr>
            <w:bookmarkStart w:name="heading_23" w:id="23"/>
            <w:r>
              <w:rPr>
                <w:rFonts w:eastAsia="等线" w:ascii="Arial" w:cs="Arial" w:hAnsi="Arial"/>
                <w:b w:val="true"/>
                <w:sz w:val="24"/>
              </w:rPr>
              <w:t>二、亮点可延用</w:t>
            </w:r>
            <w:bookmarkEnd w:id="23"/>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color w:val="646a73"/>
                      <w:sz w:val="22"/>
                    </w:rPr>
                    <w:t>"科普辟谣+产品种草"双轨内容策略有效，可以在科普相关母婴护理干货的同时进行种草，会减少一定的营销感。</w:t>
                  </w:r>
                </w:p>
                <w:p>
                  <w:pPr>
                    <w:numPr>
                      <w:numId w:val="36"/>
                    </w:numPr>
                    <w:spacing w:before="120" w:after="120" w:line="288" w:lineRule="auto"/>
                    <w:ind w:left="0"/>
                    <w:jc w:val="left"/>
                  </w:pPr>
                  <w:r>
                    <w:rPr>
                      <w:rFonts w:eastAsia="等线" w:ascii="Arial" w:cs="Arial" w:hAnsi="Arial"/>
                      <w:color w:val="646a73"/>
                      <w:sz w:val="22"/>
                    </w:rPr>
                    <w:t>权威背书类素材：使用官方声明、第三方检测报告、国标原文、等作为核心配图，并以红框标注、自制对比表格数据的呈现使文章内容更加直观，提高用户阅读量。</w:t>
                  </w:r>
                </w:p>
              </w:tc>
            </w:tr>
          </w:tbl>
          <w:p>
            <w:pPr>
              <w:jc w:val="left"/>
            </w:pPr>
          </w:p>
        </w:tc>
      </w:tr>
    </w:tbl>
    <w:p>
      <w:pPr>
        <w:spacing w:before="120" w:after="120" w:line="288" w:lineRule="auto"/>
        <w:ind w:left="0"/>
        <w:jc w:val="left"/>
      </w:pPr>
    </w:p>
    <w:sectPr>
      <w:footerReference w:type="default" r:id="rId3"/>
      <w:headerReference w:type="default" r:id="rId5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99269">
    <w:lvl>
      <w:numFmt w:val="bullet"/>
      <w:suff w:val="tab"/>
      <w:lvlText w:val="•"/>
      <w:rPr>
        <w:color w:val="3370ff"/>
      </w:rPr>
    </w:lvl>
  </w:abstractNum>
  <w:abstractNum w:abstractNumId="699270">
    <w:lvl>
      <w:numFmt w:val="bullet"/>
      <w:suff w:val="tab"/>
      <w:lvlText w:val="•"/>
      <w:rPr>
        <w:color w:val="3370ff"/>
      </w:rPr>
    </w:lvl>
  </w:abstractNum>
  <w:abstractNum w:abstractNumId="699271">
    <w:lvl>
      <w:numFmt w:val="bullet"/>
      <w:suff w:val="tab"/>
      <w:lvlText w:val="•"/>
      <w:rPr>
        <w:color w:val="3370ff"/>
      </w:rPr>
    </w:lvl>
  </w:abstractNum>
  <w:abstractNum w:abstractNumId="699272">
    <w:lvl>
      <w:numFmt w:val="bullet"/>
      <w:suff w:val="tab"/>
      <w:lvlText w:val="•"/>
      <w:rPr>
        <w:color w:val="3370ff"/>
      </w:rPr>
    </w:lvl>
  </w:abstractNum>
  <w:abstractNum w:abstractNumId="699273">
    <w:lvl>
      <w:numFmt w:val="bullet"/>
      <w:suff w:val="tab"/>
      <w:lvlText w:val="•"/>
      <w:rPr>
        <w:color w:val="3370ff"/>
      </w:rPr>
    </w:lvl>
  </w:abstractNum>
  <w:abstractNum w:abstractNumId="699274">
    <w:lvl>
      <w:numFmt w:val="bullet"/>
      <w:suff w:val="tab"/>
      <w:lvlText w:val="•"/>
      <w:rPr>
        <w:color w:val="3370ff"/>
      </w:rPr>
    </w:lvl>
  </w:abstractNum>
  <w:abstractNum w:abstractNumId="699275">
    <w:lvl>
      <w:numFmt w:val="bullet"/>
      <w:suff w:val="tab"/>
      <w:lvlText w:val="•"/>
      <w:rPr>
        <w:color w:val="3370ff"/>
      </w:rPr>
    </w:lvl>
  </w:abstractNum>
  <w:abstractNum w:abstractNumId="699276">
    <w:lvl>
      <w:numFmt w:val="bullet"/>
      <w:suff w:val="tab"/>
      <w:lvlText w:val="•"/>
      <w:rPr>
        <w:color w:val="3370ff"/>
      </w:rPr>
    </w:lvl>
  </w:abstractNum>
  <w:abstractNum w:abstractNumId="699277">
    <w:lvl>
      <w:numFmt w:val="bullet"/>
      <w:suff w:val="tab"/>
      <w:lvlText w:val="•"/>
      <w:rPr>
        <w:color w:val="3370ff"/>
      </w:rPr>
    </w:lvl>
  </w:abstractNum>
  <w:abstractNum w:abstractNumId="699278">
    <w:lvl>
      <w:numFmt w:val="bullet"/>
      <w:suff w:val="tab"/>
      <w:lvlText w:val="•"/>
      <w:rPr>
        <w:color w:val="3370ff"/>
      </w:rPr>
    </w:lvl>
  </w:abstractNum>
  <w:abstractNum w:abstractNumId="699279">
    <w:lvl>
      <w:numFmt w:val="bullet"/>
      <w:suff w:val="tab"/>
      <w:lvlText w:val="•"/>
      <w:rPr>
        <w:color w:val="3370ff"/>
      </w:rPr>
    </w:lvl>
  </w:abstractNum>
  <w:abstractNum w:abstractNumId="699280">
    <w:lvl>
      <w:numFmt w:val="bullet"/>
      <w:suff w:val="tab"/>
      <w:lvlText w:val="•"/>
      <w:rPr>
        <w:color w:val="3370ff"/>
      </w:rPr>
    </w:lvl>
  </w:abstractNum>
  <w:abstractNum w:abstractNumId="699281">
    <w:lvl>
      <w:numFmt w:val="bullet"/>
      <w:suff w:val="tab"/>
      <w:lvlText w:val="•"/>
      <w:rPr>
        <w:color w:val="3370ff"/>
      </w:rPr>
    </w:lvl>
  </w:abstractNum>
  <w:abstractNum w:abstractNumId="699282">
    <w:lvl>
      <w:numFmt w:val="bullet"/>
      <w:suff w:val="tab"/>
      <w:lvlText w:val="•"/>
      <w:rPr>
        <w:color w:val="3370ff"/>
      </w:rPr>
    </w:lvl>
  </w:abstractNum>
  <w:abstractNum w:abstractNumId="699283">
    <w:lvl>
      <w:numFmt w:val="bullet"/>
      <w:suff w:val="tab"/>
      <w:lvlText w:val="•"/>
      <w:rPr>
        <w:color w:val="3370ff"/>
      </w:rPr>
    </w:lvl>
  </w:abstractNum>
  <w:abstractNum w:abstractNumId="699284">
    <w:lvl>
      <w:numFmt w:val="bullet"/>
      <w:suff w:val="tab"/>
      <w:lvlText w:val="•"/>
      <w:rPr>
        <w:color w:val="3370ff"/>
      </w:rPr>
    </w:lvl>
  </w:abstractNum>
  <w:abstractNum w:abstractNumId="699285">
    <w:lvl>
      <w:numFmt w:val="bullet"/>
      <w:suff w:val="tab"/>
      <w:lvlText w:val="•"/>
      <w:rPr>
        <w:color w:val="3370ff"/>
      </w:rPr>
    </w:lvl>
  </w:abstractNum>
  <w:abstractNum w:abstractNumId="699286">
    <w:lvl>
      <w:numFmt w:val="bullet"/>
      <w:suff w:val="tab"/>
      <w:lvlText w:val="•"/>
      <w:rPr>
        <w:color w:val="3370ff"/>
      </w:rPr>
    </w:lvl>
  </w:abstractNum>
  <w:abstractNum w:abstractNumId="699287">
    <w:lvl>
      <w:numFmt w:val="bullet"/>
      <w:suff w:val="tab"/>
      <w:lvlText w:val="•"/>
      <w:rPr>
        <w:color w:val="3370ff"/>
      </w:rPr>
    </w:lvl>
  </w:abstractNum>
  <w:abstractNum w:abstractNumId="699288">
    <w:lvl>
      <w:numFmt w:val="bullet"/>
      <w:suff w:val="tab"/>
      <w:lvlText w:val="•"/>
      <w:rPr>
        <w:color w:val="3370ff"/>
      </w:rPr>
    </w:lvl>
  </w:abstractNum>
  <w:abstractNum w:abstractNumId="699289">
    <w:lvl>
      <w:numFmt w:val="bullet"/>
      <w:suff w:val="tab"/>
      <w:lvlText w:val="•"/>
      <w:rPr>
        <w:color w:val="3370ff"/>
      </w:rPr>
    </w:lvl>
  </w:abstractNum>
  <w:abstractNum w:abstractNumId="699290">
    <w:lvl>
      <w:numFmt w:val="bullet"/>
      <w:suff w:val="tab"/>
      <w:lvlText w:val="•"/>
      <w:rPr>
        <w:color w:val="3370ff"/>
      </w:rPr>
    </w:lvl>
  </w:abstractNum>
  <w:abstractNum w:abstractNumId="699291">
    <w:lvl>
      <w:numFmt w:val="bullet"/>
      <w:suff w:val="tab"/>
      <w:lvlText w:val="•"/>
      <w:rPr>
        <w:color w:val="3370ff"/>
      </w:rPr>
    </w:lvl>
  </w:abstractNum>
  <w:abstractNum w:abstractNumId="699292">
    <w:lvl>
      <w:numFmt w:val="bullet"/>
      <w:suff w:val="tab"/>
      <w:lvlText w:val="•"/>
      <w:rPr>
        <w:color w:val="3370ff"/>
      </w:rPr>
    </w:lvl>
  </w:abstractNum>
  <w:abstractNum w:abstractNumId="699293">
    <w:lvl>
      <w:numFmt w:val="bullet"/>
      <w:suff w:val="tab"/>
      <w:lvlText w:val="•"/>
      <w:rPr>
        <w:color w:val="3370ff"/>
      </w:rPr>
    </w:lvl>
  </w:abstractNum>
  <w:abstractNum w:abstractNumId="699294">
    <w:lvl>
      <w:numFmt w:val="bullet"/>
      <w:suff w:val="tab"/>
      <w:lvlText w:val="•"/>
      <w:rPr>
        <w:color w:val="3370ff"/>
      </w:rPr>
    </w:lvl>
  </w:abstractNum>
  <w:abstractNum w:abstractNumId="699295">
    <w:lvl>
      <w:start w:val="1"/>
      <w:numFmt w:val="decimal"/>
      <w:suff w:val="tab"/>
      <w:lvlText w:val="%1."/>
      <w:rPr>
        <w:color w:val="3370ff"/>
      </w:rPr>
    </w:lvl>
  </w:abstractNum>
  <w:abstractNum w:abstractNumId="699296">
    <w:lvl>
      <w:numFmt w:val="bullet"/>
      <w:suff w:val="tab"/>
      <w:lvlText w:val="•"/>
      <w:rPr>
        <w:color w:val="3370ff"/>
      </w:rPr>
    </w:lvl>
  </w:abstractNum>
  <w:abstractNum w:abstractNumId="699297">
    <w:lvl>
      <w:numFmt w:val="bullet"/>
      <w:suff w:val="tab"/>
      <w:lvlText w:val="•"/>
      <w:rPr>
        <w:color w:val="3370ff"/>
      </w:rPr>
    </w:lvl>
  </w:abstractNum>
  <w:abstractNum w:abstractNumId="699298">
    <w:lvl>
      <w:numFmt w:val="bullet"/>
      <w:suff w:val="tab"/>
      <w:lvlText w:val="•"/>
      <w:rPr>
        <w:color w:val="3370ff"/>
      </w:rPr>
    </w:lvl>
  </w:abstractNum>
  <w:abstractNum w:abstractNumId="699299">
    <w:lvl>
      <w:start w:val="2"/>
      <w:numFmt w:val="decimal"/>
      <w:suff w:val="tab"/>
      <w:lvlText w:val="%1."/>
      <w:rPr>
        <w:color w:val="3370ff"/>
      </w:rPr>
    </w:lvl>
  </w:abstractNum>
  <w:abstractNum w:abstractNumId="699300">
    <w:lvl>
      <w:numFmt w:val="bullet"/>
      <w:suff w:val="tab"/>
      <w:lvlText w:val="•"/>
      <w:rPr>
        <w:color w:val="3370ff"/>
      </w:rPr>
    </w:lvl>
  </w:abstractNum>
  <w:abstractNum w:abstractNumId="699301">
    <w:lvl>
      <w:numFmt w:val="bullet"/>
      <w:suff w:val="tab"/>
      <w:lvlText w:val="•"/>
      <w:rPr>
        <w:color w:val="3370ff"/>
      </w:rPr>
    </w:lvl>
  </w:abstractNum>
  <w:abstractNum w:abstractNumId="699302">
    <w:lvl>
      <w:numFmt w:val="bullet"/>
      <w:suff w:val="tab"/>
      <w:lvlText w:val="•"/>
      <w:rPr>
        <w:color w:val="3370ff"/>
      </w:rPr>
    </w:lvl>
  </w:abstractNum>
  <w:abstractNum w:abstractNumId="699303">
    <w:lvl>
      <w:numFmt w:val="bullet"/>
      <w:suff w:val="tab"/>
      <w:lvlText w:val="•"/>
      <w:rPr>
        <w:color w:val="3370ff"/>
      </w:rPr>
    </w:lvl>
  </w:abstractNum>
  <w:abstractNum w:abstractNumId="699304">
    <w:lvl>
      <w:numFmt w:val="bullet"/>
      <w:suff w:val="tab"/>
      <w:lvlText w:val="•"/>
      <w:rPr>
        <w:color w:val="3370ff"/>
      </w:rPr>
    </w:lvl>
  </w:abstractNum>
  <w:num w:numId="1">
    <w:abstractNumId w:val="699269"/>
  </w:num>
  <w:num w:numId="2">
    <w:abstractNumId w:val="699270"/>
  </w:num>
  <w:num w:numId="3">
    <w:abstractNumId w:val="699271"/>
  </w:num>
  <w:num w:numId="4">
    <w:abstractNumId w:val="699272"/>
  </w:num>
  <w:num w:numId="5">
    <w:abstractNumId w:val="699273"/>
  </w:num>
  <w:num w:numId="6">
    <w:abstractNumId w:val="699274"/>
  </w:num>
  <w:num w:numId="7">
    <w:abstractNumId w:val="699275"/>
  </w:num>
  <w:num w:numId="8">
    <w:abstractNumId w:val="699276"/>
  </w:num>
  <w:num w:numId="9">
    <w:abstractNumId w:val="699277"/>
  </w:num>
  <w:num w:numId="10">
    <w:abstractNumId w:val="699278"/>
  </w:num>
  <w:num w:numId="11">
    <w:abstractNumId w:val="699279"/>
  </w:num>
  <w:num w:numId="12">
    <w:abstractNumId w:val="699280"/>
  </w:num>
  <w:num w:numId="13">
    <w:abstractNumId w:val="699281"/>
  </w:num>
  <w:num w:numId="14">
    <w:abstractNumId w:val="699282"/>
  </w:num>
  <w:num w:numId="15">
    <w:abstractNumId w:val="699283"/>
  </w:num>
  <w:num w:numId="16">
    <w:abstractNumId w:val="699284"/>
  </w:num>
  <w:num w:numId="17">
    <w:abstractNumId w:val="699285"/>
  </w:num>
  <w:num w:numId="18">
    <w:abstractNumId w:val="699286"/>
  </w:num>
  <w:num w:numId="19">
    <w:abstractNumId w:val="699287"/>
  </w:num>
  <w:num w:numId="20">
    <w:abstractNumId w:val="699288"/>
  </w:num>
  <w:num w:numId="21">
    <w:abstractNumId w:val="699289"/>
  </w:num>
  <w:num w:numId="22">
    <w:abstractNumId w:val="699290"/>
  </w:num>
  <w:num w:numId="23">
    <w:abstractNumId w:val="699291"/>
  </w:num>
  <w:num w:numId="24">
    <w:abstractNumId w:val="699292"/>
  </w:num>
  <w:num w:numId="25">
    <w:abstractNumId w:val="699293"/>
  </w:num>
  <w:num w:numId="26">
    <w:abstractNumId w:val="699294"/>
  </w:num>
  <w:num w:numId="27">
    <w:abstractNumId w:val="699295"/>
  </w:num>
  <w:num w:numId="28">
    <w:abstractNumId w:val="699296"/>
  </w:num>
  <w:num w:numId="29">
    <w:abstractNumId w:val="699297"/>
  </w:num>
  <w:num w:numId="30">
    <w:abstractNumId w:val="699298"/>
  </w:num>
  <w:num w:numId="31">
    <w:abstractNumId w:val="699299"/>
  </w:num>
  <w:num w:numId="32">
    <w:abstractNumId w:val="699300"/>
  </w:num>
  <w:num w:numId="33">
    <w:abstractNumId w:val="699301"/>
  </w:num>
  <w:num w:numId="34">
    <w:abstractNumId w:val="699302"/>
  </w:num>
  <w:num w:numId="35">
    <w:abstractNumId w:val="699303"/>
  </w:num>
  <w:num w:numId="36">
    <w:abstractNumId w:val="6993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jpeg" Type="http://schemas.openxmlformats.org/officeDocument/2006/relationships/image"/><Relationship Id="rId16" Target="media/image11.jpe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embeddings/Microsoft_Excel_Worksheet2.xlsx" Type="http://schemas.openxmlformats.org/officeDocument/2006/relationships/package"/><Relationship Id="rId26" Target="media/image20.png" Type="http://schemas.openxmlformats.org/officeDocument/2006/relationships/image"/><Relationship Id="rId27" Target="media/image21.png" Type="http://schemas.openxmlformats.org/officeDocument/2006/relationships/image"/><Relationship Id="rId28" Target="https://www.xiaohongshu.com/discovery/item/69e318b0000000001e00cd21?source=webshare&amp;xhsshare=pc_web&amp;xsec_token=CBp4twXCGlRGf8EfBRlgsh87R-2NZYiCSqlUa_ZZew_d0=&amp;xsec_source=pc_share" TargetMode="External" Type="http://schemas.openxmlformats.org/officeDocument/2006/relationships/hyperlink"/><Relationship Id="rId29" Target="media/image22.png" Type="http://schemas.openxmlformats.org/officeDocument/2006/relationships/image"/><Relationship Id="rId3" Target="footer1.xml" Type="http://schemas.openxmlformats.org/officeDocument/2006/relationships/footer"/><Relationship Id="rId30" Target="https://www.xiaohongshu.com/discovery/item/69e5e9900000000020039597?source=webshare&amp;xhsshare=pc_web&amp;xsec_token=CBvRCVejTabHhLj8_UPNdWGba0Vltk5e1l9KkPrzc9BPI=&amp;xsec_source=pc_share" TargetMode="External" Type="http://schemas.openxmlformats.org/officeDocument/2006/relationships/hyperlink"/><Relationship Id="rId31" Target="media/image23.png" Type="http://schemas.openxmlformats.org/officeDocument/2006/relationships/image"/><Relationship Id="rId32" Target="https://www.xiaohongshu.com/explore/69e5f1890000000022001c2b?xsec_token=MBGHJmZqUDLvAcfParXE-_1gwx5jL1BO8W5grt-kZPJzo=&amp;xsec_source=pc_pgy" TargetMode="External" Type="http://schemas.openxmlformats.org/officeDocument/2006/relationships/hyperlink"/><Relationship Id="rId33" Target="media/image24.png" Type="http://schemas.openxmlformats.org/officeDocument/2006/relationships/image"/><Relationship Id="rId34" Target="https://www.xiaohongshu.com/explore/69e2f7cb00000000210397fe?xsec_token=MBoZ7nUPxmx7sfHs-yE0hgV7_3xqcgJOsTYEEwYMz2RMs=&amp;xsec_source=pc_pgy" TargetMode="External" Type="http://schemas.openxmlformats.org/officeDocument/2006/relationships/hyperlink"/><Relationship Id="rId35" Target="media/image25.png" Type="http://schemas.openxmlformats.org/officeDocument/2006/relationships/image"/><Relationship Id="rId36" Target="media/image26.png" Type="http://schemas.openxmlformats.org/officeDocument/2006/relationships/image"/><Relationship Id="rId37" Target="media/image27.png" Type="http://schemas.openxmlformats.org/officeDocument/2006/relationships/image"/><Relationship Id="rId38" Target="media/image28.png" Type="http://schemas.openxmlformats.org/officeDocument/2006/relationships/image"/><Relationship Id="rId39" Target="media/image29.png" Type="http://schemas.openxmlformats.org/officeDocument/2006/relationships/image"/><Relationship Id="rId4" Target="embeddings/Microsoft_Excel_Worksheet1.xlsx" Type="http://schemas.openxmlformats.org/officeDocument/2006/relationships/package"/><Relationship Id="rId40" Target="media/image30.png" Type="http://schemas.openxmlformats.org/officeDocument/2006/relationships/image"/><Relationship Id="rId41" Target="media/image31.png" Type="http://schemas.openxmlformats.org/officeDocument/2006/relationships/image"/><Relationship Id="rId42" Target="media/image32.png" Type="http://schemas.openxmlformats.org/officeDocument/2006/relationships/image"/><Relationship Id="rId43" Target="media/image33.png" Type="http://schemas.openxmlformats.org/officeDocument/2006/relationships/image"/><Relationship Id="rId44" Target="media/image34.png" Type="http://schemas.openxmlformats.org/officeDocument/2006/relationships/image"/><Relationship Id="rId45" Target="media/image35.png" Type="http://schemas.openxmlformats.org/officeDocument/2006/relationships/image"/><Relationship Id="rId46" Target="media/image36.png" Type="http://schemas.openxmlformats.org/officeDocument/2006/relationships/image"/><Relationship Id="rId47" Target="media/image37.png" Type="http://schemas.openxmlformats.org/officeDocument/2006/relationships/image"/><Relationship Id="rId48" Target="media/image38.png" Type="http://schemas.openxmlformats.org/officeDocument/2006/relationships/image"/><Relationship Id="rId49" Target="media/image39.png" Type="http://schemas.openxmlformats.org/officeDocument/2006/relationships/image"/><Relationship Id="rId5" Target="media/image1.png" Type="http://schemas.openxmlformats.org/officeDocument/2006/relationships/image"/><Relationship Id="rId50" Target="media/image40.png" Type="http://schemas.openxmlformats.org/officeDocument/2006/relationships/image"/><Relationship Id="rId51" Target="media/image41.png" Type="http://schemas.openxmlformats.org/officeDocument/2006/relationships/image"/><Relationship Id="rId52" Target="media/image42.png" Type="http://schemas.openxmlformats.org/officeDocument/2006/relationships/image"/><Relationship Id="rId53" Target="media/image43.png" Type="http://schemas.openxmlformats.org/officeDocument/2006/relationships/image"/><Relationship Id="rId54" Target="media/image44.png" Type="http://schemas.openxmlformats.org/officeDocument/2006/relationships/image"/><Relationship Id="rId55" Target="media/image45.png" Type="http://schemas.openxmlformats.org/officeDocument/2006/relationships/image"/><Relationship Id="rId56" Target="media/image46.png" Type="http://schemas.openxmlformats.org/officeDocument/2006/relationships/image"/><Relationship Id="rId57" Target="header1.xml" Type="http://schemas.openxmlformats.org/officeDocument/2006/relationships/header"/><Relationship Id="rId6" Target="media/image2.png" Type="http://schemas.openxmlformats.org/officeDocument/2006/relationships/image"/><Relationship Id="rId7" Target="numbering.xml" Type="http://schemas.openxmlformats.org/officeDocument/2006/relationships/numbering"/><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2026-07-31T07:42:00Z</dcterms:created>
  <dc:creator>Apache POI</dc:creator>
</cp:coreProperties>
</file>