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60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60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(73 domain classes, 96 operations, 78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(twelve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name, channel, country and category on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73 domain classes plus 7 business-rule error classes.</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98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9675"/>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304925"/>
                    </a:xfrm>
                    <a:prstGeom prst="rect">
                      <a:avLst/>
                    </a:prstGeom>
                  </pic:spPr>
                </pic:pic>
              </a:graphicData>
            </a:graphic>
          </wp:inline>
        </w:drawing>
      </w:r>
    </w:p>
    <w:p>
      <w:r>
        <w:rPr>
          <w:b/>
          <w:bCs/>
        </w:rPr>
        <w:t xml:space="preserve">Figure 5. Case hierarchy</w:t>
      </w:r>
    </w:p>
    <w:p>
      <w:pPr>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336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0"/>
        <w:gridCol w:w="6856"/>
      </w:tblGrid>
      <w:tr>
        <w:trPr>
          <w:tblHeader/>
        </w:trPr>
        <w:tc>
          <w:tcPr>
            <w:tcW w:type="dxa" w:w="217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85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and audit</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96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78</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78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60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and four tests that check the brief's own requirements from the code: at least 30 classes and 30 operations, multi-level inheritance, that the diagrams name only real classes, and that the whole demonstration runs with a zero trial balance.</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Organization</w:t>
      </w:r>
      <w:r>
        <w:t xml:space="preserve"> adds what only legal entities have: registration number, officers, beneficial owners, mandates and a stricter KYC rule (the organisation </w:t>
      </w:r>
      <w:r>
        <w:rPr>
          <w:i/>
          <w:iCs/>
        </w:rPr>
        <w:t xml:space="preserve">and</w:t>
      </w:r>
      <w:r>
        <w:t xml:space="preserve"> every connected person must be verified), so it overrides </w:t>
      </w:r>
      <w:r>
        <w:rPr>
          <w:rFonts w:ascii="Consolas" w:cs="Consolas" w:eastAsia="Consolas" w:hAnsi="Consolas"/>
          <w:sz w:val="19"/>
          <w:szCs w:val="19"/>
        </w:rPr>
        <w:t xml:space="preserve">kyc_gaps</w:t>
      </w:r>
      <w:r>
        <w:t xml:space="preserv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and the officer title differs. Each overrides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is a small standalone class; a merchant is recorded on the card payment.</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108 transactions, 10 cases, 284 audit events, 27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2"/>
        <w:gridCol w:w="2424"/>
        <w:gridCol w:w="3094"/>
        <w:gridCol w:w="3096"/>
      </w:tblGrid>
      <w:tr>
        <w:trPr>
          <w:tblHeader/>
        </w:trPr>
        <w:tc>
          <w:tcPr>
            <w:tcW w:type="dxa" w:w="41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4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9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bills, card search</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view-only user refused a bill payment; large tax bill waits for a second signatory; one search finds payments on all three cards in the chain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Merchants are recorded on the payment rather than modelled as counterparties.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operations console (optional GUI)</w:t>
      </w:r>
    </w:p>
    <w:p>
      <w:r>
        <w:t xml:space="preserve">The brief assesses classes and inheritance, so the interface was built to make the model visible and testable, not to add business logic. </w:t>
      </w:r>
      <w:r>
        <w:rPr>
          <w:rFonts w:ascii="Consolas" w:cs="Consolas" w:eastAsia="Consolas" w:hAnsi="Consolas"/>
          <w:sz w:val="19"/>
          <w:szCs w:val="19"/>
        </w:rPr>
        <w:t xml:space="preserve">banking_gui.py</w:t>
      </w:r>
      <w:r>
        <w:t xml:space="preserve"> is a desktop console in pure Python (Tkinter and ttk, from the standard library). It imports </w:t>
      </w:r>
      <w:r>
        <w:rPr>
          <w:rFonts w:ascii="Consolas" w:cs="Consolas" w:eastAsia="Consolas" w:hAnsi="Consolas"/>
          <w:sz w:val="19"/>
          <w:szCs w:val="19"/>
        </w:rPr>
        <w:t xml:space="preserve">banking_system.py</w:t>
      </w:r>
      <w:r>
        <w:t xml:space="preserve"> and does not change it.</w:t>
      </w:r>
    </w:p>
    <w:p>
      <w:r>
        <w:rPr>
          <w:b/>
          <w:bCs/>
        </w:rPr>
        <w:t xml:space="preserve">Two rules keep it honest.</w:t>
      </w:r>
      <w:r>
        <w:t xml:space="preserve"> Every button calls exactly one </w:t>
      </w:r>
      <w:r>
        <w:rPr>
          <w:rFonts w:ascii="Consolas" w:cs="Consolas" w:eastAsia="Consolas" w:hAnsi="Consolas"/>
          <w:sz w:val="19"/>
          <w:szCs w:val="19"/>
        </w:rPr>
        <w:t xml:space="preserve">Bank</w:t>
      </w:r>
      <w:r>
        <w:t xml:space="preserve"> operation, so every rule, refusal and audit event is the model's own. A refusal is shown with the model's error class (for example </w:t>
      </w:r>
      <w:r>
        <w:rPr>
          <w:rFonts w:ascii="Consolas" w:cs="Consolas" w:eastAsia="Consolas" w:hAnsi="Consolas"/>
          <w:sz w:val="19"/>
          <w:szCs w:val="19"/>
        </w:rPr>
        <w:t xml:space="preserve">AuthorityError</w:t>
      </w:r>
      <w:r>
        <w:t xml:space="preserve">) and message, and a refused payment is shown as "refused, kept on record" because the model keeps it as FAILED or DECLINED.</w:t>
      </w:r>
    </w:p>
    <w:p>
      <w:r>
        <w:rPr>
          <w:b/>
          <w:bCs/>
        </w:rPr>
        <w:t xml:space="preserve">It is 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Window, sidebar, top bar (business date, books status, advance day or month, reset), outcome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card widgets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validity periods as ribbons on a time axis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Theme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only object that talks to the model; a result in words; a form definition; colours, fonts and styles</w:t>
            </w:r>
          </w:p>
        </w:tc>
      </w:tr>
    </w:tbl>
    <w:p>
      <w:pPr>
        <w:spacing w:after="60"/>
      </w:pPr>
    </w:p>
    <w:p>
      <w:r>
        <w:rPr>
          <w:rFonts w:ascii="Consolas" w:cs="Consolas" w:eastAsia="Consolas" w:hAnsi="Consolas"/>
          <w:sz w:val="19"/>
          <w:szCs w:val="19"/>
        </w:rPr>
        <w:t xml:space="preserve">MasterDetailPage</w:t>
      </w:r>
      <w:r>
        <w:t xml:space="preserve"> is a three-level hierarchy (</w:t>
      </w:r>
      <w:r>
        <w:rPr>
          <w:rFonts w:ascii="Consolas" w:cs="Consolas" w:eastAsia="Consolas" w:hAnsi="Consolas"/>
          <w:sz w:val="19"/>
          <w:szCs w:val="19"/>
        </w:rPr>
        <w:t xml:space="preserve">ttk.Frame -&gt; Page -&gt; MasterDetailPage -&gt; CustomersPage</w:t>
      </w:r>
      <w:r>
        <w:t xml:space="preserve">) chosen for the same reason as the model's hierarchies: every list screen shares the same layout and behaviour, and only the columns and the detail rendering differ.</w:t>
      </w:r>
    </w:p>
    <w:p>
      <w:r>
        <w:rPr>
          <w:b/>
          <w:bCs/>
        </w:rPr>
        <w:t xml:space="preserve">Figure 9. Overview:</w:t>
      </w:r>
      <w:r>
        <w:t xml:space="preserve"> balances, work waiting for action (authorise or release from here), recent audit events, and the books status.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09975"/>
                    </a:xfrm>
                    <a:prstGeom prst="rect">
                      <a:avLst/>
                    </a:prstGeom>
                  </pic:spPr>
                </pic:pic>
              </a:graphicData>
            </a:graphic>
          </wp:inline>
        </w:drawing>
      </w:r>
    </w:p>
    <w:p>
      <w:r>
        <w:rPr>
          <w:b/>
          <w:bCs/>
        </w:rPr>
        <w:t xml:space="preserve">Figure 10.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 customer with one record and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09975"/>
                    </a:xfrm>
                    <a:prstGeom prst="rect">
                      <a:avLst/>
                    </a:prstGeom>
                  </pic:spPr>
                </pic:pic>
              </a:graphicData>
            </a:graphic>
          </wp:inline>
        </w:drawing>
      </w:r>
    </w:p>
    <w:p>
      <w:r>
        <w:rPr>
          <w:b/>
          <w:bCs/>
        </w:rPr>
        <w:t xml:space="preserve">Figure 12.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09975"/>
                    </a:xfrm>
                    <a:prstGeom prst="rect">
                      <a:avLst/>
                    </a:prstGeom>
                  </pic:spPr>
                </pic:pic>
              </a:graphicData>
            </a:graphic>
          </wp:inline>
        </w:drawing>
      </w:r>
    </w:p>
    <w:p>
      <w:r>
        <w:rPr>
          <w:b/>
          <w:bCs/>
        </w:rPr>
        <w:t xml:space="preserve">Figure 13.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Class model read from the code at runtime,</w:t>
      </w:r>
      <w:r>
        <w:t xml:space="preserve"> with what each level adds and live object counts.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ceaa94cc6032cf1bdb187ab5ebdb820f133bc2.png"/><Relationship Id="rId9" Type="http://schemas.openxmlformats.org/officeDocument/2006/relationships/image" Target="media/b503da790d29f3a21f298dc7ee40f8c82fd308ae.png"/><Relationship Id="rId10" Type="http://schemas.openxmlformats.org/officeDocument/2006/relationships/image" Target="media/c8bfba44be1551af6bff8f5938803b9bd6e3d83a.png"/><Relationship Id="rId11" Type="http://schemas.openxmlformats.org/officeDocument/2006/relationships/image" Target="media/39ca54e508782ca4b9dcff7bfd65f5faf0c8ef18.png"/><Relationship Id="rId12" Type="http://schemas.openxmlformats.org/officeDocument/2006/relationships/image" Target="media/15d7e849b99be52477def5ab11146ffa3c21a6cf.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23ba10b4c7d43f12f8de03eed0c01cde62848bd2.png"/><Relationship Id="rId17" Type="http://schemas.openxmlformats.org/officeDocument/2006/relationships/image" Target="media/787b8b368a186dc75ce9b5fea619f3d05d97924c.png"/><Relationship Id="rId18" Type="http://schemas.openxmlformats.org/officeDocument/2006/relationships/image" Target="media/012aa9330a1b9023b65107843f845fba1bc7fc95.png"/><Relationship Id="rId19" Type="http://schemas.openxmlformats.org/officeDocument/2006/relationships/image" Target="media/8549d62a3093df4b1eed7e922c0a83213e83f3b9.png"/><Relationship Id="rId20" Type="http://schemas.openxmlformats.org/officeDocument/2006/relationships/image" Target="media/527584ce8c611665288a4a8587652b8961581a7a.png"/><Relationship Id="rId21" Type="http://schemas.openxmlformats.org/officeDocument/2006/relationships/image" Target="media/7bb49875abadd754fbdc5852bcc5b063b232266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2026-09-25T16:28:48.351Z</dcterms:created>
  <dcterms:modified xsi:type="dcterms:W3CDTF">2026-09-25T16:28:48.351Z</dcterms:modified>
</cp:coreProperties>
</file>

<file path=docProps/custom.xml><?xml version="1.0" encoding="utf-8"?>
<Properties xmlns="http://schemas.openxmlformats.org/officeDocument/2006/custom-properties" xmlns:vt="http://schemas.openxmlformats.org/officeDocument/2006/docPropsVTypes"/>
</file>