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13 scenarios, 49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49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A28)</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(67 domain classes, 78 operations)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(ten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(thirteen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 / chargeback</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Undoing a posted transaction by posting an equal and opposite one; the original remains.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with a business segment,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or a closed validity period.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bl>
    <w:p>
      <w:pPr>
        <w:spacing w:after="60"/>
      </w:pPr>
    </w:p>
    <w:p>
      <w:pPr>
        <w:pStyle w:val="Heading1"/>
        <w:pageBreakBefore/>
      </w:pPr>
      <w:r>
        <w:t xml:space="preserve">3. Requirements interpretation</w:t>
      </w:r>
    </w:p>
    <w:p>
      <w:r>
        <w:rPr>
          <w:b/>
          <w:bCs/>
        </w:rPr>
        <w:t xml:space="preserve">Main records.</w:t>
      </w:r>
      <w:r>
        <w:t xml:space="preserve"> Parties (people, companies, charities) with their documents, checks, officer roles, ownerships and mandates; the customer relationship; branches, employees and role assignments; product definitions with versioned terms; customer arrangements (current, savings, financing); immutable ledger entries, holds and restrictions; beneficiaries with versions; standing orders; transactions of several kinds; the bank's own general-ledger accounts; issued cards; financing applications, conditions, schedules and installments; cases (service requests, disputes, complaints, fraud alerts, investigations, collections) with notes and evidence; statements, notices and an audit log.</w:t>
      </w:r>
    </w:p>
    <w:p>
      <w:r>
        <w:rPr>
          <w:b/>
          <w:bCs/>
        </w:rPr>
        <w:t xml:space="preserve">Main workflows.</w:t>
      </w:r>
      <w:r>
        <w:t xml:space="preserve"> Onboarding with KYC and relationship-manager assignment; account opening; cash deposits and withdrawals; beneficiary management and transfers with dual control; standing orders; card issuance, use, blocking and replacement; financing from application through delegated approval, conditions, disbursement, repayment, arrears, restructuring and settlement; fraud and compliance review; disputes and complaints; product and branch lifecycle.</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1"/>
        <w:pageBreakBefore/>
      </w:pPr>
      <w:r>
        <w:t xml:space="preserve">4. Class model</w:t>
      </w:r>
    </w:p>
    <w:p>
      <w:r>
        <w:t xml:space="preserve">67 domain classes plus 7 business-rule error classes. The diagram is generated from the live classes by </w:t>
      </w:r>
      <w:r>
        <w:rPr>
          <w:rFonts w:ascii="Consolas" w:cs="Consolas" w:eastAsia="Consolas" w:hAnsi="Consolas"/>
          <w:sz w:val="19"/>
          <w:szCs w:val="19"/>
        </w:rPr>
        <w:t xml:space="preserve">python banking_system.py --diagram docs</w:t>
      </w:r>
      <w:r>
        <w:t xml:space="preserve">, so it cannot drift from the code.</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2420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9245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533525"/>
                    </a:xfrm>
                    <a:prstGeom prst="rect">
                      <a:avLst/>
                    </a:prstGeom>
                  </pic:spPr>
                </pic:pic>
              </a:graphicData>
            </a:graphic>
          </wp:inline>
        </w:drawing>
      </w:r>
    </w:p>
    <w:p>
      <w:r>
        <w:rPr>
          <w:b/>
          <w:bCs/>
        </w:rPr>
        <w:t xml:space="preserve">Figure 5. Case hierarchy</w:t>
      </w:r>
    </w:p>
    <w:p>
      <w:pPr>
        <w:jc w:val="center"/>
      </w:pPr>
      <w:r>
        <w:drawing>
          <wp:inline distT="0" distB="0" distL="0" distR="0">
            <wp:extent cx="5905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3840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0"/>
        <w:gridCol w:w="6856"/>
      </w:tblGrid>
      <w:tr>
        <w:trPr>
          <w:tblHeader/>
        </w:trPr>
        <w:tc>
          <w:tcPr>
            <w:tcW w:type="dxa" w:w="217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85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and audit</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78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p>
        </w:tc>
      </w:tr>
    </w:tbl>
    <w:p>
      <w:pPr>
        <w:spacing w:after="60"/>
      </w:pPr>
    </w:p>
    <w:p>
      <w:r>
        <w:t xml:space="preserve">Even counting only the 66 commands, the model is more than twice the brief's minimum of 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and cash</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and reporting</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49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and four tests that check the brief's own requirements from the code: at least 30 classes and 30 operations, multi-level inheritance, that the diagrams name only real classes, and that the whole demonstration runs with a zero trial balance.</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Organization</w:t>
      </w:r>
      <w:r>
        <w:t xml:space="preserve"> adds what only legal entities have: registration number, officers, beneficial owners, mandates and a stricter KYC rule (the organisation </w:t>
      </w:r>
      <w:r>
        <w:rPr>
          <w:i/>
          <w:iCs/>
        </w:rPr>
        <w:t xml:space="preserve">and</w:t>
      </w:r>
      <w:r>
        <w:t xml:space="preserve"> every connected person must be verified), so it overrides </w:t>
      </w:r>
      <w:r>
        <w:rPr>
          <w:rFonts w:ascii="Consolas" w:cs="Consolas" w:eastAsia="Consolas" w:hAnsi="Consolas"/>
          <w:sz w:val="19"/>
          <w:szCs w:val="19"/>
        </w:rPr>
        <w:t xml:space="preserve">kyc_gaps</w:t>
      </w:r>
      <w:r>
        <w:t xml:space="preserv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and the officer title differs. Each overrides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and merchant.</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InternalTransfer.</w:t>
      </w:r>
      <w:r>
        <w:t xml:space="preserve"> These are transactions (they post and have statuses) but share nothing further with each other. A reversal is a transaction in its own right, not a flag on the original. </w:t>
      </w:r>
      <w:r>
        <w:rPr>
          <w:rFonts w:ascii="Consolas" w:cs="Consolas" w:eastAsia="Consolas" w:hAnsi="Consolas"/>
          <w:sz w:val="19"/>
          <w:szCs w:val="19"/>
        </w:rPr>
        <w:t xml:space="preserve">InternalTransfer</w:t>
      </w:r>
      <w:r>
        <w:t xml:space="preserve"> moves money between the bank's own ledgers (vault cash on branch closure).</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r>
        <w:rPr>
          <w:b/>
          <w:bCs/>
        </w:rPr>
        <w:t xml:space="preserve">Why this design beats the obvious alternative.</w:t>
      </w:r>
      <w:r>
        <w:t xml:space="preserve"> The obvious model is "everything is an account" with a customer class holding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card_number</w:t>
      </w:r>
      <w:r>
        <w:t xml:space="preserve">, </w:t>
      </w:r>
      <w:r>
        <w:rPr>
          <w:rFonts w:ascii="Consolas" w:cs="Consolas" w:eastAsia="Consolas" w:hAnsi="Consolas"/>
          <w:sz w:val="19"/>
          <w:szCs w:val="19"/>
        </w:rPr>
        <w:t xml:space="preserve">interest_rate</w:t>
      </w:r>
      <w:r>
        <w:t xml:space="preserve">, </w:t>
      </w:r>
      <w:r>
        <w:rPr>
          <w:rFonts w:ascii="Consolas" w:cs="Consolas" w:eastAsia="Consolas" w:hAnsi="Consolas"/>
          <w:sz w:val="19"/>
          <w:szCs w:val="19"/>
        </w:rPr>
        <w:t xml:space="preserve">is_blocked</w:t>
      </w:r>
      <w:r>
        <w:t xml:space="preserve">). It fails every critical case in the brief: changing a flag destroys the fact that it was once different, one card number cannot represent a replacement chain, and one rate cannot represent a customer pinned to old terms. The chosen design keeps inheritance only where behaviour genuinely differs and uses dated composition everywhere else, so every historical question stays answerable.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eight staff, six products, sixteen people (eight of them staff), one company, one charity, four deposit accounts, five cards, two beneficiaries, a standing order and a financing facility. It then runs a simulated calendar from January 2026 to February 2027; the daily batch runs standing orders, arrears checks, month-end fees and savings interest automatically. The full output is in </w:t>
      </w:r>
      <w:r>
        <w:rPr>
          <w:rFonts w:ascii="Consolas" w:cs="Consolas" w:eastAsia="Consolas" w:hAnsi="Consolas"/>
          <w:sz w:val="19"/>
          <w:szCs w:val="19"/>
        </w:rPr>
        <w:t xml:space="preserve">docs/demo_output.txt</w:t>
      </w:r>
      <w:r>
        <w:t xml:space="preserve">: 71 transactions, 10 cases, 210 audit events, 20 refused actions, each naming the rule, and a zero trial balance.</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5"/>
        <w:gridCol w:w="1572"/>
        <w:gridCol w:w="3493"/>
        <w:gridCol w:w="3496"/>
      </w:tblGrid>
      <w:tr>
        <w:trPr>
          <w:tblHeader/>
        </w:trPr>
        <w:tc>
          <w:tcPr>
            <w:tcW w:type="dxa" w:w="46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157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49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49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partially refunded; a second dispute and a second resolution are refused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triggers collections; restructure; approver promoted; early settlement; restructuring the settled loan refused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bl>
    <w:p>
      <w:pPr>
        <w:spacing w:after="60"/>
      </w:pPr>
    </w:p>
    <w:p>
      <w:r>
        <w:t xml:space="preserve">All ten critical cases listed in the brief for Problem 4 are covered.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login: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d7d7f591ca8a765a087571d12556d2976bfb249.png"/><Relationship Id="rId9" Type="http://schemas.openxmlformats.org/officeDocument/2006/relationships/image" Target="media/b503da790d29f3a21f298dc7ee40f8c82fd308ae.png"/><Relationship Id="rId10" Type="http://schemas.openxmlformats.org/officeDocument/2006/relationships/image" Target="media/7ce32c2a60b6ba5d5d12adbe8f966cec7155a838.png"/><Relationship Id="rId11" Type="http://schemas.openxmlformats.org/officeDocument/2006/relationships/image" Target="media/8200c334821b36bf50c14e4cb832fd7d48095b74.png"/><Relationship Id="rId12" Type="http://schemas.openxmlformats.org/officeDocument/2006/relationships/image" Target="media/1514bf2e6b30e1c0275c3823060df529cf0d8223.png"/><Relationship Id="rId13" Type="http://schemas.openxmlformats.org/officeDocument/2006/relationships/image" Target="media/5d9d895d8128e276df0846d30d84f897c89adb63.png"/><Relationship Id="rId14" Type="http://schemas.openxmlformats.org/officeDocument/2006/relationships/image" Target="media/4894da8352aa9a6a3340add3965d3abe7f4a411c.png"/><Relationship Id="rId15" Type="http://schemas.openxmlformats.org/officeDocument/2006/relationships/image" Target="media/9cff0483f8d765ee7e005d2b6654051a0fc3432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2026-09-25T16:01:25.455Z</dcterms:created>
  <dcterms:modified xsi:type="dcterms:W3CDTF">2026-09-25T16:01:25.455Z</dcterms:modified>
</cp:coreProperties>
</file>

<file path=docProps/custom.xml><?xml version="1.0" encoding="utf-8"?>
<Properties xmlns="http://schemas.openxmlformats.org/officeDocument/2006/custom-properties" xmlns:vt="http://schemas.openxmlformats.org/officeDocument/2006/docPropsVTypes"/>
</file>