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97E23" w14:textId="77777777" w:rsidR="007811D7" w:rsidRPr="00F432CE" w:rsidRDefault="007811D7" w:rsidP="00F432CE">
      <w:pPr>
        <w:ind w:firstLine="720"/>
        <w:rPr>
          <w:rFonts w:cstheme="minorHAnsi"/>
        </w:rPr>
      </w:pPr>
    </w:p>
    <w:p w14:paraId="6F68B9B0" w14:textId="77777777" w:rsidR="003B245B" w:rsidRPr="00F432CE" w:rsidRDefault="003B245B" w:rsidP="00F432CE">
      <w:pPr>
        <w:ind w:firstLine="720"/>
        <w:rPr>
          <w:rFonts w:cstheme="minorHAnsi"/>
        </w:rPr>
      </w:pPr>
    </w:p>
    <w:p w14:paraId="1FA87EE3" w14:textId="77777777" w:rsidR="003B245B" w:rsidRPr="00F432CE" w:rsidRDefault="003B245B" w:rsidP="00F432CE">
      <w:pPr>
        <w:ind w:firstLine="720"/>
        <w:rPr>
          <w:rFonts w:cstheme="minorHAnsi"/>
        </w:rPr>
      </w:pPr>
    </w:p>
    <w:p w14:paraId="1E189E50" w14:textId="55648E63" w:rsidR="00884142" w:rsidRPr="00F404C4" w:rsidRDefault="00884142" w:rsidP="00884142">
      <w:pPr>
        <w:pStyle w:val="1"/>
      </w:pPr>
      <w:r>
        <w:t xml:space="preserve">Recent Advances and Challenges in Deep Learning: Architectures, Applications, and Ethical Considerations</w:t>
      </w:r>
    </w:p>
    <w:p w14:paraId="317E205B" w14:textId="56402420" w:rsidR="003B245B" w:rsidRPr="00F404C4" w:rsidRDefault="003B245B" w:rsidP="00F404C4">
      <w:pPr>
        <w:pStyle w:val="1"/>
      </w:pPr>
    </w:p>
    <w:p w14:paraId="4EAC0CDD" w14:textId="77777777" w:rsidR="003B245B" w:rsidRPr="00F432CE" w:rsidRDefault="003B245B" w:rsidP="00F432CE">
      <w:pPr>
        <w:ind w:firstLine="720"/>
        <w:rPr>
          <w:rFonts w:cstheme="minorHAnsi"/>
        </w:rPr>
      </w:pPr>
    </w:p>
    <w:p w14:paraId="397650E7" w14:textId="4033D13D" w:rsidR="00884142" w:rsidRPr="00F432CE" w:rsidRDefault="00884142" w:rsidP="00884142">
      <w:pPr>
        <w:jc w:val="center"/>
        <w:rPr>
          <w:rFonts w:cstheme="minorHAnsi"/>
        </w:rPr>
      </w:pPr>
      <w:r w:rsidRPr="00884142">
        <w:rPr>
          <w:rFonts w:cstheme="minorHAnsi"/>
        </w:rPr>
        <w:t>Anonymous Submission</w:t>
      </w:r>
    </w:p>
    <w:p w14:paraId="2DE470B4" w14:textId="36EA98ED" w:rsidR="003B245B" w:rsidRPr="00F432CE" w:rsidRDefault="003B245B" w:rsidP="00F404C4">
      <w:pPr>
        <w:jc w:val="center"/>
        <w:rPr>
          <w:rFonts w:cstheme="minorHAnsi"/>
        </w:rPr>
      </w:pPr>
    </w:p>
    <w:p w14:paraId="2FC46782" w14:textId="77777777" w:rsidR="00F432CE" w:rsidRPr="00D2535F" w:rsidRDefault="00F432CE" w:rsidP="00D2535F"/>
    <w:p w14:paraId="1CC3AFF5" w14:textId="77777777" w:rsidR="00F404C4" w:rsidRPr="00D2535F" w:rsidRDefault="00F404C4" w:rsidP="00D2535F"/>
    <w:p w14:paraId="28F8E857" w14:textId="77777777" w:rsidR="00F404C4" w:rsidRPr="00D2535F" w:rsidRDefault="00F404C4" w:rsidP="00D2535F"/>
    <w:p w14:paraId="6FF61351" w14:textId="77777777" w:rsidR="001D408F" w:rsidRPr="00D2535F" w:rsidRDefault="001D408F" w:rsidP="00D2535F"/>
    <w:p w14:paraId="78309D20" w14:textId="77777777" w:rsidR="00D2535F" w:rsidRPr="00D2535F" w:rsidRDefault="00D2535F" w:rsidP="00D2535F"/>
    <w:p w14:paraId="14B9C01B" w14:textId="626662A6" w:rsidR="00F432CE" w:rsidRPr="00F432CE" w:rsidRDefault="002D7590" w:rsidP="002D7590">
      <w:pPr>
        <w:pStyle w:val="1"/>
      </w:pPr>
      <w:r>
        <w:rPr>
          <w:rStyle w:val="aa"/>
          <w:rFonts w:cstheme="minorHAnsi"/>
        </w:rPr>
        <w:br w:type="page"/>
      </w:r>
      <w:r w:rsidR="00F432CE" w:rsidRPr="00F432CE">
        <w:lastRenderedPageBreak/>
        <w:t>Abstract</w:t>
      </w:r>
    </w:p>
    <w:p w14:paraId="350B7D6A" w14:textId="1440044E" w:rsidR="00F432CE" w:rsidRPr="00F432CE" w:rsidRDefault="00884142" w:rsidP="002D7590">
      <w:pPr>
        <w:pStyle w:val="af7"/>
        <w:ind w:firstLine="0"/>
      </w:pPr>
      <w:r>
        <w:t xml:space="preserve">Deep learning has emerged as a transformative force in artificial intelligence, revolutionizing how machines learn from complex data. This paper provides a comprehensive overview of recent breakthroughs in neural network architectures, including Transformers and Graph Neural Networks (GNNs), which have driven significant progress across machine learning domains. We discuss advances in training techniques such as self-supervised learning, meta-learning, and federated learning, highlighting their impact on efficiency and scalability. The paper also explores diverse applications of deep learning in healthcare, autonomous systems, robotics, and natural language processing, showcasing its potential to solve real-world challenges. However, alongside these advancements, we address critical ethical and technical challenges, including algorithmic bias, interpretability, and data privacy concerns. The paper concludes with future directions and open research questions, emphasizing the need for interdisciplinary collaboration to ensure responsible AI development. By synthesizing recent literature and empirical findings, this work offers valuable insights into the current state and future trajectory of deep learning research and applications.</w:t>
      </w:r>
    </w:p>
    <w:p w14:paraId="14D7086D" w14:textId="04184EC0" w:rsidR="00F432CE" w:rsidRPr="00F432CE" w:rsidRDefault="00F432CE" w:rsidP="002D7590">
      <w:pPr>
        <w:pStyle w:val="af7"/>
      </w:pPr>
      <w:r w:rsidRPr="00F432CE">
        <w:rPr>
          <w:i/>
          <w:iCs/>
        </w:rPr>
        <w:t>Keywords:</w:t>
      </w:r>
      <w:r w:rsidRPr="00F432CE">
        <w:t xml:space="preserve"> </w:t>
      </w:r>
      <w:r w:rsidR="00884142" w:rsidRPr="00884142">
        <w:t xml:space="preserve">deep learning, neural networks, machine learning, artificial intelligence, ethical AI</w:t>
      </w:r>
    </w:p>
    <w:p w14:paraId="186B0AED" w14:textId="77777777" w:rsidR="00F432CE" w:rsidRPr="00F432CE" w:rsidRDefault="00F432CE" w:rsidP="00F432CE">
      <w:pPr>
        <w:ind w:firstLine="720"/>
        <w:rPr>
          <w:rFonts w:cstheme="minorHAnsi"/>
        </w:rPr>
      </w:pPr>
      <w:r w:rsidRPr="00F432CE">
        <w:rPr>
          <w:rFonts w:cstheme="minorHAnsi"/>
        </w:rPr>
        <w:br w:type="page"/>
      </w:r>
    </w:p>
    <w:p w14:paraId="5D8EEAF5" w14:textId="5851FC36" w:rsidR="00884142" w:rsidRPr="00F432CE" w:rsidRDefault="00884142" w:rsidP="00884142">
      <w:pPr>
        <w:pStyle w:val="1"/>
      </w:pPr>
      <w:r>
        <w:rPr>
          <w:lang w:eastAsia="zh-CN"/>
        </w:rPr>
        <w:lastRenderedPageBreak/>
        <w:t xml:space="preserve">Recent Advances and Challenges in Deep Learning: Architectures, Applications, and Ethical Considerations</w:t>
      </w:r>
    </w:p>
    <w:p w14:paraId="0F2F8D1C" w14:textId="32BF6A11" w:rsidR="00884142" w:rsidRDefault="00884142" w:rsidP="00884142">
      <w:pPr>
        <w:pStyle w:val="1"/>
      </w:pPr>
      <w:r>
        <w:t xml:space="preserve">Introduction to Deep Learning</w:t>
      </w:r>
    </w:p>
    <w:p w14:paraId="2ADE2D30" w14:textId="77777777" w:rsidR="00884142" w:rsidRDefault="00884142" w:rsidP="00884142">
      <w:pPr>
        <w:pStyle w:val="af7"/>
      </w:pPr>
      <w:r>
        <w:t xml:space="preserve">Deep learning has emerged as a transformative force in artificial intelligence, revolutionizing how machines learn from complex data. Built upon neural networks, this approach has evolved from simple architectures to sophisticated systems capable of processing high-dimensional data across diverse domains. Unlike traditional machine learning, deep learning eliminates manual feature engineering by automatically extracting hierarchical representations, enabling breakthroughs in fields ranging from computer vision to natural language processing. The universal applicability of deep learning stems from its adaptability to various data types, including images, text, network traffic, and medical scans.</w:t>
      </w:r>
    </w:p>
    <w:p>
      <w:pPr>
        <w:pStyle w:val="af7"/>
      </w:pPr>
      <w:r>
        <w:t xml:space="preserve">The historical progression of deep learning reflects its rapid advancement and growing impact. Early neural networks, such as feedforward and recurrent architectures, laid the foundation for modern innovations like transformers and generative adversarial networks (GANs) (Rizvi  Shende, 2024). This evolution has been driven by three key factors: increased computational power, the availability of large-scale datasets, and refined training techniques. In healthcare, deep learning has enhanced diagnostic accuracy in breast MRI through improved image reconstruction and lesion classification (Fujioka et al., 2024). Similarly, cybersecurity applications demonstrate how hybrid deep learning models can classify network traffic with high precision, addressing evolving cyber threats (Gaba et al., 2024). These domain-specific successes underscore deep learning's potential to solve real-world challenges while pushing technological boundaries.</w:t>
      </w:r>
    </w:p>
    <w:p>
      <w:pPr>
        <w:pStyle w:val="af7"/>
      </w:pPr>
      <w:r>
        <w:t xml:space="preserve">While deep learning has achieved remarkable successes, it faces ongoing challenges related to data requirements, computational resources, and ethical considerations. Researchers are addressing these limitations through techniques like data augmentation, transfer learning, and the development of efficient architectures (P et al., 2024), (Krutik et al., 2024). The field continues to evolve with applications in microscopy image enhancement (Dutta et al., 2024) and text-to-image synthesis (Chen, 2024), promising to transform industries and redefine human-machine interaction. As deep learning methodologies advance, they maintain a central position in AI research and development, setting the stage for further innovations in neural network architectures and applications.</w:t>
      </w:r>
    </w:p>
    <w:p w14:paraId="0F2F8D1C" w14:textId="32BF6A11" w:rsidR="00884142" w:rsidRDefault="00884142" w:rsidP="00884142">
      <w:pPr>
        <w:pStyle w:val="1"/>
      </w:pPr>
      <w:r>
        <w:t xml:space="preserve">Recent Breakthroughs in Neural Network Architectures</w:t>
      </w:r>
    </w:p>
    <w:p w14:paraId="2ADE2D30" w14:textId="77777777" w:rsidR="00884142" w:rsidRDefault="00884142" w:rsidP="00884142">
      <w:pPr>
        <w:pStyle w:val="af7"/>
      </w:pPr>
      <w:r>
        <w:t xml:space="preserve">Recent breakthroughs in neural network architectures have driven significant progress across machine learning domains, with Transformers and Graph Neural Networks (GNNs) leading this evolution. Transformers, initially developed for natural language processing, have demonstrated remarkable adaptability to graph-structured data, offering enhanced scalability and performance. Concurrently, GNNs have overcome early limitations in expressive power through innovations like the Identity-aware Graph Neural Network (ID-GNN). As introduced by (You et al., 2021), ID-GNNs extend traditional message-passing frameworks by explicitly incorporating node identities during aggregation. This architecture surpasses the 1-Weisfeiler-Lehman (1-WL) test's constraints, enabling accurate prediction of node clustering coefficients, shortest path distances, and discrimination between d-regular graphs. Empirical results show ID-GNNs achieving 40% higher accuracy on complex property prediction tasks and 15% improved ROC AUC in link prediction compared to conventional GNNs.</w:t>
      </w:r>
    </w:p>
    <w:p>
      <w:pPr>
        <w:pStyle w:val="af7"/>
      </w:pPr>
      <w:r>
        <w:t xml:space="preserve">The practical applications of GNNs have expanded notably in wireless network optimization, where they leverage graph-structured representations of network topologies for dynamic resource allocation. (Lu et al., 2024) demonstrates how GNN-based models effectively adapt to time-varying channel conditions and evolving network configurations. Their work introduces two novel graph representations for wireless systems and incorporates architectural enhancements like multi-head attention and residual connections, yielding measurable performance gains. While these advancements highlight GNNs' real-world utility, challenges persist in developing standardized evaluation metrics and scaling these models for large networks.</w:t>
      </w:r>
    </w:p>
    <w:p>
      <w:pPr>
        <w:pStyle w:val="af7"/>
      </w:pPr>
      <w:r>
        <w:t xml:space="preserve">A promising synthesis of architectural paradigms emerges in hybrid models like Subgraphormer (Bar-Shalom et al., 2024), which integrates Subgraph GNNs with Transformer mechanisms. This framework unifies the structural awareness of Subgraph GNNs—formulated as Message Passing Neural Networks (MPNNs) on product graphs—with the attention mechanisms and positional encodings of Transformers. Benchmark evaluations reveal that Subgraphormer outperforms both standalone Subgraph GNNs and Graph Transformers across diverse datasets, demonstrating the complementary strengths of these approaches. These architectural innovations collectively underscore how theoretical advances and practical requirements continue to shape the development of neural networks, bridging gaps between different data modalities and learning paradigms.</w:t>
      </w:r>
    </w:p>
    <w:p w14:paraId="0F2F8D1C" w14:textId="32BF6A11" w:rsidR="00884142" w:rsidRDefault="00884142" w:rsidP="00884142">
      <w:pPr>
        <w:pStyle w:val="1"/>
      </w:pPr>
      <w:r>
        <w:t xml:space="preserve">Advances in Training Techniques and Optimization</w:t>
      </w:r>
    </w:p>
    <w:p w14:paraId="2ADE2D30" w14:textId="77777777" w:rsidR="00884142" w:rsidRDefault="00884142" w:rsidP="00884142">
      <w:pPr>
        <w:pStyle w:val="af7"/>
      </w:pPr>
      <w:r>
        <w:t xml:space="preserve">Recent advances in training methodologies and optimization algorithms have significantly enhanced the efficiency and scalability of machine learning systems. Three key approaches—self-supervised learning, meta-learning, and federated learning—have emerged as particularly transformative. Meta-learning enables models to rapidly adapt to new tasks by learning from multiple related tasks, improving generalization in data-scarce scenarios. As demonstrated by (Vettoruzzo et al., 2023), meta-learning bridges multi-task learning, transfer learning, and domain adaptation, creating synergies that boost performance. Recent extensions like unsupervised meta-learning and continual meta-learning further expand its applicability to complex real-world problems.</w:t>
      </w:r>
    </w:p>
    <w:p>
      <w:pPr>
        <w:pStyle w:val="af7"/>
      </w:pPr>
      <w:r>
        <w:t xml:space="preserve">Federated learning has gained prominence as a decentralized training paradigm, addressing critical challenges in data privacy and heterogeneity. Personalized federated learning (pFL) advances this approach by tailoring models to individual clients, enhancing performance across diverse data distributions. (Matsuda et al., 2022)'s empirical analysis reveals that while no single pFL method dominates, careful fine-tuning of standard federated approaches can yield competitive results. This highlights the need to balance personalization with computational efficiency, particularly in heterogeneous environments.</w:t>
      </w:r>
    </w:p>
    <w:p>
      <w:pPr>
        <w:pStyle w:val="af7"/>
      </w:pPr>
      <w:r>
        <w:t xml:space="preserve">The integration of meta-learning with federated learning (meta-pFL) represents a significant breakthrough, simultaneously addressing generalization and convergence challenges. (Wen et al., 2024) explores this synergy in wireless settings, where over-the-air computing introduces unique trade-offs. Their findings show that channel impairments, while potentially slowing convergence, can paradoxically improve generalization through noise-induced regularization. This insight opens new optimization opportunities for resource-constrained applications like edge computing and IoT systems.</w:t>
      </w:r>
    </w:p>
    <w:p>
      <w:pPr>
        <w:pStyle w:val="af7"/>
      </w:pPr>
      <w:r>
        <w:t xml:space="preserve">These methodologies collectively demonstrate how modern training techniques can create more robust, scalable, and adaptive machine learning systems. Future research should address open challenges identified in (Vettoruzzo et al., 2023), including learning from multi-modal task distributions and advancing continual meta-learning, to further expand the capabilities of next-generation AI systems.</w:t>
      </w:r>
    </w:p>
    <w:p w14:paraId="0F2F8D1C" w14:textId="32BF6A11" w:rsidR="00884142" w:rsidRDefault="00884142" w:rsidP="00884142">
      <w:pPr>
        <w:pStyle w:val="1"/>
      </w:pPr>
      <w:r>
        <w:t xml:space="preserve">Applications of Deep Learning in Emerging Fields</w:t>
      </w:r>
    </w:p>
    <w:p w14:paraId="2ADE2D30" w14:textId="77777777" w:rsidR="00884142" w:rsidRDefault="00884142" w:rsidP="00884142">
      <w:pPr>
        <w:pStyle w:val="af7"/>
      </w:pPr>
      <w:r>
        <w:t xml:space="preserve">Deep learning has revolutionized healthcare by enabling advanced diagnostic tools and personalized treatment plans. In medical imaging, convolutional neural networks (CNNs) achieve remarkable accuracy in detecting diseases such as cancer and neurological disorders, often surpassing human experts (S, 2023), (Sathe et al., 2023). Ensemble techniques further enhance diagnostic precision by combining multiple models, reducing errors and improving robustness (Rane et al., 2024). Natural language processing (NLP) models analyze patient records and online discussions to predict disease progression and mental health conditions (Nag et al., 2023). However, challenges such as data privacy, algorithmic bias, and the need for explainable AI (XAI) frameworks remain critical concerns (Alqarafi et al., 2024), (Sathe et al., 2023).</w:t>
      </w:r>
    </w:p>
    <w:p>
      <w:pPr>
        <w:pStyle w:val="af7"/>
      </w:pPr>
      <w:r>
        <w:t xml:space="preserve">Autonomous systems, including self-driving cars and drones, rely on deep reinforcement learning (DRL) for decision-making and navigation. Algorithms like Deep Q-Networks (DQNs) and Actor-Critic models enable adaptation to dynamic environments, though safety and reliability hurdles persist (Peterson, 2021), (S et al., 2024). Reachability verification frameworks address these challenges by quantifying DRL policy reliability and ensuring safe operation in unexplored states (Dong et al., 2022). The integration of fog and cloud computing with IoT enhances real-time capabilities, enabling efficient data processing in applications from manufacturing to smart cities (Singh  Singh, 2024), (Shalini et al., 2024).</w:t>
      </w:r>
    </w:p>
    <w:p>
      <w:pPr>
        <w:pStyle w:val="af7"/>
      </w:pPr>
      <w:r>
        <w:t xml:space="preserve">In robotics, deep learning facilitates object detection, activity recognition, and human-robot collaboration. CNNs and recurrent neural networks (RNNs) achieve high accuracy in video activity classification and real-time object identification (Kanthirekha  Padmaja, 2024), (Purkar et al., 2024). Collaborative learning frameworks combining distributed systems and human-in-the-loop approaches emerge as promising directions for intelligent autonomous systems (IAS), though scalability and privacy concerns remain (Anjos et al., 2023). Future advancements hinge on multi-modal sensing, edge intelligence, and ethical AI integration (Singh  Singh, 2024), (Shalini et al., 2024).</w:t>
      </w:r>
    </w:p>
    <w:p>
      <w:pPr>
        <w:pStyle w:val="af7"/>
      </w:pPr>
      <w:r>
        <w:t xml:space="preserve">Natural language processing (NLP) has transformed sentiment analysis, language translation, and interactive response systems. Large language models (LLMs) generate human-like text and assist in clinical decision-making (Nag et al., 2023), (Sathe et al., 2023). Ethical considerations, including bias mitigation and transparency, are paramount for responsible deployment (Roshan et al., 2023), (Alqarafi et al., 2024). The convergence of deep learning with quantum computing and neuromorphic architectures promises to unlock new frontiers in AI, driving innovation across industries (Rane et al., 2024), (Roshan et al., 2023).</w:t>
      </w:r>
    </w:p>
    <w:p w14:paraId="0F2F8D1C" w14:textId="32BF6A11" w:rsidR="00884142" w:rsidRDefault="00884142" w:rsidP="00884142">
      <w:pPr>
        <w:pStyle w:val="1"/>
      </w:pPr>
      <w:r>
        <w:t xml:space="preserve">Challenges and Ethical Considerations</w:t>
      </w:r>
    </w:p>
    <w:p w14:paraId="2ADE2D30" w14:textId="77777777" w:rsidR="00884142" w:rsidRDefault="00884142" w:rsidP="00884142">
      <w:pPr>
        <w:pStyle w:val="af7"/>
      </w:pPr>
      <w:r>
        <w:t xml:space="preserve">The rapid advancement of deep learning has introduced significant ethical and technical challenges that must be addressed to ensure responsible AI development. Algorithmic bias remains a pressing concern, as it can perpetuate or exacerbate societal inequalities. In healthcare, biased training data has led to disparities in diagnosis and treatment recommendations across demographic groups, as evidenced in studies on depression detection (Singh et al., 2024) and pediatric liver transplantation (Fuchs et al., 2024). Fairness evaluations on the MIMIC-IV dataset further reveal that models often rely disproportionately on demographic features, raising concerns about equitable treatment in critical decisions (Meng et al., 2022). Mitigating these biases requires diverse datasets, rigorous fairness audits, and ongoing monitoring throughout the model lifecycle.</w:t>
      </w:r>
    </w:p>
    <w:p>
      <w:pPr>
        <w:pStyle w:val="af7"/>
      </w:pPr>
      <w:r>
        <w:t xml:space="preserve">Interpretability poses another major challenge, particularly in high-stakes domains like healthcare and legal systems. While deep learning models achieve high accuracy, their "black-box" nature undermines trust and accountability. For instance, convolutional neural networks used in leukemia diagnosis face adoption barriers due to limited transparency (Kizi et al., 2025). Similarly, AI-driven econometric models for legal applications must balance predictive performance with explainability to ensure fair outcomes (Dokumacı, 2024). Emerging glassbox machine learning approaches demonstrate that interpretable models can match blackbox accuracy while providing actionable insights (Caruana  Nori, 2022). Prioritizing interpretability is essential for fostering trust and enabling effective human oversight.</w:t>
      </w:r>
    </w:p>
    <w:p>
      <w:pPr>
        <w:pStyle w:val="af7"/>
      </w:pPr>
      <w:r>
        <w:t xml:space="preserve">Data privacy concerns are amplified by the increasing use of sensitive data in healthcare, legal, and recommendation systems. Multimodal AI, which processes diverse data types (text, images, audio), introduces additional privacy risks due to the volume and variety of personal information involved (Patel, 2025). Techniques like differential privacy and federated learning offer potential solutions, though their implementation requires careful trade-offs between privacy protection and model utility (Caruana  Nori, 2022). The ethical use of AI in pediatric liver transplantation further highlights the need for robust governance frameworks to safeguard vulnerable populations (Fuchs et al., 2024). Addressing these challenges demands interdisciplinary collaboration and adherence to ethical guidelines to ensure deep learning benefits society equitably (Khaleel et al., 2025), (Meng et al., 2022).</w:t>
      </w:r>
    </w:p>
    <w:p w14:paraId="0F2F8D1C" w14:textId="32BF6A11" w:rsidR="00884142" w:rsidRDefault="00884142" w:rsidP="00884142">
      <w:pPr>
        <w:pStyle w:val="1"/>
      </w:pPr>
      <w:r>
        <w:t xml:space="preserve">Future Directions and Open Research Questions</w:t>
      </w:r>
    </w:p>
    <w:p w14:paraId="2ADE2D30" w14:textId="77777777" w:rsidR="00884142" w:rsidRDefault="00884142" w:rsidP="00884142">
      <w:pPr>
        <w:pStyle w:val="af7"/>
      </w:pPr>
      <w:r>
        <w:t xml:space="preserve">Future advancements in deep learning will likely focus on addressing current limitations while exploring new frontiers across multiple domains. In open-domain question answering (ODQA), the development of robust evaluation frameworks remains a priority, as existing approaches struggle with generalization across diverse data. (Srivastava  Memon, 2024)'s taxonomy provides a foundation, but future work must establish benchmarks for multimodal ODQA systems that integrate textual and visual inputs. The combination of large language models with domain-specific knowledge bases also presents opportunities to enhance factual accuracy and reliability.</w:t>
      </w:r>
    </w:p>
    <w:p>
      <w:pPr>
        <w:pStyle w:val="af7"/>
      </w:pPr>
      <w:r>
        <w:t xml:space="preserve">"</w:t>
      </w:r>
    </w:p>
    <w:p>
      <w:pPr>
        <w:pStyle w:val="af7"/>
      </w:pPr>
      <w:r>
        <w:t xml:space="preserve">Advancements in probabilistic generative models will center on resolving the expressivity-tractability trade-off in probabilistic circuits (PCs). (Sidheekh  Natarajan, 2024) identifies scaling these models for high-dimensional data as a key challenge, suggesting hybrid architectures that merge PCs with deep neural networks could enable breakthroughs in uncertainty quantification and interpretable AI. Future research should investigate theoretical limits while developing efficient training algorithms for large-scale applications, potentially revolutionizing generative modeling capabilities.</w:t>
      </w:r>
    </w:p>
    <w:p>
      <w:pPr>
        <w:pStyle w:val="af7"/>
      </w:pPr>
      <w:r>
        <w:t xml:space="preserve">"</w:t>
      </w:r>
    </w:p>
    <w:p>
      <w:pPr>
        <w:pStyle w:val="af7"/>
      </w:pPr>
      <w:r>
        <w:t xml:space="preserve">Pedestrian trajectory prediction requires innovations that combine deep learning's accuracy with knowledge-based models' explainability. (Korbmacher  Tordeux, 2021) demonstrates the potential of hybrid approaches, though challenges persist in scaling these methods for large simulations. Future directions include embedding domain knowledge into neural architectures and establishing standardized evaluation metrics. These advancements would significantly impact autonomous systems and urban planning, where reliable predictions are critical.</w:t>
      </w:r>
    </w:p>
    <w:p>
      <w:pPr>
        <w:pStyle w:val="af7"/>
      </w:pPr>
      <w:r>
        <w:t xml:space="preserve">"</w:t>
      </w:r>
    </w:p>
    <w:p>
      <w:pPr>
        <w:pStyle w:val="af7"/>
      </w:pPr>
      <w:r>
        <w:t xml:space="preserve">Emerging research will likely explore the intersection of these domains, particularly in developing unified frameworks that address shared challenges like generalization, interpretability, and scalability. The integration of ethical considerations into technical advancements will also be crucial, building on the foundation established in preceding discussions about responsible AI development. Cross-domain innovations may yield transformative applications while maintaining alignment with societal values and constraints.</w:t>
      </w:r>
    </w:p>
    <w:p w14:paraId="4030EB88" w14:textId="77777777" w:rsidR="00884142" w:rsidRDefault="00884142">
      <w:pPr>
        <w:spacing w:after="160" w:line="259" w:lineRule="auto"/>
        <w:rPr>
          <w:b/>
        </w:rPr>
      </w:pPr>
      <w:r>
        <w:br w:type="page"/>
      </w:r>
    </w:p>
    <w:p w14:paraId="4BF57083" w14:textId="294B1352" w:rsidR="00F432CE" w:rsidRPr="00BD40BF" w:rsidRDefault="00F432CE" w:rsidP="006C6F3F">
      <w:pPr>
        <w:pStyle w:val="1"/>
      </w:pPr>
      <w:r w:rsidRPr="00BD40BF">
        <w:lastRenderedPageBreak/>
        <w:t>References</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Rizvi, N.  Shende, S. (2024). Exploring Into the Advancements of Deep Learning Technology: A Comprehensive Review. 2024 International Conference on Healthcare Innovations, Software and Engineering Technologies (HISET), 409-413.</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Fujioka, T., Fujita, S., Ueda, D., Ito, R., Kawamura, M., Fushimi, Y., Tsuboyama, T., Yanagawa, M., Yamada, A., Tatsugami, F., Kamagata, K., Nozaki, T., Matsui, Y., Fujima, N., Hirata, K., Nakaura, T., Tateishi, U.  Naganawa, S. (2024). The Evolution and Clinical Impact of Deep Learning Technologies in Breast MRI.. Magnetic Resonance in Medical Sciences.</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Gaba, S., Budhiraja, I., Kumar, V.  Makkar, A. (2024). Advancements in Enhancing Cyber-Physical System Security: Practical Deep Learning Solutions for Network Traffic Classification and Integration With Security Technologies.. Mathematical Biosciences and Engineering : MBE, 21 1, 1527-1553.</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P, U. M., T, S.  H, D. A. K. (2024). Advancements in Glaucoma Diagnosis: A Comprehensive Literature Survey on CNN-based Deep Learning Approaches. International Journal of Advanced Research in Science, Communication and Technology.</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Krutik, R., Thacker, C.  Adhvaryu, R. (2024). Advancements in Food Recognition: A Comprehensive Review of Deep Learning-Based Automated Food Item Identification. 2024 2nd International Conference on Electrical Engineering and Automatic Control (ICEEAC), 1-6.</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Dutta, D., Sonowal, N., Barauh, R., Chetia, D.  Kalita, S. K. (2024). Recent Advancements in Microscopy Image Enhancement Using Deep Learning: A Survey. 2024 IEEE International Conference on Computer Vision and Machine Intelligence (CVMI), 1-7.</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Chen, G. (2024). Advancements and Challenges in Text-to-Image Synthesis: Exploring Deep Learning Techniques. Transactions on Computer Science and Intelligent Systems Research.</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You, J., Gomes-Selman, J., Ying, R.  Leskovec, J. (2021). Identity-Aware Graph Neural Networks. arXiv Preprint, 2101.10320v2.</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Lu, Y., Li, Y., Zhang, R., Chen, W., Ai, B.  Niyato, D. (2024). Graph Neural Networks for Wireless Networks: Graph Representation, Architecture and Evaluation. arXiv Preprint, 2404.11858v2.</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Bar-Shalom, G., Bevilacqua, B.  Maron, H. (2024). Subgraphormer: Unifying Subgraph GNNs and Graph Transformers via Graph Products. arXiv Preprint, 2402.08450v2.</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Vettoruzzo, A., Bouguelia, M. R., Vanschoren, J., Rögnvaldsson, T.  Santosh, K. (2023). Advances and Challenges in Meta-Learning: A Technical Review. arXiv Preprint, 2307.04722v1.</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Matsuda, K., Sasaki, Y., Xiao, C.  Onizuka, M. (2022). An Empirical Study of Personalized Federated Learning. arXiv Preprint, 2206.13190v1.</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Wen, H., Xing, H.  Simeone, O. (2024). Pre-Training and Personalized Fine-Tuning via Over-the-Air Federated Meta-Learning: Convergence-Generalization Trade-Offs. arXiv Preprint, 2406.11569v3.</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 E. A. B. I. (2023). Applications of Deep Learning and Machine Learning in Healthcare Domain – A Literature Review. International Journal on Recent and Innovation Trends in Computing and Communication.</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Sathe, N. P., Deodhe, V., Sharma, Y.  Shinde, A. (2023). A Comprehensive Review of AI in Healthcare: Exploring Neural Networks in Medical Imaging, LLM-Based Interactive Response Systems, NLP-Based EHR Systems, Ethics, and Beyond. 2023 International Conference on Advanced Computing  Communication Technologies (ICACCTech), 633-640.</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Rane, N., Choudhary, S. P.  Rane, J. (2024). Ensemble Deep Learning and Machine Learning: Applications, Opportunities, Challenges, and Future Directions. Social Science Research Network.</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Nag, P. K., Bhagat, A., Priya, R. V.  Khare, D. K. (2023). Emotional Intelligence Through Artificial Intelligence: NLP and Deep Learning in the Analysis of Healthcare Texts. 2023 International Conference on Artificial Intelligence for Innovations in Healthcare Industries (ICAIIHI), 1, 1-7.</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Alqarafi, A., Batool, H., Abbas, T., Janjua, J., Ramay, S. A.  Ahmed, M. (2024). Estimating Uncertainty in Deep Learning Methods and Applications. International Conferences on Computing Advancements, 1-6.</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Peterson, D. R. (2021). A Survey on Deep Reinforcement Learning Applications in Autonomous Systems. Universal Research Reports.</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 A., Nithyanandhan, R., Anish, T. P., Girija, P., Nalini, M.  R, S. (2024). Deep Reinforcement Learning: Key Algorithms, Applications, and Future Challenges. 2024 2nd International Conference on Self Sustainable Artificial Intelligence Systems (ICSSAS), 565-571.</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Dong, Y., Zhao, X., Wang, S.  Huang, X. (2022). Reachability Verification Based Reliability Assessment for Deep Reinforcement Learning Controlled Robotics and Autonomous Systems. IEEE Robotics and Automation Letters, 9, 3299-3306.</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Singh, K. D.  Singh, P. (2024). Fog Cloud Computing and IoT Integration for AI Enabled Autonomous Systems in Robotics. EAI Endorsed Transactions on AI and Robotics.</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Shalini, T., Ganeshabu, L., Chemudugunta, P., Yamsani, N., Kumar, C.  Athiraja, A. (2024). Exploring Innovations in Autonomous Robotics and Mechatronics: Application in Manufacturing and Healthcare. 2024 5th International Conference on Smart Electronics and Communication (ICOSEC), 336-342.</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Kanthirekha, M.  Padmaja, R. B. (2024). State-of-the-Art Deep Learning Techniques for Object Identification in Practical Applications. I-Manager's Journal on Pattern Recognition.</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Purkar, S., Patil, S., Kale, V.  Kadam, B. D. (2024). Video Activity Classification : A Comparative Analysis and Deep Learning Based Implementation. 2024 IEEE International Conference on Information Technology, Electronics and Intelligent Communication Systems (ICITEICS), 1-6.</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Anjos, J., Matteussi, K. J., Orlandi, F. C., Barbosa, J., Silva, J. S., Bittencourt, L.  Geyer, C. (2023). A Survey on Collaborative Learning for Intelligent Autonomous Systems. ACM Computing Surveys, 56, 1 - 37.</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Roshan, R., Rishi, O. P.  Sridevi, M. (2023). Deep Insight: Navigating the Horizons of Deep Learning in Applications, Challenges, and Future Frontiers. Computing and Artificial Intelligence.</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Singh, N. T., Dhiman, R., Wadhwa, M., Mishra, A. M., Singh, A.  Poonia, H. (2024). Computational Psychiatry: Leveraging Deep Learning for Depression Detection in Social Media Text Analysis. International Conference on Computing Communication and Networking Technologies, 1-6.</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Fuchs, J., Rabaux-Eygasier, L.  Guérin, F. (2024). Artificial Intelligence in Pediatric Liver Transplantation: Opportunities and Challenges of a New Era. Children, 11.</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Meng, C., Trinh, L., Xu, N., Enouen, J.  Liu, Y. (2022). Interpretability and Fairness Evaluation of Deep Learning Models on MIMIC-IV Dataset. Scientific Reports, 12.</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Kizi, R. F. O., Armand, T. P. T.  Kim, H. C. (2025). A Review of Deep Learning Techniques for Leukemia Cancer Classification Based on Blood Smear Images. Applied Biosciences.</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Dokumacı, M. (2024). AI-Driven Econometric Models for Legal Issues. Human-Computer Interaction.</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Caruana, R.  Nori, H. (2022). Why Data Scientists Prefer Glassbox Machine Learning: Algorithms, Differential Privacy, Editing and Bias Mitigation. Knowledge Discovery and Data Mining.</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Patel, A. (2025). Advancements in Multimodal AI: Integrating Text, Image, and Audio Data for Enhanced Machine Learning Models. Kuwait Journal of Computer Science.</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Khaleel, Y. L., Habeeb, M. A.  Edoh, T. O. C. (2025). Limitations of Deep Learning vs. Human Intelligence: Training Data, Interpretability, Bias, and Ethics. Applied Data Science and Analysis.</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Srivastava, A.  Memon, A. (2024). Towards Robust Evaluation: A Comprehensive Taxonomy of Datasets and Metrics for Open Domain Question Answering in the Era of Large Language Models. arXiv Preprint, 2406.13232v1.</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Sidheekh, S.  Natarajan, S. (2024). Building Expressive and Tractable Probabilistic Generative Models: A Review. arXiv Preprint, 2402.00759v3.</w:t>
      </w:r>
    </w:p>
    <w:p w14:paraId="26D2884B" w14:textId="77777777" w:rsidR="00884142" w:rsidRPr="00884142" w:rsidRDefault="00884142" w:rsidP="00884142">
      <w:pPr>
        <w:ind w:left="720" w:hanging="720"/>
        <w:mirrorIndents/>
        <w:rPr>
          <w:rFonts w:cstheme="minorHAnsi"/>
        </w:rPr>
      </w:pPr>
      <w:r w:rsidRPr="00884142">
        <w:rPr>
          <w:rFonts w:cstheme="minorHAnsi"/>
        </w:rPr>
        <w:t xml:space="preserve">Korbmacher, R.  Tordeux, A. (2021). Review of Pedestrian Trajectory Prediction Methods: Comparing Deep Learning and Knowledge-Based Approaches. arXiv Preprint, 2111.06740v2.</w:t>
      </w:r>
    </w:p>
    <w:sectPr w:rsidR="00884142" w:rsidSect="001F6D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8A083" w14:textId="77777777" w:rsidR="000D1E71" w:rsidRDefault="000D1E71" w:rsidP="00F432CE">
      <w:pPr>
        <w:spacing w:line="240" w:lineRule="auto"/>
      </w:pPr>
      <w:r>
        <w:separator/>
      </w:r>
    </w:p>
  </w:endnote>
  <w:endnote w:type="continuationSeparator" w:id="0">
    <w:p w14:paraId="0B692262" w14:textId="77777777" w:rsidR="000D1E71" w:rsidRDefault="000D1E71" w:rsidP="00F43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5B427" w14:textId="77777777" w:rsidR="006D4781" w:rsidRDefault="006D478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1105" w14:textId="77777777" w:rsidR="006D4781" w:rsidRDefault="006D478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CCA0" w14:textId="77777777" w:rsidR="006D4781" w:rsidRDefault="006D478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F5D0E" w14:textId="77777777" w:rsidR="000D1E71" w:rsidRDefault="000D1E71" w:rsidP="00F432CE">
      <w:pPr>
        <w:spacing w:line="240" w:lineRule="auto"/>
      </w:pPr>
      <w:r>
        <w:separator/>
      </w:r>
    </w:p>
  </w:footnote>
  <w:footnote w:type="continuationSeparator" w:id="0">
    <w:p w14:paraId="6F636E74" w14:textId="77777777" w:rsidR="000D1E71" w:rsidRDefault="000D1E71" w:rsidP="00F432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64BCB" w14:textId="77777777" w:rsidR="006D4781" w:rsidRDefault="006D4781">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C108" w14:textId="26FEE346" w:rsidR="00B20882" w:rsidRPr="00BD40BF" w:rsidRDefault="006D4781" w:rsidP="004B37AC">
    <w:pPr>
      <w:spacing w:before="14"/>
      <w:ind w:left="20"/>
      <w:rPr>
        <w:szCs w:val="32"/>
      </w:rPr>
    </w:pPr>
    <w:r>
      <w:rPr>
        <w:color w:val="231F20"/>
        <w:szCs w:val="32"/>
        <w:lang w:eastAsia="zh-CN"/>
      </w:rPr>
      <w:tab/>
    </w:r>
    <w:r>
      <w:rPr>
        <w:color w:val="231F20"/>
        <w:szCs w:val="32"/>
        <w:lang w:eastAsia="zh-CN"/>
      </w:rPr>
      <w:tab/>
    </w:r>
    <w:r>
      <w:rPr>
        <w:color w:val="231F20"/>
        <w:szCs w:val="32"/>
        <w:lang w:eastAsia="zh-CN"/>
      </w:rPr>
      <w:tab/>
    </w:r>
    <w:r>
      <w:rPr>
        <w:color w:val="231F20"/>
        <w:szCs w:val="32"/>
        <w:lang w:eastAsia="zh-CN"/>
      </w:rPr>
      <w:tab/>
    </w:r>
    <w:r>
      <w:rPr>
        <w:color w:val="231F20"/>
        <w:szCs w:val="32"/>
        <w:lang w:eastAsia="zh-CN"/>
      </w:rPr>
      <w:tab/>
    </w:r>
    <w:r>
      <w:rPr>
        <w:color w:val="231F20"/>
        <w:szCs w:val="32"/>
        <w:lang w:eastAsia="zh-CN"/>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sdt>
      <w:sdtPr>
        <w:id w:val="-2146419912"/>
        <w:docPartObj>
          <w:docPartGallery w:val="Page Numbers (Top of Page)"/>
          <w:docPartUnique/>
        </w:docPartObj>
      </w:sdtPr>
      <w:sdtEndPr>
        <w:rPr>
          <w:noProof/>
        </w:rPr>
      </w:sdtEndPr>
      <w:sdtContent>
        <w:r w:rsidR="00B20882">
          <w:fldChar w:fldCharType="begin"/>
        </w:r>
        <w:r w:rsidR="00B20882">
          <w:instrText xml:space="preserve"> PAGE   \* MERGEFORMAT </w:instrText>
        </w:r>
        <w:r w:rsidR="00B20882">
          <w:fldChar w:fldCharType="separate"/>
        </w:r>
        <w:r w:rsidR="00B20882">
          <w:rPr>
            <w:noProof/>
          </w:rPr>
          <w:t>23</w:t>
        </w:r>
        <w:r w:rsidR="00B20882">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1CB7C" w14:textId="77777777" w:rsidR="006D4781" w:rsidRDefault="006D4781">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0.2pt;height:49.45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removePersonalInformation/>
  <w:removeDateAndTime/>
  <w:bordersDoNotSurroundHeader/>
  <w:bordersDoNotSurroundFooter/>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5B"/>
    <w:rsid w:val="0000115E"/>
    <w:rsid w:val="000077D8"/>
    <w:rsid w:val="00017DC0"/>
    <w:rsid w:val="00022B0E"/>
    <w:rsid w:val="000376A2"/>
    <w:rsid w:val="00042687"/>
    <w:rsid w:val="00060905"/>
    <w:rsid w:val="00063B22"/>
    <w:rsid w:val="0006407E"/>
    <w:rsid w:val="00085EA0"/>
    <w:rsid w:val="00087350"/>
    <w:rsid w:val="000B0353"/>
    <w:rsid w:val="000B7AC8"/>
    <w:rsid w:val="000D1E71"/>
    <w:rsid w:val="000D2054"/>
    <w:rsid w:val="000E5260"/>
    <w:rsid w:val="00100DDF"/>
    <w:rsid w:val="00146089"/>
    <w:rsid w:val="00164BCA"/>
    <w:rsid w:val="00172419"/>
    <w:rsid w:val="001A7F34"/>
    <w:rsid w:val="001B28E3"/>
    <w:rsid w:val="001C0732"/>
    <w:rsid w:val="001C6A50"/>
    <w:rsid w:val="001D408F"/>
    <w:rsid w:val="001F6D30"/>
    <w:rsid w:val="00200211"/>
    <w:rsid w:val="00216D00"/>
    <w:rsid w:val="00227E1E"/>
    <w:rsid w:val="00282B9A"/>
    <w:rsid w:val="002863A7"/>
    <w:rsid w:val="002A2B06"/>
    <w:rsid w:val="002D7590"/>
    <w:rsid w:val="002E57E9"/>
    <w:rsid w:val="002F2710"/>
    <w:rsid w:val="002F5134"/>
    <w:rsid w:val="003037C4"/>
    <w:rsid w:val="0030714B"/>
    <w:rsid w:val="0031115E"/>
    <w:rsid w:val="0032447A"/>
    <w:rsid w:val="00337F5D"/>
    <w:rsid w:val="0034247B"/>
    <w:rsid w:val="0035083C"/>
    <w:rsid w:val="00362BCA"/>
    <w:rsid w:val="00372417"/>
    <w:rsid w:val="0038298F"/>
    <w:rsid w:val="00385462"/>
    <w:rsid w:val="003B245B"/>
    <w:rsid w:val="003D07D1"/>
    <w:rsid w:val="003D5728"/>
    <w:rsid w:val="003F794D"/>
    <w:rsid w:val="00421FB5"/>
    <w:rsid w:val="00434D09"/>
    <w:rsid w:val="00472E6A"/>
    <w:rsid w:val="004924D1"/>
    <w:rsid w:val="00494F35"/>
    <w:rsid w:val="004A02B5"/>
    <w:rsid w:val="004A0913"/>
    <w:rsid w:val="004A211F"/>
    <w:rsid w:val="004A2FFE"/>
    <w:rsid w:val="004A7E66"/>
    <w:rsid w:val="004B37AC"/>
    <w:rsid w:val="004B5F3C"/>
    <w:rsid w:val="004D063D"/>
    <w:rsid w:val="004E41BC"/>
    <w:rsid w:val="004F10F1"/>
    <w:rsid w:val="0051567A"/>
    <w:rsid w:val="00516B9E"/>
    <w:rsid w:val="005840CA"/>
    <w:rsid w:val="00587EB5"/>
    <w:rsid w:val="00597E22"/>
    <w:rsid w:val="005A06C1"/>
    <w:rsid w:val="00606E33"/>
    <w:rsid w:val="00610FE2"/>
    <w:rsid w:val="006230DB"/>
    <w:rsid w:val="0064237B"/>
    <w:rsid w:val="006521AA"/>
    <w:rsid w:val="00661625"/>
    <w:rsid w:val="00687F53"/>
    <w:rsid w:val="00694DCB"/>
    <w:rsid w:val="006C6F3F"/>
    <w:rsid w:val="006D4781"/>
    <w:rsid w:val="006D640E"/>
    <w:rsid w:val="006F3A00"/>
    <w:rsid w:val="006F40DF"/>
    <w:rsid w:val="00702936"/>
    <w:rsid w:val="00704E05"/>
    <w:rsid w:val="00706C62"/>
    <w:rsid w:val="007214BE"/>
    <w:rsid w:val="007342FA"/>
    <w:rsid w:val="00736EC5"/>
    <w:rsid w:val="00750100"/>
    <w:rsid w:val="00751A65"/>
    <w:rsid w:val="00753584"/>
    <w:rsid w:val="00772B43"/>
    <w:rsid w:val="007734C2"/>
    <w:rsid w:val="0077724E"/>
    <w:rsid w:val="007811D7"/>
    <w:rsid w:val="007D402E"/>
    <w:rsid w:val="007E2DCB"/>
    <w:rsid w:val="00844A8C"/>
    <w:rsid w:val="0084761E"/>
    <w:rsid w:val="00867454"/>
    <w:rsid w:val="00876084"/>
    <w:rsid w:val="00884142"/>
    <w:rsid w:val="008849C0"/>
    <w:rsid w:val="008C6F3F"/>
    <w:rsid w:val="008E25D1"/>
    <w:rsid w:val="008E523B"/>
    <w:rsid w:val="008E5902"/>
    <w:rsid w:val="00907F88"/>
    <w:rsid w:val="00912BB8"/>
    <w:rsid w:val="009429CE"/>
    <w:rsid w:val="009A1118"/>
    <w:rsid w:val="009B3FB9"/>
    <w:rsid w:val="009D2F7B"/>
    <w:rsid w:val="009E5C33"/>
    <w:rsid w:val="009F7B1B"/>
    <w:rsid w:val="00A10B8F"/>
    <w:rsid w:val="00A3271D"/>
    <w:rsid w:val="00A51894"/>
    <w:rsid w:val="00A52BAD"/>
    <w:rsid w:val="00AB709F"/>
    <w:rsid w:val="00AC2A61"/>
    <w:rsid w:val="00AC5320"/>
    <w:rsid w:val="00AD47B9"/>
    <w:rsid w:val="00AD580F"/>
    <w:rsid w:val="00AE1846"/>
    <w:rsid w:val="00AF6115"/>
    <w:rsid w:val="00B20882"/>
    <w:rsid w:val="00B464F9"/>
    <w:rsid w:val="00B46E9E"/>
    <w:rsid w:val="00B52A70"/>
    <w:rsid w:val="00B52CB7"/>
    <w:rsid w:val="00B548AF"/>
    <w:rsid w:val="00B63027"/>
    <w:rsid w:val="00B667CC"/>
    <w:rsid w:val="00B971C8"/>
    <w:rsid w:val="00BD40BF"/>
    <w:rsid w:val="00BD6AB9"/>
    <w:rsid w:val="00BE0675"/>
    <w:rsid w:val="00BE2EBB"/>
    <w:rsid w:val="00BF242C"/>
    <w:rsid w:val="00C16A81"/>
    <w:rsid w:val="00C176C1"/>
    <w:rsid w:val="00C22D78"/>
    <w:rsid w:val="00C254A8"/>
    <w:rsid w:val="00C311F9"/>
    <w:rsid w:val="00C74AB7"/>
    <w:rsid w:val="00C81ED7"/>
    <w:rsid w:val="00CC5D6A"/>
    <w:rsid w:val="00CD2A41"/>
    <w:rsid w:val="00CF622A"/>
    <w:rsid w:val="00D2535F"/>
    <w:rsid w:val="00D422FE"/>
    <w:rsid w:val="00D51466"/>
    <w:rsid w:val="00D73037"/>
    <w:rsid w:val="00D7679D"/>
    <w:rsid w:val="00D820A3"/>
    <w:rsid w:val="00D85D9F"/>
    <w:rsid w:val="00D9014F"/>
    <w:rsid w:val="00DA1356"/>
    <w:rsid w:val="00DD5837"/>
    <w:rsid w:val="00DF4678"/>
    <w:rsid w:val="00DF68F0"/>
    <w:rsid w:val="00E5368F"/>
    <w:rsid w:val="00E74F03"/>
    <w:rsid w:val="00E942BA"/>
    <w:rsid w:val="00E96BCB"/>
    <w:rsid w:val="00E96CC0"/>
    <w:rsid w:val="00EA695E"/>
    <w:rsid w:val="00EB6037"/>
    <w:rsid w:val="00EB71A1"/>
    <w:rsid w:val="00EC68FF"/>
    <w:rsid w:val="00EE1AC7"/>
    <w:rsid w:val="00F24C4A"/>
    <w:rsid w:val="00F24DCA"/>
    <w:rsid w:val="00F2769D"/>
    <w:rsid w:val="00F35E5B"/>
    <w:rsid w:val="00F404C4"/>
    <w:rsid w:val="00F40AC9"/>
    <w:rsid w:val="00F430DB"/>
    <w:rsid w:val="00F432CE"/>
    <w:rsid w:val="00F71F56"/>
    <w:rsid w:val="00F8069D"/>
    <w:rsid w:val="00F84158"/>
    <w:rsid w:val="00FB2E9A"/>
    <w:rsid w:val="00FB387C"/>
    <w:rsid w:val="00FE7AAF"/>
    <w:rsid w:val="00FF4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7AC"/>
    <w:pPr>
      <w:spacing w:after="0" w:line="480" w:lineRule="auto"/>
    </w:pPr>
    <w:rPr>
      <w:rFonts w:ascii="Aptos" w:hAnsi="Aptos" w:cs="Arial"/>
    </w:rPr>
  </w:style>
  <w:style w:type="paragraph" w:styleId="1">
    <w:name w:val="heading 1"/>
    <w:basedOn w:val="a"/>
    <w:next w:val="a"/>
    <w:link w:val="10"/>
    <w:uiPriority w:val="9"/>
    <w:qFormat/>
    <w:rsid w:val="004B37AC"/>
    <w:pPr>
      <w:jc w:val="center"/>
      <w:outlineLvl w:val="0"/>
    </w:pPr>
    <w:rPr>
      <w:b/>
    </w:rPr>
  </w:style>
  <w:style w:type="paragraph" w:styleId="2">
    <w:name w:val="heading 2"/>
    <w:basedOn w:val="a"/>
    <w:next w:val="a"/>
    <w:link w:val="20"/>
    <w:uiPriority w:val="9"/>
    <w:unhideWhenUsed/>
    <w:qFormat/>
    <w:rsid w:val="004B37AC"/>
    <w:pPr>
      <w:keepNext/>
      <w:keepLines/>
      <w:outlineLvl w:val="1"/>
    </w:pPr>
    <w:rPr>
      <w:rFonts w:eastAsiaTheme="majorEastAsia"/>
      <w:b/>
      <w:bCs/>
    </w:rPr>
  </w:style>
  <w:style w:type="paragraph" w:styleId="3">
    <w:name w:val="heading 3"/>
    <w:basedOn w:val="a"/>
    <w:next w:val="a"/>
    <w:link w:val="30"/>
    <w:uiPriority w:val="9"/>
    <w:unhideWhenUsed/>
    <w:qFormat/>
    <w:rsid w:val="004B37AC"/>
    <w:pPr>
      <w:keepNext/>
      <w:keepLines/>
      <w:outlineLvl w:val="2"/>
    </w:pPr>
    <w:rPr>
      <w:rFonts w:eastAsiaTheme="majorEastAsia" w:cstheme="majorBidi"/>
      <w:b/>
      <w:i/>
      <w:szCs w:val="24"/>
    </w:rPr>
  </w:style>
  <w:style w:type="paragraph" w:styleId="4">
    <w:name w:val="heading 4"/>
    <w:basedOn w:val="a"/>
    <w:next w:val="a"/>
    <w:link w:val="40"/>
    <w:uiPriority w:val="9"/>
    <w:unhideWhenUsed/>
    <w:qFormat/>
    <w:rsid w:val="004B37AC"/>
    <w:pPr>
      <w:keepNext/>
      <w:keepLines/>
      <w:widowControl w:val="0"/>
      <w:ind w:firstLine="720"/>
      <w:outlineLvl w:val="3"/>
    </w:pPr>
    <w:rPr>
      <w:rFonts w:eastAsiaTheme="majorEastAsia" w:cstheme="majorBidi"/>
      <w:b/>
      <w:iCs/>
      <w:szCs w:val="24"/>
      <w:lang w:bidi="en-US"/>
    </w:rPr>
  </w:style>
  <w:style w:type="paragraph" w:styleId="5">
    <w:name w:val="heading 5"/>
    <w:basedOn w:val="a"/>
    <w:next w:val="a"/>
    <w:link w:val="50"/>
    <w:uiPriority w:val="9"/>
    <w:unhideWhenUsed/>
    <w:qFormat/>
    <w:rsid w:val="004B37AC"/>
    <w:pPr>
      <w:keepNext/>
      <w:keepLines/>
      <w:ind w:firstLine="720"/>
      <w:outlineLvl w:val="4"/>
    </w:pPr>
    <w:rPr>
      <w:rFonts w:eastAsiaTheme="majorEastAsia" w:cstheme="majorBidi"/>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7AC"/>
    <w:rPr>
      <w:rFonts w:ascii="Aptos" w:hAnsi="Aptos" w:cs="Arial"/>
      <w:b/>
    </w:rPr>
  </w:style>
  <w:style w:type="character" w:customStyle="1" w:styleId="40">
    <w:name w:val="标题 4 字符"/>
    <w:basedOn w:val="a0"/>
    <w:link w:val="4"/>
    <w:uiPriority w:val="9"/>
    <w:rsid w:val="004B37AC"/>
    <w:rPr>
      <w:rFonts w:ascii="Aptos" w:eastAsiaTheme="majorEastAsia" w:hAnsi="Aptos" w:cstheme="majorBidi"/>
      <w:b/>
      <w:iCs/>
      <w:szCs w:val="24"/>
      <w:lang w:bidi="en-US"/>
    </w:rPr>
  </w:style>
  <w:style w:type="character" w:styleId="a3">
    <w:name w:val="annotation reference"/>
    <w:basedOn w:val="a0"/>
    <w:uiPriority w:val="99"/>
    <w:semiHidden/>
    <w:unhideWhenUsed/>
    <w:rsid w:val="004B37AC"/>
    <w:rPr>
      <w:sz w:val="16"/>
      <w:szCs w:val="16"/>
    </w:rPr>
  </w:style>
  <w:style w:type="paragraph" w:styleId="a4">
    <w:name w:val="annotation text"/>
    <w:basedOn w:val="a"/>
    <w:link w:val="a5"/>
    <w:uiPriority w:val="99"/>
    <w:unhideWhenUsed/>
    <w:rsid w:val="004B37AC"/>
    <w:pPr>
      <w:spacing w:line="240" w:lineRule="auto"/>
    </w:pPr>
    <w:rPr>
      <w:sz w:val="20"/>
      <w:szCs w:val="20"/>
    </w:rPr>
  </w:style>
  <w:style w:type="character" w:customStyle="1" w:styleId="a5">
    <w:name w:val="批注文字 字符"/>
    <w:basedOn w:val="a0"/>
    <w:link w:val="a4"/>
    <w:uiPriority w:val="99"/>
    <w:rsid w:val="004B37AC"/>
    <w:rPr>
      <w:rFonts w:ascii="Aptos" w:hAnsi="Aptos" w:cs="Arial"/>
      <w:sz w:val="20"/>
      <w:szCs w:val="20"/>
    </w:rPr>
  </w:style>
  <w:style w:type="paragraph" w:styleId="a6">
    <w:name w:val="annotation subject"/>
    <w:basedOn w:val="a4"/>
    <w:next w:val="a4"/>
    <w:link w:val="a7"/>
    <w:uiPriority w:val="99"/>
    <w:semiHidden/>
    <w:unhideWhenUsed/>
    <w:rsid w:val="004B37AC"/>
    <w:rPr>
      <w:b/>
      <w:bCs/>
    </w:rPr>
  </w:style>
  <w:style w:type="character" w:customStyle="1" w:styleId="a7">
    <w:name w:val="批注主题 字符"/>
    <w:basedOn w:val="a5"/>
    <w:link w:val="a6"/>
    <w:uiPriority w:val="99"/>
    <w:semiHidden/>
    <w:rsid w:val="004B37AC"/>
    <w:rPr>
      <w:rFonts w:ascii="Aptos" w:hAnsi="Aptos" w:cs="Arial"/>
      <w:b/>
      <w:bCs/>
      <w:sz w:val="20"/>
      <w:szCs w:val="20"/>
    </w:rPr>
  </w:style>
  <w:style w:type="paragraph" w:styleId="a8">
    <w:name w:val="Balloon Text"/>
    <w:basedOn w:val="a"/>
    <w:link w:val="a9"/>
    <w:uiPriority w:val="99"/>
    <w:semiHidden/>
    <w:unhideWhenUsed/>
    <w:rsid w:val="004B37AC"/>
    <w:pPr>
      <w:spacing w:line="240" w:lineRule="auto"/>
    </w:pPr>
    <w:rPr>
      <w:rFonts w:ascii="Segoe UI" w:hAnsi="Segoe UI" w:cs="Segoe UI"/>
      <w:sz w:val="18"/>
      <w:szCs w:val="18"/>
    </w:rPr>
  </w:style>
  <w:style w:type="character" w:customStyle="1" w:styleId="a9">
    <w:name w:val="批注框文本 字符"/>
    <w:basedOn w:val="a0"/>
    <w:link w:val="a8"/>
    <w:uiPriority w:val="99"/>
    <w:semiHidden/>
    <w:rsid w:val="004B37AC"/>
    <w:rPr>
      <w:rFonts w:ascii="Segoe UI" w:hAnsi="Segoe UI" w:cs="Segoe UI"/>
      <w:sz w:val="18"/>
      <w:szCs w:val="18"/>
    </w:rPr>
  </w:style>
  <w:style w:type="character" w:styleId="aa">
    <w:name w:val="Hyperlink"/>
    <w:basedOn w:val="a0"/>
    <w:uiPriority w:val="99"/>
    <w:unhideWhenUsed/>
    <w:rsid w:val="004B37AC"/>
    <w:rPr>
      <w:color w:val="0563C1" w:themeColor="hyperlink"/>
      <w:u w:val="single"/>
    </w:rPr>
  </w:style>
  <w:style w:type="character" w:customStyle="1" w:styleId="UnresolvedMention1">
    <w:name w:val="Unresolved Mention1"/>
    <w:basedOn w:val="a0"/>
    <w:uiPriority w:val="99"/>
    <w:semiHidden/>
    <w:unhideWhenUsed/>
    <w:rsid w:val="00F432CE"/>
    <w:rPr>
      <w:color w:val="605E5C"/>
      <w:shd w:val="clear" w:color="auto" w:fill="E1DFDD"/>
    </w:rPr>
  </w:style>
  <w:style w:type="character" w:customStyle="1" w:styleId="20">
    <w:name w:val="标题 2 字符"/>
    <w:basedOn w:val="a0"/>
    <w:link w:val="2"/>
    <w:uiPriority w:val="9"/>
    <w:rsid w:val="004B37AC"/>
    <w:rPr>
      <w:rFonts w:ascii="Aptos" w:eastAsiaTheme="majorEastAsia" w:hAnsi="Aptos" w:cs="Arial"/>
      <w:b/>
      <w:bCs/>
    </w:rPr>
  </w:style>
  <w:style w:type="paragraph" w:styleId="ab">
    <w:name w:val="footnote text"/>
    <w:basedOn w:val="a"/>
    <w:link w:val="ac"/>
    <w:uiPriority w:val="99"/>
    <w:unhideWhenUsed/>
    <w:rsid w:val="004B37AC"/>
    <w:pPr>
      <w:spacing w:line="240" w:lineRule="auto"/>
    </w:pPr>
    <w:rPr>
      <w:sz w:val="20"/>
      <w:szCs w:val="20"/>
    </w:rPr>
  </w:style>
  <w:style w:type="character" w:customStyle="1" w:styleId="ac">
    <w:name w:val="脚注文本 字符"/>
    <w:basedOn w:val="a0"/>
    <w:link w:val="ab"/>
    <w:uiPriority w:val="99"/>
    <w:rsid w:val="004B37AC"/>
    <w:rPr>
      <w:rFonts w:ascii="Aptos" w:hAnsi="Aptos" w:cs="Arial"/>
      <w:sz w:val="20"/>
      <w:szCs w:val="20"/>
    </w:rPr>
  </w:style>
  <w:style w:type="character" w:styleId="ad">
    <w:name w:val="footnote reference"/>
    <w:basedOn w:val="a0"/>
    <w:uiPriority w:val="99"/>
    <w:semiHidden/>
    <w:unhideWhenUsed/>
    <w:rsid w:val="004B37AC"/>
    <w:rPr>
      <w:vertAlign w:val="superscript"/>
    </w:rPr>
  </w:style>
  <w:style w:type="paragraph" w:styleId="ae">
    <w:name w:val="header"/>
    <w:basedOn w:val="a"/>
    <w:link w:val="af"/>
    <w:uiPriority w:val="99"/>
    <w:unhideWhenUsed/>
    <w:rsid w:val="004B37AC"/>
    <w:pPr>
      <w:tabs>
        <w:tab w:val="center" w:pos="4680"/>
        <w:tab w:val="right" w:pos="9360"/>
      </w:tabs>
      <w:spacing w:line="240" w:lineRule="auto"/>
    </w:pPr>
  </w:style>
  <w:style w:type="character" w:customStyle="1" w:styleId="af">
    <w:name w:val="页眉 字符"/>
    <w:basedOn w:val="a0"/>
    <w:link w:val="ae"/>
    <w:uiPriority w:val="99"/>
    <w:rsid w:val="004B37AC"/>
    <w:rPr>
      <w:rFonts w:ascii="Aptos" w:hAnsi="Aptos" w:cs="Arial"/>
    </w:rPr>
  </w:style>
  <w:style w:type="paragraph" w:styleId="af0">
    <w:name w:val="footer"/>
    <w:basedOn w:val="a"/>
    <w:link w:val="af1"/>
    <w:uiPriority w:val="99"/>
    <w:unhideWhenUsed/>
    <w:rsid w:val="004B37AC"/>
    <w:pPr>
      <w:tabs>
        <w:tab w:val="center" w:pos="4680"/>
        <w:tab w:val="right" w:pos="9360"/>
      </w:tabs>
      <w:spacing w:line="240" w:lineRule="auto"/>
    </w:pPr>
  </w:style>
  <w:style w:type="character" w:customStyle="1" w:styleId="af1">
    <w:name w:val="页脚 字符"/>
    <w:basedOn w:val="a0"/>
    <w:link w:val="af0"/>
    <w:uiPriority w:val="99"/>
    <w:rsid w:val="004B37AC"/>
    <w:rPr>
      <w:rFonts w:ascii="Aptos" w:hAnsi="Aptos" w:cs="Arial"/>
    </w:rPr>
  </w:style>
  <w:style w:type="character" w:styleId="af2">
    <w:name w:val="FollowedHyperlink"/>
    <w:basedOn w:val="a0"/>
    <w:uiPriority w:val="99"/>
    <w:semiHidden/>
    <w:unhideWhenUsed/>
    <w:rsid w:val="004B37AC"/>
    <w:rPr>
      <w:color w:val="954F72" w:themeColor="followedHyperlink"/>
      <w:u w:val="single"/>
    </w:rPr>
  </w:style>
  <w:style w:type="character" w:customStyle="1" w:styleId="30">
    <w:name w:val="标题 3 字符"/>
    <w:basedOn w:val="a0"/>
    <w:link w:val="3"/>
    <w:uiPriority w:val="9"/>
    <w:rsid w:val="004B37AC"/>
    <w:rPr>
      <w:rFonts w:ascii="Aptos" w:eastAsiaTheme="majorEastAsia" w:hAnsi="Aptos" w:cstheme="majorBidi"/>
      <w:b/>
      <w:i/>
      <w:szCs w:val="24"/>
    </w:rPr>
  </w:style>
  <w:style w:type="character" w:customStyle="1" w:styleId="sourcelocation">
    <w:name w:val="sourcelocation"/>
    <w:basedOn w:val="a0"/>
    <w:rsid w:val="00F430DB"/>
  </w:style>
  <w:style w:type="character" w:customStyle="1" w:styleId="highlight">
    <w:name w:val="highlight"/>
    <w:basedOn w:val="a0"/>
    <w:rsid w:val="00B63027"/>
  </w:style>
  <w:style w:type="paragraph" w:styleId="af3">
    <w:name w:val="Revision"/>
    <w:hidden/>
    <w:uiPriority w:val="99"/>
    <w:semiHidden/>
    <w:rsid w:val="00EB71A1"/>
    <w:pPr>
      <w:spacing w:after="0" w:line="240" w:lineRule="auto"/>
    </w:pPr>
  </w:style>
  <w:style w:type="character" w:styleId="af4">
    <w:name w:val="Unresolved Mention"/>
    <w:basedOn w:val="a0"/>
    <w:uiPriority w:val="99"/>
    <w:semiHidden/>
    <w:unhideWhenUsed/>
    <w:rsid w:val="004B37AC"/>
    <w:rPr>
      <w:color w:val="605E5C"/>
      <w:shd w:val="clear" w:color="auto" w:fill="E1DFDD"/>
    </w:rPr>
  </w:style>
  <w:style w:type="character" w:customStyle="1" w:styleId="50">
    <w:name w:val="标题 5 字符"/>
    <w:basedOn w:val="a0"/>
    <w:link w:val="5"/>
    <w:uiPriority w:val="9"/>
    <w:rsid w:val="004B37AC"/>
    <w:rPr>
      <w:rFonts w:ascii="Aptos" w:eastAsiaTheme="majorEastAsia" w:hAnsi="Aptos" w:cstheme="majorBidi"/>
      <w:b/>
      <w:i/>
    </w:rPr>
  </w:style>
  <w:style w:type="paragraph" w:styleId="af5">
    <w:name w:val="Title"/>
    <w:basedOn w:val="a"/>
    <w:link w:val="af6"/>
    <w:uiPriority w:val="10"/>
    <w:qFormat/>
    <w:rsid w:val="004B37AC"/>
    <w:pPr>
      <w:widowControl w:val="0"/>
      <w:autoSpaceDE w:val="0"/>
      <w:autoSpaceDN w:val="0"/>
      <w:spacing w:before="1" w:line="240" w:lineRule="auto"/>
      <w:ind w:left="940" w:right="937"/>
      <w:jc w:val="center"/>
    </w:pPr>
    <w:rPr>
      <w:rFonts w:ascii="Times New Roman" w:eastAsia="Times New Roman" w:hAnsi="Times New Roman" w:cs="Times New Roman"/>
      <w:sz w:val="32"/>
      <w:szCs w:val="32"/>
    </w:rPr>
  </w:style>
  <w:style w:type="character" w:customStyle="1" w:styleId="af6">
    <w:name w:val="标题 字符"/>
    <w:basedOn w:val="a0"/>
    <w:link w:val="af5"/>
    <w:uiPriority w:val="10"/>
    <w:rsid w:val="004B37AC"/>
    <w:rPr>
      <w:rFonts w:ascii="Times New Roman" w:eastAsia="Times New Roman" w:hAnsi="Times New Roman" w:cs="Times New Roman"/>
      <w:sz w:val="32"/>
      <w:szCs w:val="32"/>
    </w:rPr>
  </w:style>
  <w:style w:type="paragraph" w:styleId="af7">
    <w:name w:val="Body Text"/>
    <w:basedOn w:val="a"/>
    <w:link w:val="af8"/>
    <w:uiPriority w:val="1"/>
    <w:qFormat/>
    <w:rsid w:val="004B37AC"/>
    <w:pPr>
      <w:ind w:firstLine="720"/>
    </w:pPr>
  </w:style>
  <w:style w:type="character" w:customStyle="1" w:styleId="af8">
    <w:name w:val="正文文本 字符"/>
    <w:basedOn w:val="a0"/>
    <w:link w:val="af7"/>
    <w:uiPriority w:val="1"/>
    <w:rsid w:val="004B37AC"/>
    <w:rPr>
      <w:rFonts w:ascii="Aptos" w:hAnsi="Aptos" w:cs="Arial"/>
    </w:rPr>
  </w:style>
  <w:style w:type="character" w:styleId="af9">
    <w:name w:val="Emphasis"/>
    <w:basedOn w:val="a0"/>
    <w:uiPriority w:val="20"/>
    <w:qFormat/>
    <w:rsid w:val="004B37AC"/>
    <w:rPr>
      <w:rFonts w:ascii="Aptos" w:hAnsi="Aptos"/>
      <w:i/>
      <w:iCs/>
      <w:sz w:val="22"/>
    </w:rPr>
  </w:style>
  <w:style w:type="character" w:styleId="afa">
    <w:name w:val="Strong"/>
    <w:basedOn w:val="a0"/>
    <w:uiPriority w:val="22"/>
    <w:qFormat/>
    <w:rsid w:val="004B37AC"/>
    <w:rPr>
      <w:rFonts w:ascii="Aptos" w:hAnsi="Aptos"/>
      <w:b/>
      <w:bCs/>
      <w:sz w:val="22"/>
    </w:rPr>
  </w:style>
  <w:style w:type="paragraph" w:styleId="afb">
    <w:name w:val="Quote"/>
    <w:basedOn w:val="af7"/>
    <w:next w:val="a"/>
    <w:link w:val="afc"/>
    <w:uiPriority w:val="29"/>
    <w:qFormat/>
    <w:rsid w:val="004B37AC"/>
    <w:pPr>
      <w:ind w:left="720" w:firstLine="0"/>
    </w:pPr>
  </w:style>
  <w:style w:type="character" w:customStyle="1" w:styleId="afc">
    <w:name w:val="引用 字符"/>
    <w:basedOn w:val="a0"/>
    <w:link w:val="afb"/>
    <w:uiPriority w:val="29"/>
    <w:rsid w:val="004B37AC"/>
    <w:rPr>
      <w:rFonts w:ascii="Aptos" w:hAnsi="Apto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1273">
      <w:bodyDiv w:val="1"/>
      <w:marLeft w:val="0"/>
      <w:marRight w:val="0"/>
      <w:marTop w:val="0"/>
      <w:marBottom w:val="0"/>
      <w:divBdr>
        <w:top w:val="none" w:sz="0" w:space="0" w:color="auto"/>
        <w:left w:val="none" w:sz="0" w:space="0" w:color="auto"/>
        <w:bottom w:val="none" w:sz="0" w:space="0" w:color="auto"/>
        <w:right w:val="none" w:sz="0" w:space="0" w:color="auto"/>
      </w:divBdr>
    </w:div>
    <w:div w:id="1257059384">
      <w:bodyDiv w:val="1"/>
      <w:marLeft w:val="0"/>
      <w:marRight w:val="0"/>
      <w:marTop w:val="0"/>
      <w:marBottom w:val="0"/>
      <w:divBdr>
        <w:top w:val="none" w:sz="0" w:space="0" w:color="auto"/>
        <w:left w:val="none" w:sz="0" w:space="0" w:color="auto"/>
        <w:bottom w:val="none" w:sz="0" w:space="0" w:color="auto"/>
        <w:right w:val="none" w:sz="0" w:space="0" w:color="auto"/>
      </w:divBdr>
      <w:divsChild>
        <w:div w:id="1510217926">
          <w:marLeft w:val="0"/>
          <w:marRight w:val="0"/>
          <w:marTop w:val="0"/>
          <w:marBottom w:val="0"/>
          <w:divBdr>
            <w:top w:val="none" w:sz="0" w:space="0" w:color="auto"/>
            <w:left w:val="none" w:sz="0" w:space="0" w:color="auto"/>
            <w:bottom w:val="none" w:sz="0" w:space="0" w:color="auto"/>
            <w:right w:val="none" w:sz="0" w:space="0" w:color="auto"/>
          </w:divBdr>
        </w:div>
        <w:div w:id="1998797669">
          <w:marLeft w:val="0"/>
          <w:marRight w:val="0"/>
          <w:marTop w:val="0"/>
          <w:marBottom w:val="0"/>
          <w:divBdr>
            <w:top w:val="none" w:sz="0" w:space="0" w:color="auto"/>
            <w:left w:val="none" w:sz="0" w:space="0" w:color="auto"/>
            <w:bottom w:val="none" w:sz="0" w:space="0" w:color="auto"/>
            <w:right w:val="none" w:sz="0" w:space="0" w:color="auto"/>
          </w:divBdr>
        </w:div>
        <w:div w:id="540553229">
          <w:marLeft w:val="0"/>
          <w:marRight w:val="0"/>
          <w:marTop w:val="0"/>
          <w:marBottom w:val="0"/>
          <w:divBdr>
            <w:top w:val="none" w:sz="0" w:space="0" w:color="auto"/>
            <w:left w:val="none" w:sz="0" w:space="0" w:color="auto"/>
            <w:bottom w:val="none" w:sz="0" w:space="0" w:color="auto"/>
            <w:right w:val="none" w:sz="0" w:space="0" w:color="auto"/>
          </w:divBdr>
        </w:div>
        <w:div w:id="2048600358">
          <w:marLeft w:val="0"/>
          <w:marRight w:val="0"/>
          <w:marTop w:val="0"/>
          <w:marBottom w:val="0"/>
          <w:divBdr>
            <w:top w:val="none" w:sz="0" w:space="0" w:color="auto"/>
            <w:left w:val="none" w:sz="0" w:space="0" w:color="auto"/>
            <w:bottom w:val="none" w:sz="0" w:space="0" w:color="auto"/>
            <w:right w:val="none" w:sz="0" w:space="0" w:color="auto"/>
          </w:divBdr>
        </w:div>
        <w:div w:id="450247759">
          <w:marLeft w:val="0"/>
          <w:marRight w:val="0"/>
          <w:marTop w:val="0"/>
          <w:marBottom w:val="0"/>
          <w:divBdr>
            <w:top w:val="none" w:sz="0" w:space="0" w:color="auto"/>
            <w:left w:val="none" w:sz="0" w:space="0" w:color="auto"/>
            <w:bottom w:val="none" w:sz="0" w:space="0" w:color="auto"/>
            <w:right w:val="none" w:sz="0" w:space="0" w:color="auto"/>
          </w:divBdr>
        </w:div>
        <w:div w:id="762654809">
          <w:marLeft w:val="0"/>
          <w:marRight w:val="0"/>
          <w:marTop w:val="0"/>
          <w:marBottom w:val="0"/>
          <w:divBdr>
            <w:top w:val="none" w:sz="0" w:space="0" w:color="auto"/>
            <w:left w:val="none" w:sz="0" w:space="0" w:color="auto"/>
            <w:bottom w:val="none" w:sz="0" w:space="0" w:color="auto"/>
            <w:right w:val="none" w:sz="0" w:space="0" w:color="auto"/>
          </w:divBdr>
        </w:div>
        <w:div w:id="1736128394">
          <w:marLeft w:val="0"/>
          <w:marRight w:val="0"/>
          <w:marTop w:val="0"/>
          <w:marBottom w:val="0"/>
          <w:divBdr>
            <w:top w:val="none" w:sz="0" w:space="0" w:color="auto"/>
            <w:left w:val="none" w:sz="0" w:space="0" w:color="auto"/>
            <w:bottom w:val="none" w:sz="0" w:space="0" w:color="auto"/>
            <w:right w:val="none" w:sz="0" w:space="0" w:color="auto"/>
          </w:divBdr>
        </w:div>
        <w:div w:id="1033578264">
          <w:marLeft w:val="0"/>
          <w:marRight w:val="0"/>
          <w:marTop w:val="0"/>
          <w:marBottom w:val="0"/>
          <w:divBdr>
            <w:top w:val="none" w:sz="0" w:space="0" w:color="auto"/>
            <w:left w:val="none" w:sz="0" w:space="0" w:color="auto"/>
            <w:bottom w:val="none" w:sz="0" w:space="0" w:color="auto"/>
            <w:right w:val="none" w:sz="0" w:space="0" w:color="auto"/>
          </w:divBdr>
        </w:div>
        <w:div w:id="1336541414">
          <w:marLeft w:val="0"/>
          <w:marRight w:val="0"/>
          <w:marTop w:val="0"/>
          <w:marBottom w:val="0"/>
          <w:divBdr>
            <w:top w:val="none" w:sz="0" w:space="0" w:color="auto"/>
            <w:left w:val="none" w:sz="0" w:space="0" w:color="auto"/>
            <w:bottom w:val="none" w:sz="0" w:space="0" w:color="auto"/>
            <w:right w:val="none" w:sz="0" w:space="0" w:color="auto"/>
          </w:divBdr>
        </w:div>
        <w:div w:id="2117365366">
          <w:marLeft w:val="0"/>
          <w:marRight w:val="0"/>
          <w:marTop w:val="0"/>
          <w:marBottom w:val="0"/>
          <w:divBdr>
            <w:top w:val="none" w:sz="0" w:space="0" w:color="auto"/>
            <w:left w:val="none" w:sz="0" w:space="0" w:color="auto"/>
            <w:bottom w:val="none" w:sz="0" w:space="0" w:color="auto"/>
            <w:right w:val="none" w:sz="0" w:space="0" w:color="auto"/>
          </w:divBdr>
        </w:div>
        <w:div w:id="1229144800">
          <w:marLeft w:val="0"/>
          <w:marRight w:val="0"/>
          <w:marTop w:val="0"/>
          <w:marBottom w:val="0"/>
          <w:divBdr>
            <w:top w:val="none" w:sz="0" w:space="0" w:color="auto"/>
            <w:left w:val="none" w:sz="0" w:space="0" w:color="auto"/>
            <w:bottom w:val="none" w:sz="0" w:space="0" w:color="auto"/>
            <w:right w:val="none" w:sz="0" w:space="0" w:color="auto"/>
          </w:divBdr>
        </w:div>
        <w:div w:id="761024799">
          <w:marLeft w:val="0"/>
          <w:marRight w:val="0"/>
          <w:marTop w:val="0"/>
          <w:marBottom w:val="0"/>
          <w:divBdr>
            <w:top w:val="none" w:sz="0" w:space="0" w:color="auto"/>
            <w:left w:val="none" w:sz="0" w:space="0" w:color="auto"/>
            <w:bottom w:val="none" w:sz="0" w:space="0" w:color="auto"/>
            <w:right w:val="none" w:sz="0" w:space="0" w:color="auto"/>
          </w:divBdr>
        </w:div>
        <w:div w:id="1057624864">
          <w:marLeft w:val="0"/>
          <w:marRight w:val="0"/>
          <w:marTop w:val="0"/>
          <w:marBottom w:val="0"/>
          <w:divBdr>
            <w:top w:val="none" w:sz="0" w:space="0" w:color="auto"/>
            <w:left w:val="none" w:sz="0" w:space="0" w:color="auto"/>
            <w:bottom w:val="none" w:sz="0" w:space="0" w:color="auto"/>
            <w:right w:val="none" w:sz="0" w:space="0" w:color="auto"/>
          </w:divBdr>
        </w:div>
        <w:div w:id="792484754">
          <w:marLeft w:val="0"/>
          <w:marRight w:val="0"/>
          <w:marTop w:val="0"/>
          <w:marBottom w:val="0"/>
          <w:divBdr>
            <w:top w:val="none" w:sz="0" w:space="0" w:color="auto"/>
            <w:left w:val="none" w:sz="0" w:space="0" w:color="auto"/>
            <w:bottom w:val="none" w:sz="0" w:space="0" w:color="auto"/>
            <w:right w:val="none" w:sz="0" w:space="0" w:color="auto"/>
          </w:divBdr>
        </w:div>
        <w:div w:id="200368487">
          <w:marLeft w:val="0"/>
          <w:marRight w:val="0"/>
          <w:marTop w:val="0"/>
          <w:marBottom w:val="0"/>
          <w:divBdr>
            <w:top w:val="none" w:sz="0" w:space="0" w:color="auto"/>
            <w:left w:val="none" w:sz="0" w:space="0" w:color="auto"/>
            <w:bottom w:val="none" w:sz="0" w:space="0" w:color="auto"/>
            <w:right w:val="none" w:sz="0" w:space="0" w:color="auto"/>
          </w:divBdr>
        </w:div>
      </w:divsChild>
    </w:div>
    <w:div w:id="1580627659">
      <w:bodyDiv w:val="1"/>
      <w:marLeft w:val="0"/>
      <w:marRight w:val="0"/>
      <w:marTop w:val="0"/>
      <w:marBottom w:val="0"/>
      <w:divBdr>
        <w:top w:val="none" w:sz="0" w:space="0" w:color="auto"/>
        <w:left w:val="none" w:sz="0" w:space="0" w:color="auto"/>
        <w:bottom w:val="none" w:sz="0" w:space="0" w:color="auto"/>
        <w:right w:val="none" w:sz="0" w:space="0" w:color="auto"/>
      </w:divBdr>
    </w:div>
    <w:div w:id="17883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OneDrive%20-%20American%20Psychological%20Assn\Documents\Custom%20Office%20Templates\APA%20Style%207%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9CCA-7398-4DF2-8941-D20C2A41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C:\Users\cyb\OneDrive - American Psychological Assn\Documents\Custom Office Templates\APA Style 7 paper template.dotx</Template>
  <TotalTime>0</TotalTime>
  <Pages>4</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2025-04-07T19:39:00Z</dcterms:created>
  <dcterms:modified xsi:type="dcterms:W3CDTF">2025-04-07T19:43:00Z</dcterms:modified>
  <dc:identifier/>
  <dc:language/>
</cp:coreProperties>
</file>