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0000"/>
          <w:rFonts w:ascii="Arial" w:eastAsia="Arial" w:hAnsi="Arial" w:cs="Arial"/>
          <w:sz w:val="44"/>
          <w:szCs w:val="44"/>
        </w:rPr>
        <w:t>deep research的最新进展</w:t>
      </w:r>
      <w:r>
        <w:br/>
      </w:r>
      <w:r>
        <w:rPr>
          <w:color w:val="000000"/>
          <w:rFonts w:ascii="Arial" w:eastAsia="Arial" w:hAnsi="Arial" w:cs="Arial"/>
          <w:sz w:val="22"/>
          <w:szCs w:val="22"/>
        </w:rPr>
        <w:t xml:space="preserve"> </w:t>
      </w:r>
      <w:r>
        <w:br/>
      </w:r>
      <w:r>
        <w:rPr>
          <w:color w:val="4b5966"/>
          <w:rFonts w:ascii="Arial" w:eastAsia="Arial" w:hAnsi="Arial" w:cs="Arial"/>
          <w:sz w:val="22"/>
          <w:szCs w:val="22"/>
        </w:rPr>
        <w:t>Wed Apr 16 2025</w:t>
      </w:r>
      <w:r>
        <w:br/>
      </w:r>
      <w:r>
        <w:br/>
      </w:r>
    </w:p>
    <w:tbl>
      <w:tblPr>
        <w:tblStyle w:val="a3"/>
        <w:tblW w:w="0" w:type="auto"/>
        <w:tblInd w:w="0" w:type="dxa"/>
        <w:tblLook w:val="04A0" w:firstRow="1" w:lastRow="0" w:firstColumn="1" w:lastColumn="0" w:noHBand="0" w:noVBand="1"/>
      </w:tblPr>
      <w:tblLayout w:type="auto"/>
      <w:tblGrid>
        <w:gridCol w:w="3000"/>
        <w:gridCol w:w="3000"/>
        <w:gridCol w:w="3000"/>
        <w:gridCol w:w="3000"/>
      </w:tblGrid>
      <w:tr w:rsidR="00995B51" w:rsidTr="007F1D13">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行业方向</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典型应用场景</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深度研究方法</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主要成效与优势</w:t>
            </w:r>
          </w:p>
        </w:tc>
      </w:tr>
      <w:tr w:rsidR="00995B51" w:rsidTr="007F1D13">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医疗健康</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影像分析、案例推理</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卷积神经网络、深度学习</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高准确率、自动化诊断</w:t>
            </w:r>
          </w:p>
        </w:tc>
      </w:tr>
      <w:tr w:rsidR="00995B51" w:rsidTr="007F1D13">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农业科技</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作物病害检测、杂草识别</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机器视觉、深度学习</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智能识别、精准施药</w:t>
            </w:r>
          </w:p>
        </w:tc>
      </w:tr>
      <w:tr w:rsidR="00995B51" w:rsidTr="007F1D13">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工业制造/矿业</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预测性维护、自动定位</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神经网络、AI推理</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降低成本、提升安全与自控</w:t>
            </w:r>
          </w:p>
        </w:tc>
      </w:tr>
      <w:tr w:rsidR="00995B51" w:rsidTr="007F1D13">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网络安全与支付</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入侵检测、反欺诈</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联邦学习、深度神经网络</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响应快、误报低、便于扩展</w:t>
            </w:r>
          </w:p>
        </w:tc>
      </w:tr>
      <w:tr w:rsidR="00995B51" w:rsidTr="007F1D13">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供应链管理</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需求预测、风险管理</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时序回归、分类模型、神经网络</w:t>
            </w:r>
          </w:p>
        </w:tc>
        <w:tc>
          <w:tcPr>
            <w:gridSpan w:val="1"/>
            <w:vAlign w:val="top"/>
            <w:tcW w:w="3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rial" w:hAnsi="Arial"/>
                <w:color w:val="000000"/>
                <w:sz w:val="24"/>
                <w:szCs w:val="24"/>
              </w:rPr>
              <w:t>响应快、弹性增强</w:t>
            </w:r>
          </w:p>
        </w:tc>
      </w:tr>
    </w:tbl>
    <w:p w:rsidR="00A77427" w:rsidRDefault="007F1D13">
      <w:pPr>
        <w:ind/>
      </w:pPr>
      <w:r>
        <w:rPr>
          <w:color w:val="000000"/>
          <w:rFonts w:ascii="Arial" w:eastAsia="Arial" w:hAnsi="Arial" w:cs="Arial"/>
          <w:sz w:val="48"/>
          <w:szCs w:val="48"/>
        </w:rPr>
        <w:t xml:space="preserve"> </w:t>
      </w:r>
      <w:r>
        <w:br/>
      </w:r>
      <w:r>
        <w:rPr>
          <w:color w:val="000000"/>
          <w:b/>
          <w:bCs/>
          <w:rFonts w:ascii="Arial" w:eastAsia="Arial" w:hAnsi="Arial" w:cs="Arial"/>
          <w:sz w:val="30"/>
          <w:szCs w:val="30"/>
        </w:rPr>
        <w:t>定义与发展背景</w:t>
      </w:r>
      <w:r>
        <w:br/>
      </w:r>
      <w:r>
        <w:rPr>
          <w:color w:val="000000"/>
          <w:rFonts w:ascii="Arial" w:eastAsia="Arial" w:hAnsi="Arial" w:cs="Arial"/>
          <w:sz w:val="12"/>
          <w:szCs w:val="12"/>
        </w:rPr>
        <w:t xml:space="preserve"> </w:t>
      </w:r>
      <w:r>
        <w:br/>
      </w:r>
      <w:r>
        <w:rPr>
          <w:color w:val="000000"/>
          <w:rFonts w:ascii="Arial" w:eastAsia="Arial" w:hAnsi="Arial" w:cs="Arial"/>
          <w:sz w:val="22"/>
          <w:szCs w:val="22"/>
        </w:rPr>
        <w:t>“Deep research”即深度研究，泛指对特定领域或主题进行系统性、层次化、全方位与细致的探究，强调理论与实践的结合、跨学科交叉以及对核心复杂问题的精细分析和系统解决能力[8]。它不仅在学科本体研究中占据重要地位，也是推动理论创新、技术突破和社会进步的基础动力[46]。深度研究的理念正逐步渗透到信息技术、人工智能、教育、工程管理、金融科技、生物和材料科学等多个前沿领域，随着大数据和机器学习等现代方法的引入，其研究范式和应用价值正在被大幅度提升[8][19]。</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人工智能与机器学习领域的深度研究最新进展</w:t>
      </w:r>
      <w:r>
        <w:br/>
      </w:r>
      <w:r>
        <w:rPr>
          <w:color w:val="000000"/>
          <w:rFonts w:ascii="Arial" w:eastAsia="Arial" w:hAnsi="Arial" w:cs="Arial"/>
          <w:sz w:val="12"/>
          <w:szCs w:val="12"/>
        </w:rPr>
        <w:t xml:space="preserve"> </w:t>
      </w:r>
      <w:r>
        <w:br/>
      </w:r>
      <w:r>
        <w:rPr>
          <w:color w:val="000000"/>
          <w:rFonts w:ascii="Arial" w:eastAsia="Arial" w:hAnsi="Arial" w:cs="Arial"/>
          <w:sz w:val="22"/>
          <w:szCs w:val="22"/>
        </w:rPr>
        <w:t>近年来，人工智能（AI）与机器学习（ML）成为deep research最具创新活力的领域之一[19]。深度学习（deep learning）作为机器学习的一个分支，利用神经网络在声音、文本、图像等多模态数据建模中取得了突破性进展，某些特定应用甚至已经超越人类表现[19]。在医疗健康领域，AI与ML已被广泛应用于医学影像分析、临床辅助决策、个性化诊疗以及大规模医疗数据的智能处理，实现了疾病自动检测、智能分型和个体化治疗方案推荐[20][23]。</w:t>
      </w:r>
      <w:r>
        <w:br/>
      </w:r>
      <w:r>
        <w:rPr>
          <w:color w:val="000000"/>
          <w:rFonts w:ascii="Arial" w:eastAsia="Arial" w:hAnsi="Arial" w:cs="Arial"/>
          <w:sz w:val="12"/>
          <w:szCs w:val="12"/>
        </w:rPr>
        <w:t xml:space="preserve"> </w:t>
      </w:r>
      <w:r>
        <w:br/>
      </w:r>
      <w:r>
        <w:rPr>
          <w:color w:val="000000"/>
          <w:rFonts w:ascii="Arial" w:eastAsia="Arial" w:hAnsi="Arial" w:cs="Arial"/>
          <w:sz w:val="22"/>
          <w:szCs w:val="22"/>
        </w:rPr>
        <w:t>农业自动化方面，深度学习显著提高了作物杂草识别和病虫害检测的自动化水平，对于化学喷洒的精准控制和农业环境保护意义重大[16][24]。在工业制造与地下矿山等应用场景，深度学习驱动的预测性维护、自动化运作、物体识别、智能预警等关键技术不断成熟，极大提升了生产的安全性和效率[13]。供应链管理中，AI/ML主要聚焦于需求预测和风险管理，通过神经网络与分类模型提升供应链的响应能力和弹性，弥补数据获取不足和模型深度不足的短板[28]。</w:t>
      </w:r>
      <w:r>
        <w:br/>
      </w:r>
      <w:r>
        <w:rPr>
          <w:color w:val="000000"/>
          <w:rFonts w:ascii="Arial" w:eastAsia="Arial" w:hAnsi="Arial" w:cs="Arial"/>
          <w:sz w:val="12"/>
          <w:szCs w:val="12"/>
        </w:rPr>
        <w:t xml:space="preserve"> </w:t>
      </w:r>
      <w:r>
        <w:br/>
      </w:r>
      <w:r>
        <w:rPr>
          <w:color w:val="000000"/>
          <w:rFonts w:ascii="Arial" w:eastAsia="Arial" w:hAnsi="Arial" w:cs="Arial"/>
          <w:sz w:val="22"/>
          <w:szCs w:val="22"/>
        </w:rPr>
        <w:t>网络安全和数字支付场景下，AI/ML驱动的安全防护机制已实现对高频、复杂攻击的实时识别和动态响应，部分商业系统的AI驱动反欺诈模型达到99.9%的检测准确率，极大降低了金融损失并赋能全球数字支付体系[25][26]。网络入侵检测系统（IDS）结合AI/ML技术能够在复杂企业网络中以极高速度发现异常流量和潜在威胁，但也暴露出可解释性、易用性和隐私等多方面的挑战，亟需进一步优化实际部署和用户体验[27]。</w:t>
      </w:r>
      <w:r>
        <w:br/>
      </w:r>
      <w:r>
        <w:rPr>
          <w:color w:val="000000"/>
          <w:rFonts w:ascii="Arial" w:eastAsia="Arial" w:hAnsi="Arial" w:cs="Arial"/>
          <w:sz w:val="24"/>
          <w:szCs w:val="24"/>
        </w:rPr>
        <w:t xml:space="preserve"> </w:t>
      </w:r>
      <w:r>
        <w:br/>
      </w:r>
      <w:r>
        <w:rPr>
          <w:color w:val="000000"/>
          <w:b/>
          <w:bCs/>
          <w:rFonts w:ascii="Arial" w:eastAsia="Arial" w:hAnsi="Arial" w:cs="Arial"/>
          <w:sz w:val="26"/>
          <w:szCs w:val="26"/>
        </w:rPr>
        <w:t>应用案例与成效对比</w:t>
      </w:r>
      <w:r>
        <w:rPr>
          <w:color w:val="000000"/>
          <w:rFonts w:ascii="Arial" w:eastAsia="Arial" w:hAnsi="Arial" w:cs="Arial"/>
          <w:sz w:val="48"/>
          <w:szCs w:val="48"/>
        </w:rPr>
        <w:t xml:space="preserve"> </w:t>
      </w:r>
      <w:r>
        <w:br/>
      </w:r>
      <w:r>
        <w:rPr>
          <w:color w:val="000000"/>
          <w:b/>
          <w:bCs/>
          <w:rFonts w:ascii="Arial" w:eastAsia="Arial" w:hAnsi="Arial" w:cs="Arial"/>
          <w:sz w:val="30"/>
          <w:szCs w:val="30"/>
        </w:rPr>
        <w:t>深度研究的跨学科融合与理论创新</w:t>
      </w:r>
      <w:r>
        <w:br/>
      </w:r>
      <w:r>
        <w:rPr>
          <w:color w:val="000000"/>
          <w:rFonts w:ascii="Arial" w:eastAsia="Arial" w:hAnsi="Arial" w:cs="Arial"/>
          <w:sz w:val="12"/>
          <w:szCs w:val="12"/>
        </w:rPr>
        <w:t xml:space="preserve"> </w:t>
      </w:r>
      <w:r>
        <w:br/>
      </w:r>
      <w:r>
        <w:rPr>
          <w:color w:val="000000"/>
          <w:rFonts w:ascii="Arial" w:eastAsia="Arial" w:hAnsi="Arial" w:cs="Arial"/>
          <w:sz w:val="22"/>
          <w:szCs w:val="22"/>
        </w:rPr>
        <w:t>深度研究不仅依赖单一学科的发展，更依赖跨学科的协同创新[9]。例如，信息社会地理学通过对时空权力关系和技术发展的分析，引导领域研究不断深化，研究内容和方法实现从单一到全面、方法与区域的多样化转型[10]。口译教学、表象训练等认知科学与教育技术领域的深度研究，则重在结合传统理论与新兴方法，提升教育效果和学习效率[45][11]。</w:t>
      </w:r>
      <w:r>
        <w:br/>
      </w:r>
      <w:r>
        <w:rPr>
          <w:color w:val="000000"/>
          <w:rFonts w:ascii="Arial" w:eastAsia="Arial" w:hAnsi="Arial" w:cs="Arial"/>
          <w:sz w:val="12"/>
          <w:szCs w:val="12"/>
        </w:rPr>
        <w:t xml:space="preserve"> </w:t>
      </w:r>
      <w:r>
        <w:br/>
      </w:r>
      <w:r>
        <w:rPr>
          <w:color w:val="000000"/>
          <w:rFonts w:ascii="Arial" w:eastAsia="Arial" w:hAnsi="Arial" w:cs="Arial"/>
          <w:sz w:val="22"/>
          <w:szCs w:val="22"/>
        </w:rPr>
        <w:t>工程、项目管理领域同样经历了深度研究范式转变。智能建造结合了工业化与信息化管理策略，应对技术快速迭代和项目风险，实现项目流程、人员培养及数字化管控的创新突破，对建筑行业的可持续发展起到直接推动作用[49][52]。在德国，专门针对中小型企业创新能力的深度研究项目，通过产学研联合、连续评估和改进机制，有效带动了生产企业的创新能力提升[30]。</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技术突破与创新研究方法</w:t>
      </w:r>
      <w:r>
        <w:br/>
      </w:r>
      <w:r>
        <w:rPr>
          <w:color w:val="000000"/>
          <w:rFonts w:ascii="Arial" w:eastAsia="Arial" w:hAnsi="Arial" w:cs="Arial"/>
          <w:sz w:val="12"/>
          <w:szCs w:val="12"/>
        </w:rPr>
        <w:t xml:space="preserve"> </w:t>
      </w:r>
      <w:r>
        <w:br/>
      </w:r>
      <w:r>
        <w:rPr>
          <w:color w:val="000000"/>
          <w:rFonts w:ascii="Arial" w:eastAsia="Arial" w:hAnsi="Arial" w:cs="Arial"/>
          <w:sz w:val="22"/>
          <w:szCs w:val="22"/>
        </w:rPr>
        <w:t>技术突破是deep research推动社会技术进步的关键驱动力。当前，硅基射频元件依赖SOI工艺在高效能通讯领域实现大幅性能提升，成为取代传统材料的新兴候选方案[1]。在流程工业领域，短接触时间催化裂化（如NaphthaMax技术）及其催化剂优化，显著提升了油品转化率和能效水平[2]。此外，未来十年我国科技突破口主要聚焦在信息、生物和新材料三大前沿领域，涵盖下一代移动通信、纳米芯片、生物信息学等尖端技术[5]。</w:t>
      </w:r>
      <w:r>
        <w:br/>
      </w:r>
      <w:r>
        <w:rPr>
          <w:color w:val="000000"/>
          <w:rFonts w:ascii="Arial" w:eastAsia="Arial" w:hAnsi="Arial" w:cs="Arial"/>
          <w:sz w:val="12"/>
          <w:szCs w:val="12"/>
        </w:rPr>
        <w:t xml:space="preserve"> </w:t>
      </w:r>
      <w:r>
        <w:br/>
      </w:r>
      <w:r>
        <w:rPr>
          <w:color w:val="000000"/>
          <w:rFonts w:ascii="Arial" w:eastAsia="Arial" w:hAnsi="Arial" w:cs="Arial"/>
          <w:sz w:val="22"/>
          <w:szCs w:val="22"/>
        </w:rPr>
        <w:t>在创新方法方面，TRIZ理论等系统创新模型的推广为复杂问题提供理论指导和操作范式，帮助管理创新和技术攻关[6][7]。各区域行政管理机构和企业通过创新方法培训体系建设，把创新基因植入组织，提高创新效率，形成内生式创新动力，加强核心竞争力[6][7]。高校和科研院所积极引入信息可视化、主题挖掘、知识图谱等工具，对研究成果进行分布、主题和合作网络可视化分析，形成学科交叉、合作共享的新型科研生态[12][37]。</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深度研究的学术评价与可持续发展</w:t>
      </w:r>
      <w:r>
        <w:br/>
      </w:r>
      <w:r>
        <w:rPr>
          <w:color w:val="000000"/>
          <w:rFonts w:ascii="Arial" w:eastAsia="Arial" w:hAnsi="Arial" w:cs="Arial"/>
          <w:sz w:val="12"/>
          <w:szCs w:val="12"/>
        </w:rPr>
        <w:t xml:space="preserve"> </w:t>
      </w:r>
      <w:r>
        <w:br/>
      </w:r>
      <w:r>
        <w:rPr>
          <w:color w:val="000000"/>
          <w:rFonts w:ascii="Arial" w:eastAsia="Arial" w:hAnsi="Arial" w:cs="Arial"/>
          <w:sz w:val="22"/>
          <w:szCs w:val="22"/>
        </w:rPr>
        <w:t>深度研究在学术评价体系中的地位不断提升。通过AI和深度学习算法，对学术论文执行创新性和贡献度的科学评估，推动学术标准的自动提取与评价流程的智能化[17]。此举不仅提高了学术评价的客观性，也为科研工作者提供了深度分析和论文创新水平评判的依据[17]。</w:t>
      </w:r>
      <w:r>
        <w:br/>
      </w:r>
      <w:r>
        <w:rPr>
          <w:color w:val="000000"/>
          <w:rFonts w:ascii="Arial" w:eastAsia="Arial" w:hAnsi="Arial" w:cs="Arial"/>
          <w:sz w:val="12"/>
          <w:szCs w:val="12"/>
        </w:rPr>
        <w:t xml:space="preserve"> </w:t>
      </w:r>
      <w:r>
        <w:br/>
      </w:r>
      <w:r>
        <w:rPr>
          <w:color w:val="000000"/>
          <w:rFonts w:ascii="Arial" w:eastAsia="Arial" w:hAnsi="Arial" w:cs="Arial"/>
          <w:sz w:val="22"/>
          <w:szCs w:val="22"/>
        </w:rPr>
        <w:t>在可持续发展科学领域，中国学者主导的“世界可持续发展年度报告”已建立以可持续发展科学为理论基础的目标体系，对全球主要国家未来实现可持续发展的时间表和路径进行了定量研究，为国际发展战略提供决策基础[29][50]。</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主要研究机构和前沿团队动态</w:t>
      </w:r>
      <w:r>
        <w:br/>
      </w:r>
      <w:r>
        <w:rPr>
          <w:color w:val="000000"/>
          <w:rFonts w:ascii="Arial" w:eastAsia="Arial" w:hAnsi="Arial" w:cs="Arial"/>
          <w:sz w:val="12"/>
          <w:szCs w:val="12"/>
        </w:rPr>
        <w:t xml:space="preserve"> </w:t>
      </w:r>
      <w:r>
        <w:br/>
      </w:r>
      <w:r>
        <w:rPr>
          <w:color w:val="000000"/>
          <w:rFonts w:ascii="Arial" w:eastAsia="Arial" w:hAnsi="Arial" w:cs="Arial"/>
          <w:sz w:val="22"/>
          <w:szCs w:val="22"/>
        </w:rPr>
        <w:t>美国国家癌症研究所（NCI）通过加强基础研究和临床转化，制定了减轻痛苦、减少死亡的新策略，实现了癌症早发现、快转化、优服务的研究链条创新[34]。国内外，创新研究型工程技术中心、高管团队、虚拟团队等多样化科学组织致力于理论创新、策略整合和多领域融合，强调知识传承、创新成果转化和学科前沿的持续拓展[35][54]。中英禽病国际研究中心等国际协作研究平台的建立，促进了跨国科学家在新发病原、疫苗研发等领域的深度合作与技术进步[36]。</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展望与未来趋势</w:t>
      </w:r>
      <w:r>
        <w:br/>
      </w:r>
      <w:r>
        <w:rPr>
          <w:color w:val="000000"/>
          <w:rFonts w:ascii="Arial" w:eastAsia="Arial" w:hAnsi="Arial" w:cs="Arial"/>
          <w:sz w:val="12"/>
          <w:szCs w:val="12"/>
        </w:rPr>
        <w:t xml:space="preserve"> </w:t>
      </w:r>
      <w:r>
        <w:br/>
      </w:r>
      <w:r>
        <w:rPr>
          <w:color w:val="000000"/>
          <w:rFonts w:ascii="Arial" w:eastAsia="Arial" w:hAnsi="Arial" w:cs="Arial"/>
          <w:sz w:val="22"/>
          <w:szCs w:val="22"/>
        </w:rPr>
        <w:t>deep research正处于多领域、多层次快速融合发展的阶段，其范式正在从单一的理论推演过渡到“理论—数据—技术—平台—社会实践”的完整创新生态递进[19][4]。未来，人工智能驱动的创新方法、跨学科深度协作、系统工程与知识图谱相结合，将进一步推动科研能力与科技创新绩效的整体跃升[12][37]。同时，面对数据安全、可解释性、伦理合规等新挑战，如何构建透明、宜用、可持续的深度研究推进机制，将成为技术创新与社会治理融合发展的重要议题[21][27]。</w:t>
      </w:r>
      <w:r>
        <w:br/>
      </w:r>
      <w:r>
        <w:br/>
      </w:r>
      <w:r>
        <w:br/>
      </w:r>
      <w:r>
        <w:rPr>
          <w:color w:val="000000"/>
          <w:b/>
          <w:bCs/>
          <w:rFonts w:ascii="Arial" w:eastAsia="Arial" w:hAnsi="Arial" w:cs="Arial"/>
          <w:sz w:val="30"/>
          <w:szCs w:val="30"/>
        </w:rPr>
        <w:t>参考文献</w:t>
      </w:r>
      <w:r>
        <w:br/>
      </w:r>
      <w:r>
        <w:rPr>
          <w:color w:val="000000"/>
          <w:b/>
          <w:bCs/>
          <w:rFonts w:ascii="Arial" w:eastAsia="Arial" w:hAnsi="Arial" w:cs="Arial"/>
          <w:sz w:val="12"/>
          <w:szCs w:val="12"/>
        </w:rPr>
        <w:t xml:space="preserve"> </w:t>
      </w:r>
      <w:r>
        <w:br/>
      </w:r>
      <w:r>
        <w:rPr>
          <w:color w:val="000000"/>
          <w:rFonts w:ascii="Arial" w:eastAsia="Arial" w:hAnsi="Arial" w:cs="Arial"/>
          <w:sz w:val="22"/>
          <w:szCs w:val="22"/>
        </w:rPr>
        <w:t>[1] Aastha Pant, Rashina Hoda, Burak Turhan, &amp; C. Tantithamthavorn. (2024). What do AI/ML practitioners think about AI/ML bias? In ArXiv. https://www.semanticscholar.org/paper/7d072f7caf60bf7b6b543a12a475b6074185abf8</w:t>
      </w:r>
      <w:r>
        <w:br/>
      </w:r>
      <w:r>
        <w:br/>
      </w:r>
      <w:r>
        <w:rPr>
          <w:color w:val="000000"/>
          <w:rFonts w:ascii="Arial" w:eastAsia="Arial" w:hAnsi="Arial" w:cs="Arial"/>
          <w:sz w:val="22"/>
          <w:szCs w:val="22"/>
        </w:rPr>
        <w:t>[2] Aishwarya Gupta, Upasana Dugal, &amp; Akansha Singh. (2024). Crop Weed Discrimation Using Machine and Deep Learning Approaches: A Review on Recent Developments. In International Journal of Research Publication and Reviews. https://www.semanticscholar.org/paper/97ec7de5e96efc3da88a6dffda468dcf2bae71c3</w:t>
      </w:r>
      <w:r>
        <w:br/>
      </w:r>
      <w:r>
        <w:br/>
      </w:r>
      <w:r>
        <w:rPr>
          <w:color w:val="000000"/>
          <w:rFonts w:ascii="Arial" w:eastAsia="Arial" w:hAnsi="Arial" w:cs="Arial"/>
          <w:sz w:val="22"/>
          <w:szCs w:val="22"/>
        </w:rPr>
        <w:t>[3] Artur Skoczylas, Wieslawa Gryncewicz, Agnieszka Rosa, &amp; Michał Nadolny. (2024). Deep Learning in Undeground Mines - a Review. In 2024 14th International Conference on Advanced Computer Information Technologies (ACIT). https://www.semanticscholar.org/paper/f1abbae4203900c61190a6bbdb162a7e5be508a7</w:t>
      </w:r>
      <w:r>
        <w:br/>
      </w:r>
      <w:r>
        <w:br/>
      </w:r>
      <w:r>
        <w:rPr>
          <w:color w:val="000000"/>
          <w:rFonts w:ascii="Arial" w:eastAsia="Arial" w:hAnsi="Arial" w:cs="Arial"/>
          <w:sz w:val="22"/>
          <w:szCs w:val="22"/>
        </w:rPr>
        <w:t>[4] Diwakar Mainali, Megan Nagarkoti, Saraswoti Shrestha, Umesh Thapa, &amp; Om Prakash sharma. (2024). Advance Thread Detection using AI &amp;ML in Cyber Security. In International Journal of Innovative Science and Research Technology (IJISRT). https://www.semanticscholar.org/paper/6c45bf18ae5e31ae65feb5814c7075b7c96c6623</w:t>
      </w:r>
      <w:r>
        <w:br/>
      </w:r>
      <w:r>
        <w:br/>
      </w:r>
      <w:r>
        <w:rPr>
          <w:color w:val="000000"/>
          <w:rFonts w:ascii="Arial" w:eastAsia="Arial" w:hAnsi="Arial" w:cs="Arial"/>
          <w:sz w:val="22"/>
          <w:szCs w:val="22"/>
        </w:rPr>
        <w:t>[5] Hailong Shu, Zhen Song, Huichuang Guo, Xi Chen, &amp; Zhongdao Yao. (2023). Deep learning algorithms for air pollution forecasting: an overview of recent developments. In Other Conferences. https://www.semanticscholar.org/paper/e6c19fdc98664e0613d18957b0b15374ce56521a</w:t>
      </w:r>
      <w:r>
        <w:br/>
      </w:r>
      <w:r>
        <w:br/>
      </w:r>
      <w:r>
        <w:rPr>
          <w:color w:val="000000"/>
          <w:rFonts w:ascii="Arial" w:eastAsia="Arial" w:hAnsi="Arial" w:cs="Arial"/>
          <w:sz w:val="22"/>
          <w:szCs w:val="22"/>
        </w:rPr>
        <w:t>[6] J. Chandar, L. Nagarajan, &amp; M. S. Kumar. (2021). RECENT RESEARCH PROGRESS IN DEEP HOLE DRILLING PROCESS: A REVIEW. In Surface Review and Letters. https://www.semanticscholar.org/paper/f6358af06d5ff2776610a8f4f7f448ab3ae037fc</w:t>
      </w:r>
      <w:r>
        <w:br/>
      </w:r>
      <w:r>
        <w:br/>
      </w:r>
      <w:r>
        <w:rPr>
          <w:color w:val="000000"/>
          <w:rFonts w:ascii="Arial" w:eastAsia="Arial" w:hAnsi="Arial" w:cs="Arial"/>
          <w:sz w:val="22"/>
          <w:szCs w:val="22"/>
        </w:rPr>
        <w:t>[7] J.B.McLean &amp; 滕跃. (2001). 催化裂化催化剂技术的突破：短接触时间的Naphthamax^TM技术. https://www.semanticscholar.org/paper/2b48b3837fc8e6efda09e861960c0c2a694ee21b</w:t>
      </w:r>
      <w:r>
        <w:br/>
      </w:r>
      <w:r>
        <w:br/>
      </w:r>
      <w:r>
        <w:rPr>
          <w:color w:val="000000"/>
          <w:rFonts w:ascii="Arial" w:eastAsia="Arial" w:hAnsi="Arial" w:cs="Arial"/>
          <w:sz w:val="22"/>
          <w:szCs w:val="22"/>
        </w:rPr>
        <w:t>[8] Jennifer Clarke. (2023). 67 Leveraging Ai/Ml to Address Critical Challenges in Livestock Research. In Journal of Animal Science. https://www.semanticscholar.org/paper/ed2443bf20f53c626677c379b8bfe0023928d4c3</w:t>
      </w:r>
      <w:r>
        <w:br/>
      </w:r>
      <w:r>
        <w:br/>
      </w:r>
      <w:r>
        <w:rPr>
          <w:color w:val="000000"/>
          <w:rFonts w:ascii="Arial" w:eastAsia="Arial" w:hAnsi="Arial" w:cs="Arial"/>
          <w:sz w:val="22"/>
          <w:szCs w:val="22"/>
        </w:rPr>
        <w:t>[9] Jinhang Liu. (2021). Innovative Evaluation Method of Academic Papers in Colleges and Universities Based on Deep Learning. In 2021 3rd International Conference on Artificial Intelligence and Advanced Manufacture (AIAM). https://www.semanticscholar.org/paper/9b446a2a0cf565500592241f35ab9967c6312054</w:t>
      </w:r>
      <w:r>
        <w:br/>
      </w:r>
      <w:r>
        <w:br/>
      </w:r>
      <w:r>
        <w:rPr>
          <w:color w:val="000000"/>
          <w:rFonts w:ascii="Arial" w:eastAsia="Arial" w:hAnsi="Arial" w:cs="Arial"/>
          <w:sz w:val="22"/>
          <w:szCs w:val="22"/>
        </w:rPr>
        <w:t>[10] Katharina Dietz, Michael Mühlhauser, Jochen Kögel, Stephan Schwinger, Marleen Sichermann, Michael Seufert, Dominik Herrmann, &amp; Tobias Hossfeld. (2024). The Missing Link in Network Intrusion Detection: Taking AI/ML Research Efforts to Users. In IEEE Access. https://www.semanticscholar.org/paper/948f238d18907ebfb0b217908486f26c3681eb39</w:t>
      </w:r>
      <w:r>
        <w:br/>
      </w:r>
      <w:r>
        <w:br/>
      </w:r>
      <w:r>
        <w:rPr>
          <w:color w:val="000000"/>
          <w:rFonts w:ascii="Arial" w:eastAsia="Arial" w:hAnsi="Arial" w:cs="Arial"/>
          <w:sz w:val="22"/>
          <w:szCs w:val="22"/>
        </w:rPr>
        <w:t>[11] Kiran Babu Macha. (2025). Integrating AI, ML, and RPA for end-to-end digital transformation in healthcare. In World Journal of Advanced Research and Reviews. https://www.semanticscholar.org/paper/d166bdd06a61c064633fea2a6d868abc10e4f234</w:t>
      </w:r>
      <w:r>
        <w:br/>
      </w:r>
      <w:r>
        <w:br/>
      </w:r>
      <w:r>
        <w:rPr>
          <w:color w:val="000000"/>
          <w:rFonts w:ascii="Arial" w:eastAsia="Arial" w:hAnsi="Arial" w:cs="Arial"/>
          <w:sz w:val="22"/>
          <w:szCs w:val="22"/>
        </w:rPr>
        <w:t>[12] Kubra Maki Edhrabooh &amp; A. Al-Alawi. (2024). AI and ML Applications in Supply Chain Management Field: A Systematic Literature Review. In 2024 ASU International Conference in Emerging Technologies for Sustainability and Intelligent Systems (ICETSIS). https://www.semanticscholar.org/paper/e7476f5f29ba425e3d440b2447555977e56a98eb</w:t>
      </w:r>
      <w:r>
        <w:br/>
      </w:r>
      <w:r>
        <w:br/>
      </w:r>
      <w:r>
        <w:rPr>
          <w:color w:val="000000"/>
          <w:rFonts w:ascii="Arial" w:eastAsia="Arial" w:hAnsi="Arial" w:cs="Arial"/>
          <w:sz w:val="22"/>
          <w:szCs w:val="22"/>
        </w:rPr>
        <w:t>[13] Lucas Figueiredo &amp; L. Silva. (2023). Uncovering Research Potentials: Research Areas Evolution Analysis in Scientific Articles. In Anais do XVI Congresso Brasileiro de Inteligência Computacional. https://www.semanticscholar.org/paper/a8ad43bafd49b763021ab030abe739f3a8547298</w:t>
      </w:r>
      <w:r>
        <w:br/>
      </w:r>
      <w:r>
        <w:br/>
      </w:r>
      <w:r>
        <w:rPr>
          <w:color w:val="000000"/>
          <w:rFonts w:ascii="Arial" w:eastAsia="Arial" w:hAnsi="Arial" w:cs="Arial"/>
          <w:sz w:val="22"/>
          <w:szCs w:val="22"/>
        </w:rPr>
        <w:t>[14] M. Shugurov, Grigorii Vyacheslavovich Kolodub, &amp; I. Shugurova. (2024). Academic Boycott of Israel in 2023-2024: causes, manifestations and consequences. In Конфликтология / nota bene. https://www.semanticscholar.org/paper/0af04617fdd1b39edecca913489c64c47ab20967</w:t>
      </w:r>
      <w:r>
        <w:br/>
      </w:r>
      <w:r>
        <w:br/>
      </w:r>
      <w:r>
        <w:rPr>
          <w:color w:val="000000"/>
          <w:rFonts w:ascii="Arial" w:eastAsia="Arial" w:hAnsi="Arial" w:cs="Arial"/>
          <w:sz w:val="22"/>
          <w:szCs w:val="22"/>
        </w:rPr>
        <w:t>[15] Priya, Aakriti Sharma, Ajay Yadav, &amp; Amit. (2023). AI, Ml, and Deep Learning Models for Better Disease Detection in Lemon Plants. In Tuijin Jishu/Journal of Propulsion Technology. https://www.semanticscholar.org/paper/57f206f75556f55cd352e5d8384686c613ec5e80</w:t>
      </w:r>
      <w:r>
        <w:br/>
      </w:r>
      <w:r>
        <w:br/>
      </w:r>
      <w:r>
        <w:rPr>
          <w:color w:val="000000"/>
          <w:rFonts w:ascii="Arial" w:eastAsia="Arial" w:hAnsi="Arial" w:cs="Arial"/>
          <w:sz w:val="22"/>
          <w:szCs w:val="22"/>
        </w:rPr>
        <w:t>[16] Puneet Chopra &amp; Ankur Binwal. (2024). The Role of AI/ML in Enhancing Security and Fraud Detection in Digital Payments. In International Journal For Multidisciplinary Research. https://www.semanticscholar.org/paper/3641d9caff21431bb3ad6159b0a7e723b344e3e3</w:t>
      </w:r>
      <w:r>
        <w:br/>
      </w:r>
      <w:r>
        <w:br/>
      </w:r>
      <w:r>
        <w:rPr>
          <w:color w:val="000000"/>
          <w:rFonts w:ascii="Arial" w:eastAsia="Arial" w:hAnsi="Arial" w:cs="Arial"/>
          <w:sz w:val="22"/>
          <w:szCs w:val="22"/>
        </w:rPr>
        <w:t>[17] Syed Mohtashim Mian, Mohammad Shuaib Khan, Mohd Shawez, &amp; Amandeep Kaur. (2024). Artificial Intelligence (AI), Machine Learning (ML) &amp; Deep Learning (DL): A Comprehensive Overview on Techniques, Applications and Research Directions. In 2024 2nd International Conference on Sustainable Computing and Smart Systems (ICSCSS). https://www.semanticscholar.org/paper/ab9afc5d1bc53444acc2d04df7d9159c9620d263</w:t>
      </w:r>
      <w:r>
        <w:br/>
      </w:r>
      <w:r>
        <w:br/>
      </w:r>
      <w:r>
        <w:rPr>
          <w:color w:val="000000"/>
          <w:rFonts w:ascii="Arial" w:eastAsia="Arial" w:hAnsi="Arial" w:cs="Arial"/>
          <w:sz w:val="22"/>
          <w:szCs w:val="22"/>
        </w:rPr>
        <w:t>[18] Y. Rusinovich. (2024). Clinical Expertise Within AI and ML Healthcare Research Boards. In Web3 Journal: ML in Health Science. https://www.semanticscholar.org/paper/46e5022d9b5410e6ccfbc5374fb49dc7e464be73</w:t>
      </w:r>
      <w:r>
        <w:br/>
      </w:r>
      <w:r>
        <w:br/>
      </w:r>
      <w:r>
        <w:rPr>
          <w:color w:val="000000"/>
          <w:rFonts w:ascii="Arial" w:eastAsia="Arial" w:hAnsi="Arial" w:cs="Arial"/>
          <w:sz w:val="22"/>
          <w:szCs w:val="22"/>
        </w:rPr>
        <w:t>[19] 万昆, 兰国帅, &amp; 叶冬连. (2015). 国内教育技术研究领域：现状、问题与前瞻. https://www.semanticscholar.org/paper/cb694f30db07da1b77239984648a404a4bea3f92</w:t>
      </w:r>
      <w:r>
        <w:br/>
      </w:r>
      <w:r>
        <w:br/>
      </w:r>
      <w:r>
        <w:rPr>
          <w:color w:val="000000"/>
          <w:rFonts w:ascii="Arial" w:eastAsia="Arial" w:hAnsi="Arial" w:cs="Arial"/>
          <w:sz w:val="22"/>
          <w:szCs w:val="22"/>
        </w:rPr>
        <w:t>[20] 冉鸿燕. (2010). 研究创新方法、推进自主创新、促进科学发展、提升能力建设之多维审视——全国“2010创新方法与能力建设上海高层论坛”综述. https://www.semanticscholar.org/paper/09b6208984307ba6fc71e25d544eb11040761ae2</w:t>
      </w:r>
      <w:r>
        <w:br/>
      </w:r>
      <w:r>
        <w:br/>
      </w:r>
      <w:r>
        <w:rPr>
          <w:color w:val="000000"/>
          <w:rFonts w:ascii="Arial" w:eastAsia="Arial" w:hAnsi="Arial" w:cs="Arial"/>
          <w:sz w:val="22"/>
          <w:szCs w:val="22"/>
        </w:rPr>
        <w:t>[21] 冯之浚. (2015a). 中国学派对可持续发展科学的重要贡献——评介并推荐我国学者新著《2015世界可持续发展年度报告》. https://www.semanticscholar.org/paper/a7862ed4e24561f6bbc1f70e49a07872fc8d5300</w:t>
      </w:r>
      <w:r>
        <w:br/>
      </w:r>
      <w:r>
        <w:br/>
      </w:r>
      <w:r>
        <w:rPr>
          <w:color w:val="000000"/>
          <w:rFonts w:ascii="Arial" w:eastAsia="Arial" w:hAnsi="Arial" w:cs="Arial"/>
          <w:sz w:val="22"/>
          <w:szCs w:val="22"/>
        </w:rPr>
        <w:t>[22] 冯之浚. (2015b). 研究“可持续发展科学”的中国学派——推荐我国学者新著《2015世界可持续发展年度报告》. https://www.semanticscholar.org/paper/eff34bb385cf378f9376b84a664a90f5380a00be</w:t>
      </w:r>
      <w:r>
        <w:br/>
      </w:r>
      <w:r>
        <w:br/>
      </w:r>
      <w:r>
        <w:rPr>
          <w:color w:val="000000"/>
          <w:rFonts w:ascii="Arial" w:eastAsia="Arial" w:hAnsi="Arial" w:cs="Arial"/>
          <w:sz w:val="22"/>
          <w:szCs w:val="22"/>
        </w:rPr>
        <w:t>[23] 刘建军, 杨琳, &amp; 韩笑. (2013). 发挥工程（技术）研究中心优势 提高持续创新能力——浅谈我国工程（技术）研究中心的创新发展. https://www.semanticscholar.org/paper/27bccf4ebda91e9a033ce95e30554550bc824eb6</w:t>
      </w:r>
      <w:r>
        <w:br/>
      </w:r>
      <w:r>
        <w:br/>
      </w:r>
      <w:r>
        <w:rPr>
          <w:color w:val="000000"/>
          <w:rFonts w:ascii="Arial" w:eastAsia="Arial" w:hAnsi="Arial" w:cs="Arial"/>
          <w:sz w:val="22"/>
          <w:szCs w:val="22"/>
        </w:rPr>
        <w:t>[24] 刘赞扬 &amp; 吴锐. (2013). 植入创新基因 激发创新活力--合肥通用机械研究院推广应用创新方法纪实. https://www.semanticscholar.org/paper/62f5705bf0eef40d35139d35bf8026c21541f35e</w:t>
      </w:r>
      <w:r>
        <w:br/>
      </w:r>
      <w:r>
        <w:br/>
      </w:r>
      <w:r>
        <w:rPr>
          <w:color w:val="000000"/>
          <w:rFonts w:ascii="Arial" w:eastAsia="Arial" w:hAnsi="Arial" w:cs="Arial"/>
          <w:sz w:val="22"/>
          <w:szCs w:val="22"/>
        </w:rPr>
        <w:t>[25] 刘雯 &amp; 邹明慧. (2016). 基于Cite SpaceIII的机构知识图谱构建研究——以东北大学为例. https://www.semanticscholar.org/paper/179faabf0ec9a9f9fb42b22a68da0be387f70885</w:t>
      </w:r>
      <w:r>
        <w:br/>
      </w:r>
      <w:r>
        <w:br/>
      </w:r>
      <w:r>
        <w:rPr>
          <w:color w:val="000000"/>
          <w:rFonts w:ascii="Arial" w:eastAsia="Arial" w:hAnsi="Arial" w:cs="Arial"/>
          <w:sz w:val="22"/>
          <w:szCs w:val="22"/>
        </w:rPr>
        <w:t>[26] 刘鹏 &amp; 夏昊翔. (2015). 跨学科研究领域的合著网络演化分析——以“复杂网络”研究领域为例. https://www.semanticscholar.org/paper/8b5193d2539a746a33b91a31a0fbf51472fade77</w:t>
      </w:r>
      <w:r>
        <w:br/>
      </w:r>
      <w:r>
        <w:br/>
      </w:r>
      <w:r>
        <w:rPr>
          <w:color w:val="000000"/>
          <w:rFonts w:ascii="Arial" w:eastAsia="Arial" w:hAnsi="Arial" w:cs="Arial"/>
          <w:sz w:val="22"/>
          <w:szCs w:val="22"/>
        </w:rPr>
        <w:t>[27] 利芝 丁 &amp; 涛 王. (2022). 建筑工程项目管理重点研究. In 建筑工程与管理. https://www.semanticscholar.org/paper/059c56d38bd19e51efc8ef18e361d7974c0a7519</w:t>
      </w:r>
      <w:r>
        <w:br/>
      </w:r>
      <w:r>
        <w:br/>
      </w:r>
      <w:r>
        <w:rPr>
          <w:color w:val="000000"/>
          <w:rFonts w:ascii="Arial" w:eastAsia="Arial" w:hAnsi="Arial" w:cs="Arial"/>
          <w:sz w:val="22"/>
          <w:szCs w:val="22"/>
        </w:rPr>
        <w:t>[28] 双春 操. (2024). 智能建造项目的工程管理模式研究. In 工程建设. https://www.semanticscholar.org/paper/7de47e32cb7a1f00d97cf639a744f491d24a0ad7</w:t>
      </w:r>
      <w:r>
        <w:br/>
      </w:r>
      <w:r>
        <w:br/>
      </w:r>
      <w:r>
        <w:rPr>
          <w:color w:val="000000"/>
          <w:rFonts w:ascii="Arial" w:eastAsia="Arial" w:hAnsi="Arial" w:cs="Arial"/>
          <w:sz w:val="22"/>
          <w:szCs w:val="22"/>
        </w:rPr>
        <w:t>[29] 吴涛. (2012). 项目导向、组织学习和竞争优势——新旧项目间知识继承研究. https://www.semanticscholar.org/paper/65949e2474fd8b157e021ecab0bc08199eb35018</w:t>
      </w:r>
      <w:r>
        <w:br/>
      </w:r>
      <w:r>
        <w:br/>
      </w:r>
      <w:r>
        <w:rPr>
          <w:color w:val="000000"/>
          <w:rFonts w:ascii="Arial" w:eastAsia="Arial" w:hAnsi="Arial" w:cs="Arial"/>
          <w:sz w:val="22"/>
          <w:szCs w:val="22"/>
        </w:rPr>
        <w:t>[30] 吴荣富, 吕玲, &amp; 张帅帅. (2015). 合作共赢 创新发展 禽病防控研究迈上新征程——中英禽病国际研究中心成立典礼暨中英禽病最新研究进展研讨会隆重举办. https://www.semanticscholar.org/paper/5f46e4402d0240be478306cfa77cb360e1598ebe</w:t>
      </w:r>
      <w:r>
        <w:br/>
      </w:r>
      <w:r>
        <w:br/>
      </w:r>
      <w:r>
        <w:rPr>
          <w:color w:val="000000"/>
          <w:rFonts w:ascii="Arial" w:eastAsia="Arial" w:hAnsi="Arial" w:cs="Arial"/>
          <w:sz w:val="22"/>
          <w:szCs w:val="22"/>
        </w:rPr>
        <w:t>[31] 国华. (2006). 德国启动“中小型生产企业创新能力评估与提升方法”研究项目. https://www.semanticscholar.org/paper/0d550d854bd49d2d2b60d8e1fe1ceae70c91ccaa</w:t>
      </w:r>
      <w:r>
        <w:br/>
      </w:r>
      <w:r>
        <w:br/>
      </w:r>
      <w:r>
        <w:rPr>
          <w:color w:val="000000"/>
          <w:rFonts w:ascii="Arial" w:eastAsia="Arial" w:hAnsi="Arial" w:cs="Arial"/>
          <w:sz w:val="22"/>
          <w:szCs w:val="22"/>
        </w:rPr>
        <w:t>[32] 媛先 陈. (2021). 四十年（1980-2020）来个人借款领域的研究主题变迁 -基于文本挖掘LDA算法的主题发现和可视化. In 社会科学与计算研究. https://www.semanticscholar.org/paper/37ef17592c233237243684f0ea62e53816602f1d</w:t>
      </w:r>
      <w:r>
        <w:br/>
      </w:r>
      <w:r>
        <w:br/>
      </w:r>
      <w:r>
        <w:rPr>
          <w:color w:val="000000"/>
          <w:rFonts w:ascii="Arial" w:eastAsia="Arial" w:hAnsi="Arial" w:cs="Arial"/>
          <w:sz w:val="22"/>
          <w:szCs w:val="22"/>
        </w:rPr>
        <w:t>[33] 宋文芳, 吴浪, &amp; 贾婧媛（摄影）. (2011). 学习创新方法 提高创新效率——武汉市科协推动企业开展创新方法培训系列活动侧记. https://www.semanticscholar.org/paper/dcb1aa882efe333e7f3dc829cee3c53621894b5e</w:t>
      </w:r>
      <w:r>
        <w:br/>
      </w:r>
      <w:r>
        <w:br/>
      </w:r>
      <w:r>
        <w:rPr>
          <w:color w:val="000000"/>
          <w:rFonts w:ascii="Arial" w:eastAsia="Arial" w:hAnsi="Arial" w:cs="Arial"/>
          <w:sz w:val="22"/>
          <w:szCs w:val="22"/>
        </w:rPr>
        <w:t>[34] 张毅菁 &amp; 张虹. (2015). 数据为王时代,如何让大数据释放大价值——关于《2014年全球信息技术报告》的解读. https://www.semanticscholar.org/paper/f2a546df566e17496e9bd1ee724c7f282595ebcf</w:t>
      </w:r>
      <w:r>
        <w:br/>
      </w:r>
      <w:r>
        <w:br/>
      </w:r>
      <w:r>
        <w:rPr>
          <w:color w:val="000000"/>
          <w:rFonts w:ascii="Arial" w:eastAsia="Arial" w:hAnsi="Arial" w:cs="Arial"/>
          <w:sz w:val="22"/>
          <w:szCs w:val="22"/>
        </w:rPr>
        <w:t>[35] 张骁. (2009). 我国《药学学科发展报告（2008～2009）》发布. https://www.semanticscholar.org/paper/e4e9f3cbacbe1e3d4381ae37f340af7dd69a018e</w:t>
      </w:r>
      <w:r>
        <w:br/>
      </w:r>
      <w:r>
        <w:br/>
      </w:r>
      <w:r>
        <w:rPr>
          <w:color w:val="000000"/>
          <w:rFonts w:ascii="Arial" w:eastAsia="Arial" w:hAnsi="Arial" w:cs="Arial"/>
          <w:sz w:val="22"/>
          <w:szCs w:val="22"/>
        </w:rPr>
        <w:t>[36] 晓洋 周. (2019). 领域法学研究的三个核心问题. In 经济学. https://www.semanticscholar.org/paper/62a724214796d8981027c2588ee5e279a7b96ccb</w:t>
      </w:r>
      <w:r>
        <w:br/>
      </w:r>
      <w:r>
        <w:br/>
      </w:r>
      <w:r>
        <w:rPr>
          <w:color w:val="000000"/>
          <w:rFonts w:ascii="Arial" w:eastAsia="Arial" w:hAnsi="Arial" w:cs="Arial"/>
          <w:sz w:val="22"/>
          <w:szCs w:val="22"/>
        </w:rPr>
        <w:t>[37] 曹红军 &amp; 孟现航. (2015). 高管团队研究：演进历程、前沿主题与当前不足. https://www.semanticscholar.org/paper/b9e23b6b32d73eaca7ec723963e8a1f5b7ab025a</w:t>
      </w:r>
      <w:r>
        <w:br/>
      </w:r>
      <w:r>
        <w:br/>
      </w:r>
      <w:r>
        <w:rPr>
          <w:color w:val="000000"/>
          <w:rFonts w:ascii="Arial" w:eastAsia="Arial" w:hAnsi="Arial" w:cs="Arial"/>
          <w:sz w:val="22"/>
          <w:szCs w:val="22"/>
        </w:rPr>
        <w:t>[38] 朱笑仪 &amp; 戚依南. (2015). 中国企业治理与发展战略模式创新研究——第四届“中国企业管理创新案例研究前沿论坛”观点综述. https://www.semanticscholar.org/paper/fe286d2a198bb49f42cb3b5a13c0c488570a7382</w:t>
      </w:r>
      <w:r>
        <w:br/>
      </w:r>
      <w:r>
        <w:br/>
      </w:r>
      <w:r>
        <w:rPr>
          <w:color w:val="000000"/>
          <w:rFonts w:ascii="Arial" w:eastAsia="Arial" w:hAnsi="Arial" w:cs="Arial"/>
          <w:sz w:val="22"/>
          <w:szCs w:val="22"/>
        </w:rPr>
        <w:t>[39] 杜丽娟, 邓卓鹏, 路紫, &amp; 康海娟. (2008). 我国“信息社会的地理学”关键研究领域综述. https://www.semanticscholar.org/paper/642dfba422df6ba285eb482e264bd829f1f96efa</w:t>
      </w:r>
      <w:r>
        <w:br/>
      </w:r>
      <w:r>
        <w:br/>
      </w:r>
      <w:r>
        <w:rPr>
          <w:color w:val="000000"/>
          <w:rFonts w:ascii="Arial" w:eastAsia="Arial" w:hAnsi="Arial" w:cs="Arial"/>
          <w:sz w:val="22"/>
          <w:szCs w:val="22"/>
        </w:rPr>
        <w:t>[40] 武建龙, 王宏起, &amp; 李力. (2014). 模块化动态背景下我国新兴产业技术创新机会、困境与突破——基于我国手机产业技术创新演变史的考察. https://www.semanticscholar.org/paper/431e0643786c15cb09db825a1080e3941a1ad835</w:t>
      </w:r>
      <w:r>
        <w:br/>
      </w:r>
      <w:r>
        <w:br/>
      </w:r>
      <w:r>
        <w:rPr>
          <w:color w:val="000000"/>
          <w:rFonts w:ascii="Arial" w:eastAsia="Arial" w:hAnsi="Arial" w:cs="Arial"/>
          <w:sz w:val="22"/>
          <w:szCs w:val="22"/>
        </w:rPr>
        <w:t>[41] 浦树柔. (2005). 信息、生物、新材料三大前沿领域：中国未来十大科技突破口. https://www.semanticscholar.org/paper/da41ee4353a59f58286e47f5335f0f978645ab7a</w:t>
      </w:r>
      <w:r>
        <w:br/>
      </w:r>
      <w:r>
        <w:br/>
      </w:r>
      <w:r>
        <w:rPr>
          <w:color w:val="000000"/>
          <w:rFonts w:ascii="Arial" w:eastAsia="Arial" w:hAnsi="Arial" w:cs="Arial"/>
          <w:sz w:val="22"/>
          <w:szCs w:val="22"/>
        </w:rPr>
        <w:t>[42] 漆昌柱 &amp; 徐培. (2001). 表象训练的概念、理论及主要研究领域：现状与分析. https://www.semanticscholar.org/paper/cafcbb42f9ee6b9c5eaaf3333fd77e84a1457a69</w:t>
      </w:r>
      <w:r>
        <w:br/>
      </w:r>
      <w:r>
        <w:br/>
      </w:r>
      <w:r>
        <w:rPr>
          <w:color w:val="000000"/>
          <w:rFonts w:ascii="Arial" w:eastAsia="Arial" w:hAnsi="Arial" w:cs="Arial"/>
          <w:sz w:val="22"/>
          <w:szCs w:val="22"/>
        </w:rPr>
        <w:t>[43] 王文华. (2006). 关于“恐怖主义”的定义. https://www.semanticscholar.org/paper/1cbc495cbb0e76a0df00dc9bd327b74748e9b759</w:t>
      </w:r>
      <w:r>
        <w:br/>
      </w:r>
      <w:r>
        <w:br/>
      </w:r>
      <w:r>
        <w:rPr>
          <w:color w:val="000000"/>
          <w:rFonts w:ascii="Arial" w:eastAsia="Arial" w:hAnsi="Arial" w:cs="Arial"/>
          <w:sz w:val="22"/>
          <w:szCs w:val="22"/>
        </w:rPr>
        <w:t>[44] 石欣, 龚侃, 王少为, 宋玉琴, 徐岩英, &amp; 董尔丹. (2004). 美国国家癌症研究所（National Cancer Institute）——美国癌症研究和资助的主要机构. https://www.semanticscholar.org/paper/3159faed78a3527a4f77c325aafe0f453c83a920</w:t>
      </w:r>
      <w:r>
        <w:br/>
      </w:r>
      <w:r>
        <w:br/>
      </w:r>
      <w:r>
        <w:rPr>
          <w:color w:val="000000"/>
          <w:rFonts w:ascii="Arial" w:eastAsia="Arial" w:hAnsi="Arial" w:cs="Arial"/>
          <w:sz w:val="22"/>
          <w:szCs w:val="22"/>
        </w:rPr>
        <w:t>[45] 章从福. (2005). TSMC 65 nm工艺技术新突破. https://www.semanticscholar.org/paper/709526d89ca155b47f2b934c599fcdf49c4eb4a5</w:t>
      </w:r>
      <w:r>
        <w:br/>
      </w:r>
      <w:r>
        <w:br/>
      </w:r>
      <w:r>
        <w:rPr>
          <w:color w:val="000000"/>
          <w:rFonts w:ascii="Arial" w:eastAsia="Arial" w:hAnsi="Arial" w:cs="Arial"/>
          <w:sz w:val="22"/>
          <w:szCs w:val="22"/>
        </w:rPr>
        <w:t>[46] 章鉴（编译）. (2007). 美国SMPTE 2006年进展报告（一）. https://www.semanticscholar.org/paper/4d8ba6bd833dff0dff13a13a1d26761f98a1d544</w:t>
      </w:r>
      <w:r>
        <w:br/>
      </w:r>
      <w:r>
        <w:br/>
      </w:r>
      <w:r>
        <w:rPr>
          <w:color w:val="000000"/>
          <w:rFonts w:ascii="Arial" w:eastAsia="Arial" w:hAnsi="Arial" w:cs="Arial"/>
          <w:sz w:val="22"/>
          <w:szCs w:val="22"/>
        </w:rPr>
        <w:t>[47] 董琪. (2010). 自主创新 方法先行 科技引领 支撑发展——四川省召开创新方法现场推进会暨成立创新方法研究会. https://www.semanticscholar.org/paper/0fe1cee28b6fadf642344f798068e935650f9eaf</w:t>
      </w:r>
      <w:r>
        <w:br/>
      </w:r>
      <w:r>
        <w:br/>
      </w:r>
      <w:r>
        <w:rPr>
          <w:color w:val="000000"/>
          <w:rFonts w:ascii="Arial" w:eastAsia="Arial" w:hAnsi="Arial" w:cs="Arial"/>
          <w:sz w:val="22"/>
          <w:szCs w:val="22"/>
        </w:rPr>
        <w:t>[48] 詹成. (2012). 口译教学：内容与方法--近十年我国口译教学的宏观领域研究. https://www.semanticscholar.org/paper/25c506b29457fe0d93519061c984681df54740d3</w:t>
      </w:r>
      <w:r>
        <w:br/>
      </w:r>
      <w:r>
        <w:br/>
      </w:r>
      <w:r>
        <w:rPr>
          <w:color w:val="000000"/>
          <w:rFonts w:ascii="Arial" w:eastAsia="Arial" w:hAnsi="Arial" w:cs="Arial"/>
          <w:sz w:val="22"/>
          <w:szCs w:val="22"/>
        </w:rPr>
        <w:t>[49] 车海刚. (2015). 过往辉煌堪赞 未来美好可期——国务院发展研究中心在京纪念成立35周年. https://www.semanticscholar.org/paper/7033447d1e74c48f23db1258691011cecdc32d08</w:t>
      </w:r>
      <w:r>
        <w:br/>
      </w:r>
      <w:r>
        <w:br/>
      </w:r>
      <w:r>
        <w:rPr>
          <w:color w:val="000000"/>
          <w:rFonts w:ascii="Arial" w:eastAsia="Arial" w:hAnsi="Arial" w:cs="Arial"/>
          <w:sz w:val="22"/>
          <w:szCs w:val="22"/>
        </w:rPr>
        <w:t>[50] 邢军. (2001). 企业“钝化”现象及其突破——技术创新与管理创新的整合. https://www.semanticscholar.org/paper/46302df69efb8394f56ebebcccf1b1fe953e0598</w:t>
      </w:r>
      <w:r>
        <w:br/>
      </w:r>
      <w:r>
        <w:br/>
      </w:r>
      <w:r>
        <w:rPr>
          <w:color w:val="000000"/>
          <w:rFonts w:ascii="Arial" w:eastAsia="Arial" w:hAnsi="Arial" w:cs="Arial"/>
          <w:sz w:val="22"/>
          <w:szCs w:val="22"/>
        </w:rPr>
        <w:t>[51] 郑畅. (2015). 杂讯/线性效能大突破 硅基RF撼动砷化镓技术. https://www.semanticscholar.org/paper/59f7d19574a570f29c84506303e4f40c573c7c25</w:t>
      </w:r>
      <w:r>
        <w:br/>
      </w:r>
      <w:r>
        <w:br/>
      </w:r>
      <w:r>
        <w:rPr>
          <w:color w:val="000000"/>
          <w:rFonts w:ascii="Arial" w:eastAsia="Arial" w:hAnsi="Arial" w:cs="Arial"/>
          <w:sz w:val="22"/>
          <w:szCs w:val="22"/>
        </w:rPr>
        <w:t>[52] 金慧, 胡盈滢, &amp; 宋蕾. (2017). 技术促进教育创新——新媒体联盟《地平线报告》（2017高等教育版）解读. https://www.semanticscholar.org/paper/1c23764a3d61b134d35dc7755fb41f4580c3b6c6</w:t>
      </w:r>
      <w:r>
        <w:br/>
      </w:r>
      <w:r>
        <w:br/>
      </w:r>
      <w:r>
        <w:rPr>
          <w:color w:val="000000"/>
          <w:rFonts w:ascii="Arial" w:eastAsia="Arial" w:hAnsi="Arial" w:cs="Arial"/>
          <w:sz w:val="22"/>
          <w:szCs w:val="22"/>
        </w:rPr>
        <w:t>[53] 陈凯华 &amp; 寇明婷. (2015). 科技与创新研究：回顾、现状与展望. https://www.semanticscholar.org/paper/51075c8dc7a7e849356432d22838906f3e97aee2</w:t>
      </w:r>
      <w:r>
        <w:br/>
      </w:r>
      <w:r>
        <w:br/>
      </w:r>
      <w:r>
        <w:rPr>
          <w:color w:val="000000"/>
          <w:rFonts w:ascii="Arial" w:eastAsia="Arial" w:hAnsi="Arial" w:cs="Arial"/>
          <w:sz w:val="22"/>
          <w:szCs w:val="22"/>
        </w:rPr>
        <w:t>[54] 陈骞. (2014). 人机融合：新兴技术发展的新趋势 对Gartner《2013年新兴技术成熟度曲线》报告的解读. https://www.semanticscholar.org/paper/b000dc8f1ea12e7b73359d9bedc1ea78ca5743e3</w:t>
      </w:r>
      <w:r>
        <w:br/>
      </w:r>
      <w:r>
        <w:br/>
      </w:r>
      <w:r>
        <w:rPr>
          <w:color w:val="000000"/>
          <w:rFonts w:ascii="Arial" w:eastAsia="Arial" w:hAnsi="Arial" w:cs="Arial"/>
          <w:sz w:val="22"/>
          <w:szCs w:val="22"/>
        </w:rPr>
        <w:t>[55] 雷婷 &amp; 柳海霞. (2015). 建立我国心血管病防治“新常态”——第17届中国南方国际心血管病学术会议召开. https://www.semanticscholar.org/paper/77908ad2b772d701942bb0cf70e2b8475f043ac4</w:t>
      </w:r>
      <w:r>
        <w:br/>
      </w:r>
      <w:r>
        <w:br/>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2025-04-16T17:25:54Z</dcterms:created>
  <dcterms:modified xsi:type="dcterms:W3CDTF">2025-04-16T17:25:54Z</dcterms:modified>
</cp:coreProperties>
</file>