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CyberVR</w:t>
      </w:r>
      <w:r>
        <w:br/>
      </w:r>
      <w:r>
        <w:br/>
      </w:r>
      <w:r>
        <w:rPr>
          <w:color w:val="808080"/>
          <w:sz w:val="24"/>
          <w:szCs w:val="24"/>
        </w:rPr>
        <w:t>CyberVR creates Thin Digital Twins: near-instant, disposable, production-realistic copies of VMware vSphere environments, built from immutable SAN snapshots with no data copy and no agents. Each twin reproduces the complete business service, including operating systems, applications, databases, networks, storage mappings and identity relationships, in an isolated environment.</w:t>
      </w:r>
      <w:r>
        <w:br/>
      </w:r>
      <w:r>
        <w:br/>
      </w:r>
      <w:r>
        <w:rPr>
          <w:color w:val="808080"/>
          <w:sz w:val="24"/>
          <w:szCs w:val="24"/>
        </w:rPr>
        <w:t>The same twin serves many purposes. Teams use it to recover critical services after a cyberattack, run resilience drills, execute penetration tests against an exact replica, validate patches and configuration changes before promotion, and evaluate AI agents and workloads without touching production. Each exercise produces defensible evidence for DORA, NIS2, NYDFS 500.16 and NIST CSF 2.0.</w:t>
      </w:r>
      <w:r>
        <w:br/>
      </w:r>
      <w:r>
        <w:br/>
      </w:r>
      <w:r>
        <w:rPr>
          <w:color w:val="808080"/>
          <w:sz w:val="24"/>
          <w:szCs w:val="24"/>
        </w:rPr>
        <w:t>Twins spin up and tear down in minutes, regardless of data volume, so exercises can run as often as needed. CyberVR works with existing backup tools and with storage from Hitachi Vantara, IBM, Dell, NetApp, Infinidat, HPE and Pure Storage, and deploys in hours with automatic discovery.</w:t>
      </w:r>
      <w:r>
        <w:br/>
      </w:r>
      <w:r>
        <w:rPr>
          <w:color w:val="808080"/>
          <w:sz w:val="24"/>
          <w:szCs w:val="24"/>
        </w:rPr>
        <w:t xml:space="preserve">Documentation:  </w:t>
      </w:r>
      <w:hyperlink r:id="rId156">
        <w:r>
          <w:t>https://www.vm2020.com/cybervr-prod</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8">
        <w:r>
          <w:t>https://www.viclinic.com/en/vi-agent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4">
        <w:r>
          <w:t>https://viclinic.com/en/vi-agent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6">
        <w:r>
          <w:t>https://www.viclinic.com/en/vi-agent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8">
        <w:r>
          <w:t>https://cloud.ibm.com/docs/private-path</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0">
        <w:r>
          <w:t>https://cloud.ibm.com/docs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0">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8">
        <w:r>
          <w:t>https://backup.docs.portworx.com/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0">
        <w:r>
          <w:t>https://www.quant.ai/product</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2">
        <w:r>
          <w:t>https://quantum.cloud.ibm.com/docs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8">
        <w:r>
          <w:t>https://support.nativemsg.com</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0">
        <w:r>
          <w:t>https://cloud.ibm.com/docs/inference</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4">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6">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2">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4">
        <w:r>
          <w:t>https://scalestack.ai/scalestack-ibm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8">
        <w:r>
          <w:t>https://cloud.ibm.com/docs/subnets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8">
        <w:r>
          <w:t>https://support.speedsize.com/hc/en-us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2">
        <w:r>
          <w:t>https://cloud.ibm.com/docs/ssl-certificates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2">
        <w:r>
          <w:t>https://cloud.ibm.com/docs/cephaas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4">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8">
        <w:r>
          <w:t>https://viclinic.com/en/vi-agent</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2">
        <w:r>
          <w:t>https://www.succinctly.io/documentation</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8">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2">
        <w:r>
          <w:t>https://docs.tavily.com/welcome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4">
        <w:r>
          <w:t>https://techd.com</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4">
        <w:r>
          <w:t>https://upsun.com/blog/code-documentation/</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6">
        <w:r>
          <w:t>https://docs.verify.ibm.com/verify</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8">
        <w:r>
          <w:t>https://www.viclinic.com/en/vi-agent</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2">
        <w:r>
          <w:t>https://cloud.ibm.com/docs/vsi</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6">
        <w:r>
          <w:t>https://cloud.ibm.com/docs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8">
        <w:r>
          <w:t>https://starsystems.in/vmware-vlp/</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70">
        <w:r>
          <w:t>https://hdm.primaryio.com/lp/vmwaas</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0">
        <w:r>
          <w:t>https://docs.wanclouds.net/ibm</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4">
        <w:r>
          <w:t>https://docs.wanclouds.net/ibm/vpc-draas/</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6">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0">
        <w:r>
          <w:t>https://www.wanclouds.ai/</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8">
        <w:r>
          <w:t>https://cloud.ibm.com/docs/watsonx-bi</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2">
        <w:r>
          <w:t>https://www.ibm.com/docs/en/watson-orchestrate</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2026-10-19T18:39:54Z</dcterms:created>
  <dcterms:modified xsi:type="dcterms:W3CDTF">2026-10-19T18:39:54Z</dcterms:modified>
</cp:coreProperties>
</file>