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https://www.vm2020.com/cybervr-prod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solution is co-managed by RackWare and the customer and includes the RackWare Disaster Recovery (DR) software subscription, standard technical support, and ongoing DR operations, and one non-disruptive disaster recovery drill and test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8">
        <w:r>
          <w:t>https://www.viclinic.com/en/vi-agent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4">
        <w:r>
          <w:t>https://starsystems.in/vmware-vlp/</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0">
        <w:r>
          <w:t>https://docs.wanclouds.net/ibm</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4">
        <w:r>
          <w:t>https://docs.wanclouds.net/ibm/vpc-draas/</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6">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0">
        <w:r>
          <w:t>https://www.wanclouds.ai/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2026-10-25T15:57:17Z</dcterms:created>
  <dcterms:modified xsi:type="dcterms:W3CDTF">2026-10-25T15:57:17Z</dcterms:modified>
</cp:coreProperties>
</file>