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3K Global Customer Service and Support Agent</w:t>
      </w:r>
      <w:r>
        <w:br/>
      </w:r>
      <w:r>
        <w:br/>
      </w:r>
      <w:r>
        <w:br/>
      </w:r>
      <w:r>
        <w:br/>
      </w:r>
      <w:r>
        <w:br/>
      </w:r>
      <w:r>
        <w:br/>
      </w:r>
      <w:r>
        <w:rPr>
          <w:color w:val="808080"/>
          <w:sz w:val="24"/>
          <w:szCs w:val="24"/>
        </w:rPr>
        <w:t>* The 3KT Customer Support Agent is</w:t>
      </w:r>
      <w:r>
        <w:br/>
      </w:r>
      <w:r>
        <w:rPr>
          <w:color w:val="808080"/>
          <w:sz w:val="24"/>
          <w:szCs w:val="24"/>
        </w:rPr>
        <w:t>a native watsonx Orchestrate multi-agent system that automates</w:t>
      </w:r>
      <w:r>
        <w:br/>
      </w:r>
      <w:r>
        <w:rPr>
          <w:color w:val="808080"/>
          <w:sz w:val="24"/>
          <w:szCs w:val="24"/>
        </w:rPr>
        <w:t>end-to-end customer service workflows case context retrieval,</w:t>
      </w:r>
      <w:r>
        <w:br/>
      </w:r>
      <w:r>
        <w:rPr>
          <w:color w:val="808080"/>
          <w:sz w:val="24"/>
          <w:szCs w:val="24"/>
        </w:rPr>
        <w:t>knowledge-base search, issue resolution, satisfaction</w:t>
      </w:r>
      <w:r>
        <w:br/>
      </w:r>
      <w:r>
        <w:rPr>
          <w:color w:val="808080"/>
          <w:sz w:val="24"/>
          <w:szCs w:val="24"/>
        </w:rPr>
        <w:t>feedback, escalation to human and continuous</w:t>
      </w:r>
      <w:r>
        <w:br/>
      </w:r>
      <w:r>
        <w:rPr>
          <w:color w:val="808080"/>
          <w:sz w:val="24"/>
          <w:szCs w:val="24"/>
        </w:rPr>
        <w:t>knowledge-base learning without requiring a custom integration project for</w:t>
      </w:r>
      <w:r>
        <w:br/>
      </w:r>
      <w:r>
        <w:rPr>
          <w:color w:val="808080"/>
          <w:sz w:val="24"/>
          <w:szCs w:val="24"/>
        </w:rPr>
        <w:t xml:space="preserve">every customer. </w:t>
      </w:r>
      <w:r>
        <w:br/>
      </w:r>
      <w:r>
        <w:br/>
      </w:r>
      <w:r>
        <w:br/>
      </w:r>
      <w:r>
        <w:br/>
      </w:r>
      <w:r>
        <w:br/>
      </w:r>
      <w:r>
        <w:br/>
      </w:r>
      <w:r>
        <w:br/>
      </w:r>
      <w:r>
        <w:rPr>
          <w:color w:val="808080"/>
          <w:sz w:val="24"/>
          <w:szCs w:val="24"/>
        </w:rPr>
        <w:t>* A supervisor agent orchestrates multiple</w:t>
      </w:r>
      <w:r>
        <w:br/>
      </w:r>
      <w:r>
        <w:rPr>
          <w:color w:val="808080"/>
          <w:sz w:val="24"/>
          <w:szCs w:val="24"/>
        </w:rPr>
        <w:t>specialist agents, each with a narrow, well-defined responsibility, so requests</w:t>
      </w:r>
      <w:r>
        <w:br/>
      </w:r>
      <w:r>
        <w:rPr>
          <w:color w:val="808080"/>
          <w:sz w:val="24"/>
          <w:szCs w:val="24"/>
        </w:rPr>
        <w:t>are routed to the right specialist automatically based on customer intent and</w:t>
      </w:r>
      <w:r>
        <w:br/>
      </w:r>
      <w:r>
        <w:rPr>
          <w:color w:val="808080"/>
          <w:sz w:val="24"/>
          <w:szCs w:val="24"/>
        </w:rPr>
        <w:t xml:space="preserve">case priority. </w:t>
      </w:r>
      <w:r>
        <w:br/>
      </w:r>
      <w:r>
        <w:br/>
      </w:r>
      <w:r>
        <w:br/>
      </w:r>
      <w:r>
        <w:br/>
      </w:r>
      <w:r>
        <w:br/>
      </w:r>
      <w:r>
        <w:br/>
      </w:r>
      <w:r>
        <w:br/>
      </w:r>
      <w:r>
        <w:rPr>
          <w:color w:val="808080"/>
          <w:sz w:val="24"/>
          <w:szCs w:val="24"/>
        </w:rPr>
        <w:t>* What sets it apart is autonomous</w:t>
      </w:r>
      <w:r>
        <w:br/>
      </w:r>
      <w:r>
        <w:rPr>
          <w:color w:val="808080"/>
          <w:sz w:val="24"/>
          <w:szCs w:val="24"/>
        </w:rPr>
        <w:t>schema mapping: rather than requiring your team to hand-build connectors for</w:t>
      </w:r>
      <w:r>
        <w:br/>
      </w:r>
      <w:r>
        <w:rPr>
          <w:color w:val="808080"/>
          <w:sz w:val="24"/>
          <w:szCs w:val="24"/>
        </w:rPr>
        <w:t>each customer's database, the agent uses a domain ontology covering</w:t>
      </w:r>
      <w:r>
        <w:br/>
      </w:r>
      <w:r>
        <w:rPr>
          <w:color w:val="808080"/>
          <w:sz w:val="24"/>
          <w:szCs w:val="24"/>
        </w:rPr>
        <w:t>Retail/E-Commerce, Logistics, Financial Services, Telecommunications, etc to</w:t>
      </w:r>
      <w:r>
        <w:br/>
      </w:r>
      <w:r>
        <w:rPr>
          <w:color w:val="808080"/>
          <w:sz w:val="24"/>
          <w:szCs w:val="24"/>
        </w:rPr>
        <w:t>automatically discover, map, and validate a customer's existing</w:t>
      </w:r>
      <w:r>
        <w:br/>
      </w:r>
      <w:r>
        <w:rPr>
          <w:color w:val="808080"/>
          <w:sz w:val="24"/>
          <w:szCs w:val="24"/>
        </w:rPr>
        <w:t>case/order/customer tables into the agent's canonical schema This is what lets</w:t>
      </w:r>
      <w:r>
        <w:br/>
      </w:r>
      <w:r>
        <w:rPr>
          <w:color w:val="808080"/>
          <w:sz w:val="24"/>
          <w:szCs w:val="24"/>
        </w:rPr>
        <w:t>the same packaged agent be provisioned against a new customer's data with</w:t>
      </w:r>
      <w:r>
        <w:br/>
      </w:r>
      <w:r>
        <w:rPr>
          <w:color w:val="808080"/>
          <w:sz w:val="24"/>
          <w:szCs w:val="24"/>
        </w:rPr>
        <w:t xml:space="preserve">configuration, not custom development. </w:t>
      </w:r>
      <w:r>
        <w:br/>
      </w:r>
      <w:r>
        <w:br/>
      </w:r>
      <w:r>
        <w:br/>
      </w:r>
      <w:r>
        <w:br/>
      </w:r>
      <w:r>
        <w:br/>
      </w:r>
      <w:r>
        <w:br/>
      </w:r>
      <w:r>
        <w:br/>
      </w:r>
      <w:r>
        <w:rPr>
          <w:color w:val="808080"/>
          <w:sz w:val="24"/>
          <w:szCs w:val="24"/>
        </w:rPr>
        <w:t>* Once connected, the agent</w:t>
      </w:r>
      <w:r>
        <w:br/>
      </w:r>
      <w:r>
        <w:rPr>
          <w:color w:val="808080"/>
          <w:sz w:val="24"/>
          <w:szCs w:val="24"/>
        </w:rPr>
        <w:t>resolves common issues automatically (order status, returns, billing questions,</w:t>
      </w:r>
      <w:r>
        <w:br/>
      </w:r>
      <w:r>
        <w:rPr>
          <w:color w:val="808080"/>
          <w:sz w:val="24"/>
          <w:szCs w:val="24"/>
        </w:rPr>
        <w:t>password resets, etc as applicable), escalates to a human when automated</w:t>
      </w:r>
      <w:r>
        <w:br/>
      </w:r>
      <w:r>
        <w:rPr>
          <w:color w:val="808080"/>
          <w:sz w:val="24"/>
          <w:szCs w:val="24"/>
        </w:rPr>
        <w:t>resolution isn't appropriate, and closes the loop by collecting Customer</w:t>
      </w:r>
      <w:r>
        <w:br/>
      </w:r>
      <w:r>
        <w:rPr>
          <w:color w:val="808080"/>
          <w:sz w:val="24"/>
          <w:szCs w:val="24"/>
        </w:rPr>
        <w:t>Satisfaction Feedback and feeding resolved-case patterns</w:t>
      </w:r>
      <w:r>
        <w:br/>
      </w:r>
      <w:r>
        <w:rPr>
          <w:color w:val="808080"/>
          <w:sz w:val="24"/>
          <w:szCs w:val="24"/>
        </w:rPr>
        <w:t>back into the knowledge base so answer quality improves over</w:t>
      </w:r>
      <w:r>
        <w:br/>
      </w:r>
      <w:r>
        <w:rPr>
          <w:color w:val="808080"/>
          <w:sz w:val="24"/>
          <w:szCs w:val="24"/>
        </w:rPr>
        <w:t xml:space="preserve">time. </w:t>
      </w:r>
      <w:r>
        <w:br/>
      </w:r>
      <w:r>
        <w:br/>
      </w:r>
      <w:r>
        <w:br/>
      </w:r>
      <w:r>
        <w:br/>
      </w:r>
      <w:r>
        <w:br/>
      </w:r>
      <w:r>
        <w:br/>
      </w:r>
      <w:r>
        <w:br/>
      </w:r>
      <w:r>
        <w:rPr>
          <w:color w:val="808080"/>
          <w:sz w:val="24"/>
          <w:szCs w:val="24"/>
        </w:rPr>
        <w:t xml:space="preserve"> </w:t>
      </w:r>
      <w:r>
        <w:br/>
      </w:r>
      <w:r>
        <w:br/>
      </w:r>
      <w:r>
        <w:br/>
      </w:r>
      <w:r>
        <w:br/>
      </w:r>
      <w:r>
        <w:br/>
      </w:r>
      <w:r>
        <w:rPr>
          <w:color w:val="808080"/>
          <w:sz w:val="24"/>
          <w:szCs w:val="24"/>
        </w:rPr>
        <w:t xml:space="preserve">Documentation:  </w:t>
      </w:r>
      <w:hyperlink r:id="rId8">
        <w:r>
          <w:t>https://www.3kglobal.ai/ibm-watsonx/documentation</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ABBYY Know Your Customer Agent</w:t>
      </w:r>
      <w:r>
        <w:br/>
      </w:r>
      <w:r>
        <w:br/>
      </w:r>
      <w:r>
        <w:rPr>
          <w:color w:val="808080"/>
          <w:sz w:val="24"/>
          <w:szCs w:val="24"/>
        </w:rPr>
        <w:t>ABBYY and IBM watsonx.Orchestrate's integrated solution redefines KYC workflows by automating critical compliance tasks. Combining ABBYY's Document and Process AI with IBM watsonx.Orchestrate’s advanced task automation, the solution extracts, validates, and processes data from any document format or language with precision. It transforms unstructured data into actionable insights, orchestrates workflows across systems and teams, and ensures consistent, accurate compliance, reducing manual effort and risk. This powerful synergy creates scalable, efficient KYC operations for high-volume, compliance-critical environments.</w:t>
      </w:r>
      <w:r>
        <w:br/>
      </w:r>
      <w:r>
        <w:rPr>
          <w:color w:val="808080"/>
          <w:sz w:val="24"/>
          <w:szCs w:val="24"/>
        </w:rPr>
        <w:t xml:space="preserve">Documentation:  </w:t>
      </w:r>
      <w:hyperlink r:id="rId10">
        <w:r>
          <w:t>https://docs.abbyy.com/vantage/connectors/ibm-watsonx-orchestrate/kyc-agent</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12">
        <w:r>
          <w:t>https://www.agilecdn.cloud/document/</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AI Medical Scribe Agent</w:t>
      </w:r>
      <w:r>
        <w:br/>
      </w:r>
      <w:r>
        <w:br/>
      </w:r>
      <w:r>
        <w:rPr>
          <w:color w:val="808080"/>
          <w:sz w:val="24"/>
          <w:szCs w:val="24"/>
        </w:rPr>
        <w:t>The AI Medical Scribe Agent is an intelligent documentation assistant that captures and transforms clinical conversations into structured, accurate, and compliant medical notes in real time.</w:t>
      </w:r>
      <w:r>
        <w:br/>
      </w:r>
      <w:r>
        <w:rPr>
          <w:color w:val="808080"/>
          <w:sz w:val="24"/>
          <w:szCs w:val="24"/>
        </w:rPr>
        <w:t>Clinicians spend a significant portion of their time on documentation, often leading to burnout, incomplete records, and reduced patient interaction. This agent addresses these challenges by automatically generating clinical notes from voice or text inputs, aligned with standardized formats such as SOAP.</w:t>
      </w:r>
      <w:r>
        <w:br/>
      </w:r>
      <w:r>
        <w:rPr>
          <w:color w:val="808080"/>
          <w:sz w:val="24"/>
          <w:szCs w:val="24"/>
        </w:rPr>
        <w:t>Integrated directly into clinical workflows, the agent structures information into history, examination findings, assessments, and plans, while preserving clinical context and relevance. It supports customization based on specialty-specific templates and organizational requirements.</w:t>
      </w:r>
      <w:r>
        <w:br/>
      </w:r>
      <w:r>
        <w:rPr>
          <w:color w:val="808080"/>
          <w:sz w:val="24"/>
          <w:szCs w:val="24"/>
        </w:rPr>
        <w:t>The agent also enhances documentation quality by ensuring completeness and consistency, which supports downstream processes such as coding, billing, and clinical decision-making.</w:t>
      </w:r>
      <w:r>
        <w:br/>
      </w:r>
      <w:r>
        <w:rPr>
          <w:color w:val="808080"/>
          <w:sz w:val="24"/>
          <w:szCs w:val="24"/>
        </w:rPr>
        <w:t>By reducing manual data entry and streamlining documentation workflows, the AI Medical Scribe Agent improves clinician efficiency, increases time available for patient care, and supports high-quality, compliant medical records.</w:t>
      </w:r>
      <w:r>
        <w:br/>
      </w:r>
      <w:r>
        <w:br/>
      </w:r>
      <w:r>
        <w:br/>
      </w:r>
      <w:r>
        <w:br/>
      </w:r>
      <w:r>
        <w:rPr>
          <w:color w:val="808080"/>
          <w:sz w:val="24"/>
          <w:szCs w:val="24"/>
        </w:rPr>
        <w:t xml:space="preserve">Documentation:  </w:t>
      </w:r>
      <w:hyperlink r:id="rId14">
        <w:r>
          <w:t>https://www.viclinic.com/en/vi-agent</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6">
        <w:r>
          <w:t>https://ibm-sparx.squared.ai/docs/</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8">
        <w:r>
          <w:t>https://aisolved.ai/how-it-works</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20">
        <w:r>
          <w:t>https://11x-alice-knowledge-base.sammylabs.com/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22">
        <w:r>
          <w:t>https://support.altahq.com/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4">
        <w:r>
          <w:t>https://docs.anontech.io</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3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2">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4">
        <w:r>
          <w:t>https://cloud.ibm.com/docs/app-configuration</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6">
        <w:r>
          <w:t>https://cloud.ibm.com/docs/services/appid</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8">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40">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2">
        <w:r>
          <w:t>https://cloud.ibm.com/docs/backup-recovery</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Banking Agent from Incede.ai</w:t>
      </w:r>
      <w:r>
        <w:br/>
      </w:r>
      <w:r>
        <w:br/>
      </w:r>
      <w:r>
        <w:rPr>
          <w:color w:val="808080"/>
          <w:sz w:val="24"/>
          <w:szCs w:val="24"/>
        </w:rPr>
        <w:t>An AI-powered banking agent that automates customer service through natural conversation: branch lookups, appointment scheduling, and booking management</w:t>
      </w:r>
      <w:r>
        <w:br/>
      </w:r>
      <w:r>
        <w:rPr>
          <w:color w:val="808080"/>
          <w:sz w:val="24"/>
          <w:szCs w:val="24"/>
        </w:rPr>
        <w:t xml:space="preserve">Documentation:  </w:t>
      </w:r>
      <w:hyperlink r:id="rId44">
        <w:r>
          <w:t>https://www.incede.ai/docs/banking-customer-engagement-agent</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6">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8">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50">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52">
        <w:r>
          <w:t>https://read.bespoken.ai/</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BeX Legal AI Assistant</w:t>
      </w:r>
      <w:r>
        <w:br/>
      </w:r>
      <w:r>
        <w:br/>
      </w:r>
      <w:r>
        <w:rPr>
          <w:color w:val="808080"/>
          <w:sz w:val="24"/>
          <w:szCs w:val="24"/>
        </w:rPr>
        <w:t xml:space="preserve">BeX Legal AI Assistant is an enterprise AI Digital Employee that automates legal workflows — contract drafting, review, negotiation, research, and compliance analysis — within IBM watsonx Orchestrate. </w:t>
      </w:r>
      <w:r>
        <w:br/>
      </w:r>
      <w:r>
        <w:rPr>
          <w:color w:val="808080"/>
          <w:sz w:val="24"/>
          <w:szCs w:val="24"/>
        </w:rPr>
        <w:t>Driven by configurable legal playbooks, it produces structured, auditable outputs aligned to your organisation's own standards, with a purpose-built dynamic UI and the ability to execute tasks autonomously end-to-end.</w:t>
      </w:r>
      <w:r>
        <w:br/>
      </w:r>
      <w:r>
        <w:rPr>
          <w:color w:val="808080"/>
          <w:sz w:val="24"/>
          <w:szCs w:val="24"/>
        </w:rPr>
        <w:t xml:space="preserve">Documentation:  </w:t>
      </w:r>
      <w:hyperlink r:id="rId54">
        <w:r>
          <w:t>https://coolriots.ai/bex-legal-assistant-docs/</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BioLLM Culture Query Agent</w:t>
      </w:r>
      <w:r>
        <w:br/>
      </w:r>
      <w:r>
        <w:br/>
      </w:r>
      <w:r>
        <w:rPr>
          <w:color w:val="808080"/>
          <w:sz w:val="24"/>
          <w:szCs w:val="24"/>
        </w:rPr>
        <w:t>BioLLM Culture Query Agent is an AI-powered native agent built on IBM watsonx Orchestrate that enables researchers, lab technicians, and bioinformaticians to interact with biological culture databases using natural language queries.</w:t>
      </w:r>
      <w:r>
        <w:br/>
      </w:r>
      <w:r>
        <w:br/>
      </w:r>
      <w:r>
        <w:rPr>
          <w:color w:val="808080"/>
          <w:sz w:val="24"/>
          <w:szCs w:val="24"/>
        </w:rPr>
        <w:t>The agent leverages large language model (LLM) capabilities to understand complex biological queries, retrieve relevant culture data, and deliver actionable insights—eliminating the need for specialized query languages or manual database navigation.</w:t>
      </w:r>
      <w:r>
        <w:br/>
      </w:r>
      <w:r>
        <w:br/>
      </w:r>
      <w:r>
        <w:rPr>
          <w:color w:val="808080"/>
          <w:sz w:val="24"/>
          <w:szCs w:val="24"/>
        </w:rPr>
        <w:t>Key capabilities include natural language querying of culture collections, intelligent data retrieval and summarization, cross-referencing of culture metadata, and seamless integration with existing laboratory information management systems (LIMS). Whether you are managing microbial cultures, cell lines, or other biological specimens, BioLLM Culture Query Agent streamlines data access and accelerates research workflows.</w:t>
      </w:r>
      <w:r>
        <w:br/>
      </w:r>
      <w:r>
        <w:rPr>
          <w:color w:val="808080"/>
          <w:sz w:val="24"/>
          <w:szCs w:val="24"/>
        </w:rPr>
        <w:t xml:space="preserve">Documentation:  </w:t>
      </w:r>
      <w:hyperlink r:id="rId56">
        <w:r>
          <w:t>https://biollm.com/docs/culture-query-agent</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8">
        <w:r>
          <w:t>https://cloud.ibm.com/docs</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60">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62">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Branch FLOW</w:t>
      </w:r>
      <w:r>
        <w:br/>
      </w:r>
      <w:r>
        <w:br/>
      </w:r>
      <w:r>
        <w:rPr>
          <w:color w:val="808080"/>
          <w:sz w:val="24"/>
          <w:szCs w:val="24"/>
        </w:rPr>
        <w:t>Branch FLOW™ enables institutions to transform branch operational data into actionable intelligence that improves customer experience, workforce productivity, and operational efficiency.</w:t>
      </w:r>
      <w:r>
        <w:br/>
      </w:r>
      <w:r>
        <w:br/>
      </w:r>
      <w:r>
        <w:rPr>
          <w:color w:val="808080"/>
          <w:sz w:val="24"/>
          <w:szCs w:val="24"/>
        </w:rPr>
        <w:t>The platform continuously analyzes branch demand, serving capacity, transaction patterns, staffing levels, and utilization metrics to identify operational stress, peak traffic periods, service bottlenecks, and emerging operational risks. By combining operational analytics with AI-driven decision support, Branch FLOW™ helps branch managers, operations teams, and business leaders make faster, more informed decisions.</w:t>
      </w:r>
      <w:r>
        <w:br/>
      </w:r>
      <w:r>
        <w:br/>
      </w:r>
      <w:r>
        <w:rPr>
          <w:color w:val="808080"/>
          <w:sz w:val="24"/>
          <w:szCs w:val="24"/>
        </w:rPr>
        <w:t>Through a conversational AI experience, users can explore branch performance using natural language. The platform provides visibility into operational stress, staffing effectiveness, wait-time risks, queue pressure, utilization trends, and capacity constraints, enabling proactive intervention before service levels are impacted.</w:t>
      </w:r>
      <w:r>
        <w:br/>
      </w:r>
      <w:r>
        <w:br/>
      </w:r>
      <w:r>
        <w:rPr>
          <w:color w:val="808080"/>
          <w:sz w:val="24"/>
          <w:szCs w:val="24"/>
        </w:rPr>
        <w:t>Powered by a proprietary six-signal scoring engine, Branch FLOW™ moves organizations beyond traditional reporting to always-on operational intelligence. Helps organizations improve service consistency, reduce customer wait times, optimize workforce allocation, enhance operational productivity, and accelerate decision-making.</w:t>
      </w:r>
      <w:r>
        <w:br/>
      </w:r>
      <w:r>
        <w:br/>
      </w:r>
      <w:r>
        <w:rPr>
          <w:color w:val="808080"/>
          <w:sz w:val="24"/>
          <w:szCs w:val="24"/>
        </w:rPr>
        <w:t xml:space="preserve">Documentation:  </w:t>
      </w:r>
      <w:hyperlink r:id="rId64">
        <w:r>
          <w:t>https://branch-agent.essexlg.ai/docs</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6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6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7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Care Coordinator</w:t>
      </w:r>
      <w:r>
        <w:br/>
      </w:r>
      <w:r>
        <w:br/>
      </w:r>
      <w:r>
        <w:rPr>
          <w:color w:val="808080"/>
          <w:sz w:val="24"/>
          <w:szCs w:val="24"/>
        </w:rPr>
        <w:t>The Hubkom AI Care Coordinator is a HIPAA-compliant voice assistant engineered to automate and optimize patient communication, care coordination, and administrative workflows across your medical practice. Acting as an intelligent orchestration layer, it manages proactive outreach through specialized care programs, including appointment recalls and appointment reminders.</w:t>
      </w:r>
      <w:r>
        <w:br/>
      </w:r>
      <w:r>
        <w:br/>
      </w:r>
      <w:r>
        <w:rPr>
          <w:color w:val="808080"/>
          <w:sz w:val="24"/>
          <w:szCs w:val="24"/>
        </w:rPr>
        <w:t>Hubkom AI Care Coordinator leverages advanced conversational intelligence to streamline medical administrative tasks that traditionally place a heavy burden on front-desk staff. Through specialized care workflows, it evaluates patient records, identifies care gaps, initiates timely outreach, schedules appointments, answers common clinical and administrative questions, assesses follow-up needs, and supports multilingual patient interactions to improve access and continuity of care.</w:t>
      </w:r>
      <w:r>
        <w:br/>
      </w:r>
      <w:r>
        <w:br/>
      </w:r>
      <w:r>
        <w:rPr>
          <w:color w:val="808080"/>
          <w:sz w:val="24"/>
          <w:szCs w:val="24"/>
        </w:rPr>
        <w:t>Designed to coordinate multiple AI-driven patient engagement workflows, the Care Coordinator intelligently routes each conversation to the appropriate care program while maintaining a seamless and personalized patient experience. This modular architecture enables healthcare organizations to expand automation across new outreach initiatives without changing the patient experience.</w:t>
      </w:r>
      <w:r>
        <w:br/>
      </w:r>
      <w:r>
        <w:br/>
      </w:r>
      <w:r>
        <w:rPr>
          <w:color w:val="808080"/>
          <w:sz w:val="24"/>
          <w:szCs w:val="24"/>
        </w:rPr>
        <w:t>Built by Hubkom Solutions, a provider dedicated to empowering medical practices with physician-designed smart support and secure digital health solutions.</w:t>
      </w:r>
      <w:r>
        <w:br/>
      </w:r>
      <w:r>
        <w:rPr>
          <w:color w:val="808080"/>
          <w:sz w:val="24"/>
          <w:szCs w:val="24"/>
        </w:rPr>
        <w:t xml:space="preserve">Documentation:  </w:t>
      </w:r>
      <w:hyperlink r:id="rId72">
        <w:r>
          <w:t>https://hubkomsolutions.com/docs.html</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74">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76">
        <w:r>
          <w:t>https://celerity-uk.com</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78">
        <w:r>
          <w:t>https://celerity-uk.com</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80">
        <w:r>
          <w:t>https://www.blockpliance.com/</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82">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84">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86">
        <w:r>
          <w:t>https://partners-ibm.claira.ai/help</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88">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90">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92">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94">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96">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98">
        <w:r>
          <w:t>https://cloud.ibm.com/docs/cloud-logs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100">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102">
        <w:r>
          <w:t>https://docs.robin.io/storage/latest/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104">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106">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108">
        <w:r>
          <w:t>https://www.lyticly.com</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110">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12">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14">
        <w:r>
          <w:t>https://cloud.ibm.com/docs/Cloudant</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16">
        <w:r>
          <w:t>https://en.wangsu.com/document/cdnpro/ibmcloud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18">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20">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22">
        <w:r>
          <w:t>https://cognospartners.com/cognos-assistant/</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Commissioning Readiness</w:t>
      </w:r>
      <w:r>
        <w:br/>
      </w:r>
      <w:r>
        <w:br/>
      </w:r>
      <w:r>
        <w:rPr>
          <w:color w:val="808080"/>
          <w:sz w:val="24"/>
          <w:szCs w:val="24"/>
        </w:rPr>
        <w:t>Commissioning Readiness answers the question every commissioning lead carries into a readiness review: is this facility ready to start up, and if not, what is blocking it and where is the proof? It reviews readiness gate by gate across the commissioning disciplines (mechanical, electrical, instrumentation, controls, safety, environmental, operational), and returns a readiness score with a ranked list of blockers, each tied to its source evidence, grounded in the CII SR19-01 DR310 commissioning-completion lifecycle. No system connection is needed to start. Connect IBM Maximo to score your own records. It is deterministic and standards-grounded. It speaks to the commissioning lead (gate-by-gate sign-off), the programme director (portfolio readiness), the project manager (in-flight blockers), and the discipline lead (clean status recording) in regulated infrastructure.</w:t>
      </w:r>
      <w:r>
        <w:br/>
      </w:r>
      <w:r>
        <w:rPr>
          <w:color w:val="808080"/>
          <w:sz w:val="24"/>
          <w:szCs w:val="24"/>
        </w:rPr>
        <w:t xml:space="preserve">Documentation:  </w:t>
      </w:r>
      <w:hyperlink r:id="rId124">
        <w:r>
          <w:t>https://vistergy.com/cr-documentation</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26">
        <w:r>
          <w:t>https://www.lyzr.ai/kathy/</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28">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Construction Work Pack Compliance</w:t>
      </w:r>
      <w:r>
        <w:br/>
      </w:r>
      <w:r>
        <w:br/>
      </w:r>
      <w:r>
        <w:rPr>
          <w:color w:val="808080"/>
          <w:sz w:val="24"/>
          <w:szCs w:val="24"/>
        </w:rPr>
        <w:t>Know whether your construction work packages are compliant before they reach the facility, with a regulator-ready audit trail for every finding. Each package is scored against the canonical AWP standard, CII SR19-01 v2.0 (60 data requirements across 19 categories, extending CFIHOS for construction execution). No system connection is needed. Connect IBM Maximo when you want it to read live work-pack state. On your authorisation it then writes the service request or work order that closes the gap. Built for compliance officers verifying alignment, sponsors carrying sign-off, project directors reviewing readiness, and AWP coordinators building and fixing packs, in nuclear, energy, data centre, and LNG.</w:t>
      </w:r>
      <w:r>
        <w:br/>
      </w:r>
      <w:r>
        <w:rPr>
          <w:color w:val="808080"/>
          <w:sz w:val="24"/>
          <w:szCs w:val="24"/>
        </w:rPr>
        <w:t xml:space="preserve">Documentation:  </w:t>
      </w:r>
      <w:hyperlink r:id="rId130">
        <w:r>
          <w:t>https://vistergy.com/cwp-compliance-documentation</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32">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34">
        <w:r>
          <w:t>https://cloud.ibm.com/docs</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Continuous Care And Follow Up Agent</w:t>
      </w:r>
      <w:r>
        <w:br/>
      </w:r>
      <w:r>
        <w:br/>
      </w:r>
      <w:r>
        <w:rPr>
          <w:color w:val="808080"/>
          <w:sz w:val="24"/>
          <w:szCs w:val="24"/>
        </w:rPr>
        <w:t>The Continuous Care &amp; Follow-Up Agent is an AI-powered solution designed to support ongoing patient care beyond the initial visit or discharge, enabling continuous monitoring, engagement, and care coordination.</w:t>
      </w:r>
      <w:r>
        <w:br/>
      </w:r>
      <w:r>
        <w:rPr>
          <w:color w:val="808080"/>
          <w:sz w:val="24"/>
          <w:szCs w:val="24"/>
        </w:rPr>
        <w:t>Healthcare delivery often lacks structured follow-up and long-term care management, especially for chronic conditions. This agent addresses these gaps by maintaining continuous interaction with patients, tracking symptoms, monitoring adherence, and supporting recovery and disease management over time.</w:t>
      </w:r>
      <w:r>
        <w:br/>
      </w:r>
      <w:r>
        <w:rPr>
          <w:color w:val="808080"/>
          <w:sz w:val="24"/>
          <w:szCs w:val="24"/>
        </w:rPr>
        <w:t>Through conversational check-ins and structured data collection, the agent gathers relevant patient information and identifies potential risks or deviations from care plans. It supports clinicians by providing visibility into patient status between visits and enabling timely intervention when needed.</w:t>
      </w:r>
      <w:r>
        <w:br/>
      </w:r>
      <w:r>
        <w:rPr>
          <w:color w:val="808080"/>
          <w:sz w:val="24"/>
          <w:szCs w:val="24"/>
        </w:rPr>
        <w:t>The agent enhances patient engagement by delivering personalized guidance, reminders, and follow-up instructions aligned with clinical protocols. It ensures that patients remain connected to their care team and adhere to recommended treatment plans.</w:t>
      </w:r>
      <w:r>
        <w:br/>
      </w:r>
      <w:r>
        <w:rPr>
          <w:color w:val="808080"/>
          <w:sz w:val="24"/>
          <w:szCs w:val="24"/>
        </w:rPr>
        <w:t>By enabling continuous care workflows, the agent improves outcomes, reduces complications, and supports value-based care models through better long-term patient management.</w:t>
      </w:r>
      <w:r>
        <w:br/>
      </w:r>
      <w:r>
        <w:br/>
      </w:r>
      <w:r>
        <w:br/>
      </w:r>
      <w:r>
        <w:br/>
      </w:r>
      <w:r>
        <w:rPr>
          <w:color w:val="808080"/>
          <w:sz w:val="24"/>
          <w:szCs w:val="24"/>
        </w:rPr>
        <w:t xml:space="preserve">Documentation:  </w:t>
      </w:r>
      <w:hyperlink r:id="rId136">
        <w:r>
          <w:t>https://www.viclinic.com/en/vi-agent</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3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40">
        <w:r>
          <w:t>https://converlistics.com/documentation/</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42">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44">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46">
        <w:r>
          <w:t>https://support.crushbank.com/knowledge</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48">
        <w:r>
          <w:t>https://docs.ctrlagent.ai/</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50">
        <w:r>
          <w:t>https://docs.wanclouds.net/ibm</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52">
        <w:r>
          <w:t>https://www.keyno.io</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54">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5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5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62">
        <w:r>
          <w:t>https://cloud.ibm.com/docs/databases-for-mysql</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6">
        <w:r>
          <w:t>https://cloud.ibm.com/docs/databases-for-redis</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Databases Independent Backups</w:t>
      </w:r>
      <w:r>
        <w:br/>
      </w:r>
      <w:r>
        <w:br/>
      </w:r>
      <w:r>
        <w:rPr>
          <w:color w:val="808080"/>
          <w:sz w:val="24"/>
          <w:szCs w:val="24"/>
        </w:rPr>
        <w:t>IBM Cloud Databases Independent Backups is a managed offering for IBM Cloud Databases Gen 2 (on VPC) that lets you retain and restore backups independently of the database instance lifecycle.  The service support use cases such as compliance, testing, or protection against accidental data loss. Backups are enabled by VPC Block Storage snapshots, providing cost‑efficient and flexible storage designed for instant restore, including large, multi-terabyte recovery. Each instance is an IBM Cloud resources with its own lifecycle, identity, billing, and IAM access controls, enabling fine grained access control and support even after the original database instance is no longer present.</w:t>
      </w:r>
      <w:r>
        <w:br/>
      </w:r>
      <w:r>
        <w:rPr>
          <w:color w:val="808080"/>
          <w:sz w:val="24"/>
          <w:szCs w:val="24"/>
        </w:rPr>
        <w:t xml:space="preserve">Documentation:  </w:t>
      </w:r>
      <w:hyperlink r:id="rId168">
        <w:r>
          <w:t>https://cloud.ibm.com/docs/databases-independent-backups</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70">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72">
        <w:r>
          <w:t>https://datavault.one/learn</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74">
        <w:r>
          <w:t>https://cloud.ibm.com/docs/db2-saas</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76">
        <w:r>
          <w:t>https://cloud.ibm.com/docs/db2wh-saas</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7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80">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82">
        <w:r>
          <w:t>https://digilabs.ai/</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6">
        <w:r>
          <w:t>https://cloud.ibm.com/docs/direct-link</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88">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90">
        <w:r>
          <w:t>https://cloud.ibm.com/docs/direct-link</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92">
        <w:r>
          <w:t>https://cloud.ibm.com/docs/direct-link</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94">
        <w:r>
          <w:t>https://cloud.ibm.com/docs/direct-link</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96">
        <w:r>
          <w:t>https://docs.difr.com</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98">
        <w:r>
          <w:t>https://docs.difr.com</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200">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202">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204">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206">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208">
        <w:r>
          <w:t>https://support.elastio.com/hc/en-us</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210">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212">
        <w:r>
          <w:t>https://everythingthatis.cloud</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 fully managed, cloud-native communication and notification service that helps organizations respond to events and communicate important information at scale. It supports two core use cases: event-driven operational alerting and automation, and outbound transactional business communication. With this one service, organizations can route operational events to service management ecosystem tools like Slack, MS Teams, and ServiceNow, trigger automations with webhooks or Code Engine integrations, and deliver transactional business messages to customers and users through channels such as email, SMS, and push notifications.</w:t>
      </w:r>
      <w:r>
        <w:br/>
      </w:r>
      <w:r>
        <w:br/>
      </w:r>
      <w:r>
        <w:br/>
      </w:r>
      <w:r>
        <w:rPr>
          <w:color w:val="808080"/>
          <w:sz w:val="24"/>
          <w:szCs w:val="24"/>
        </w:rPr>
        <w:t>**Operational Use Cases**</w:t>
      </w:r>
      <w:r>
        <w:br/>
      </w:r>
      <w:r>
        <w:br/>
      </w:r>
      <w:r>
        <w:rPr>
          <w:color w:val="808080"/>
          <w:sz w:val="24"/>
          <w:szCs w:val="24"/>
        </w:rPr>
        <w:t>* **Monitoring:** Alerts, threshold breaches, uptime notifications, and escalations.</w:t>
      </w:r>
      <w:r>
        <w:br/>
      </w:r>
      <w:r>
        <w:rPr>
          <w:color w:val="808080"/>
          <w:sz w:val="24"/>
          <w:szCs w:val="24"/>
        </w:rPr>
        <w:t>* **Jobs:** Batch/ETL results, backups, scheduled reports, and export-ready notifications.</w:t>
      </w:r>
      <w:r>
        <w:br/>
      </w:r>
      <w:r>
        <w:rPr>
          <w:color w:val="808080"/>
          <w:sz w:val="24"/>
          <w:szCs w:val="24"/>
        </w:rPr>
        <w:t>* **CI/CD:** Build failures, deployment confirmations, and test results.</w:t>
      </w:r>
      <w:r>
        <w:br/>
      </w:r>
      <w:r>
        <w:rPr>
          <w:color w:val="808080"/>
          <w:sz w:val="24"/>
          <w:szCs w:val="24"/>
        </w:rPr>
        <w:t>* **Infrastructure:** Certificate expiry, quota warnings, and capacity alerts.</w:t>
      </w:r>
      <w:r>
        <w:br/>
      </w:r>
      <w:r>
        <w:rPr>
          <w:color w:val="808080"/>
          <w:sz w:val="24"/>
          <w:szCs w:val="24"/>
        </w:rPr>
        <w:t>* **Audit:** Configuration changes, permission grants, and administrative actions.</w:t>
      </w:r>
      <w:r>
        <w:br/>
      </w:r>
      <w:r>
        <w:br/>
      </w:r>
      <w:r>
        <w:rPr>
          <w:color w:val="808080"/>
          <w:sz w:val="24"/>
          <w:szCs w:val="24"/>
        </w:rPr>
        <w:t>**Outbound Business Communication Use Cases**</w:t>
      </w:r>
      <w:r>
        <w:br/>
      </w:r>
      <w:r>
        <w:br/>
      </w:r>
      <w:r>
        <w:rPr>
          <w:color w:val="808080"/>
          <w:sz w:val="24"/>
          <w:szCs w:val="24"/>
        </w:rPr>
        <w:t>* **Account:** Verification, password reset, OTP &amp; MFA, and security alerts.</w:t>
      </w:r>
      <w:r>
        <w:br/>
      </w:r>
      <w:r>
        <w:rPr>
          <w:color w:val="808080"/>
          <w:sz w:val="24"/>
          <w:szCs w:val="24"/>
        </w:rPr>
        <w:t>* **Commerce:** Order confirmations, receipts, shipping, and tracking notifications.</w:t>
      </w:r>
      <w:r>
        <w:br/>
      </w:r>
      <w:r>
        <w:rPr>
          <w:color w:val="808080"/>
          <w:sz w:val="24"/>
          <w:szCs w:val="24"/>
        </w:rPr>
        <w:t>* **Billing:** Invoices, payment confirmations, dunning, and renewal notifications.</w:t>
      </w:r>
      <w:r>
        <w:br/>
      </w:r>
      <w:r>
        <w:rPr>
          <w:color w:val="808080"/>
          <w:sz w:val="24"/>
          <w:szCs w:val="24"/>
        </w:rPr>
        <w:t>* **Product:** Mentions, assignments, approvals, and sharing invitations.</w:t>
      </w:r>
      <w:r>
        <w:br/>
      </w:r>
      <w:r>
        <w:rPr>
          <w:color w:val="808080"/>
          <w:sz w:val="24"/>
          <w:szCs w:val="24"/>
        </w:rPr>
        <w:t>* **Support:** Ticket updates and appointment reminders.</w:t>
      </w:r>
      <w:r>
        <w:br/>
      </w:r>
      <w:r>
        <w:rPr>
          <w:color w:val="808080"/>
          <w:sz w:val="24"/>
          <w:szCs w:val="24"/>
        </w:rPr>
        <w:t xml:space="preserve">Documentation:  </w:t>
      </w:r>
      <w:hyperlink r:id="rId214">
        <w:r>
          <w:t>https://cloud.ibm.com/docs/event-notifications</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216">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1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Facility Handover Compliance</w:t>
      </w:r>
      <w:r>
        <w:br/>
      </w:r>
      <w:r>
        <w:br/>
      </w:r>
      <w:r>
        <w:rPr>
          <w:color w:val="808080"/>
          <w:sz w:val="24"/>
          <w:szCs w:val="24"/>
        </w:rPr>
        <w:t>Confirm a handover package is complete enough to sign off before an asset enters operations. You get a completeness score per package, a gap-by-gap remediation list, and document-level evidence for every criterion. Each package is checked against the seven ISO 19650-4 Clause 7 criteria, mapped to the CFIHOS V2.0 reference, and compared against the ISO 19650-3 Asset Information Model for build-to-operate continuity. No system connection is needed. Connect IBM Maximo when you want it to read your live handover packages, asset records, and document status. Built for information managers driving sign-off, BIM coordinators verifying conformance, asset operators receiving the package, and project teams populating the AIM, in regulated infrastructure.</w:t>
      </w:r>
      <w:r>
        <w:br/>
      </w:r>
      <w:r>
        <w:rPr>
          <w:color w:val="808080"/>
          <w:sz w:val="24"/>
          <w:szCs w:val="24"/>
        </w:rPr>
        <w:t xml:space="preserve">Documentation:  </w:t>
      </w:r>
      <w:hyperlink r:id="rId220">
        <w:r>
          <w:t>https://vistergy.com/facility-handover-compliance-documentation</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22">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24">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26">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28">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Flacron AR AI Agent</w:t>
      </w:r>
      <w:r>
        <w:br/>
      </w:r>
      <w:r>
        <w:br/>
      </w:r>
      <w:r>
        <w:rPr>
          <w:color w:val="808080"/>
          <w:sz w:val="24"/>
          <w:szCs w:val="24"/>
        </w:rPr>
        <w:t>Flacron AR Agent automates the repetitive part of property inspection follow up. Feed it an inspection photo and it identifies visible damage type, location, severity, and a recommended action. From there, it turns those findings into a structured repair scope of work, and prices that scope into a full cost estimate with labor, material, and total line items.</w:t>
      </w:r>
      <w:r>
        <w:br/>
      </w:r>
      <w:r>
        <w:rPr>
          <w:color w:val="808080"/>
          <w:sz w:val="24"/>
          <w:szCs w:val="24"/>
        </w:rPr>
        <w:t>Each action is a discrete, callable tool with a defined input and output, so it fits directly into an automated workflow: trigger damage analysis on a new photo, generate the scope from the findings, generate the estimate from the scope. Authentication is a company-scoped API key, so every call is tied to the right account and project.</w:t>
      </w:r>
      <w:r>
        <w:br/>
      </w:r>
      <w:r>
        <w:br/>
      </w:r>
      <w:r>
        <w:rPr>
          <w:color w:val="808080"/>
          <w:sz w:val="24"/>
          <w:szCs w:val="24"/>
        </w:rPr>
        <w:t xml:space="preserve">Documentation:  </w:t>
      </w:r>
      <w:hyperlink r:id="rId230">
        <w:r>
          <w:t>https://flacronar.com/docs</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32">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34">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36">
        <w:r>
          <w:t>https://www.fnts.com/cloud/ibm-power-cloud</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38">
        <w:r>
          <w:t>https://www.fnts.com/cloud/ibm-power-cloud</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40">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42">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44">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46">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4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5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52">
        <w:r>
          <w:t>https://www.freschesolutions.com</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54">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56">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GBG Reach - Address Email and Phone Verification</w:t>
      </w:r>
      <w:r>
        <w:br/>
      </w:r>
      <w:r>
        <w:br/>
      </w:r>
      <w:r>
        <w:rPr>
          <w:color w:val="808080"/>
          <w:sz w:val="24"/>
          <w:szCs w:val="24"/>
        </w:rPr>
        <w:t>GBG Reach is a data quality agent for IBM watsonx Orchestrate that verifies, validates, and cleanses key elements of your customer data - postal addresses, email addresses, and phone numbers - using GBG Loqate's trusted global reference data.</w:t>
      </w:r>
      <w:r>
        <w:br/>
      </w:r>
      <w:r>
        <w:br/>
      </w:r>
      <w:r>
        <w:rPr>
          <w:color w:val="808080"/>
          <w:sz w:val="24"/>
          <w:szCs w:val="24"/>
        </w:rPr>
        <w:t>Hand Reach a single value, several records, a block of free-form text, or an uploaded CSV, and it automatically detects every address, email, and phone number present, then returns a clear, policy-aware recommendation for each: accept, review, or reject, complete with a confidence score and clean, standardized output. Your agent gets a decision it can act on - without any custom parsing logic.</w:t>
      </w:r>
      <w:r>
        <w:br/>
      </w:r>
      <w:r>
        <w:br/>
      </w:r>
      <w:r>
        <w:rPr>
          <w:color w:val="808080"/>
          <w:sz w:val="24"/>
          <w:szCs w:val="24"/>
        </w:rPr>
        <w:t>Use Reach the way that suits your workflow:</w:t>
      </w:r>
      <w:r>
        <w:br/>
      </w:r>
      <w:r>
        <w:rPr>
          <w:color w:val="808080"/>
          <w:sz w:val="24"/>
          <w:szCs w:val="24"/>
        </w:rPr>
        <w:t>- Chat with it directly for quick, ad-hoc verification.</w:t>
      </w:r>
      <w:r>
        <w:br/>
      </w:r>
      <w:r>
        <w:rPr>
          <w:color w:val="808080"/>
          <w:sz w:val="24"/>
          <w:szCs w:val="24"/>
        </w:rPr>
        <w:t>- Add it as a collaborator to your own agent so it cleans data mid-conversation, for example validating a customer's address during onboarding before you save it.</w:t>
      </w:r>
      <w:r>
        <w:br/>
      </w:r>
      <w:r>
        <w:rPr>
          <w:color w:val="808080"/>
          <w:sz w:val="24"/>
          <w:szCs w:val="24"/>
        </w:rPr>
        <w:t>- Build it into an automated workflow to verify and standardize records at scale.</w:t>
      </w:r>
      <w:r>
        <w:br/>
      </w:r>
      <w:r>
        <w:br/>
      </w:r>
      <w:r>
        <w:rPr>
          <w:color w:val="808080"/>
          <w:sz w:val="24"/>
          <w:szCs w:val="24"/>
        </w:rPr>
        <w:t>Because every decision is policy-aware, you control how strict verification is for each scenario, from light-touch marketing list hygiene to strict KYC and onboarding checks. Teams use Reach to improve email deliverability, reduce failed deliveries and shipping costs, cut fraud and returns, clean up CRM and marketing data, and keep customer records accurate and up to date. Every decision can be logged for auditability, giving you a record for compliance review or reporting.</w:t>
      </w:r>
      <w:r>
        <w:br/>
      </w:r>
      <w:r>
        <w:br/>
      </w:r>
      <w:r>
        <w:rPr>
          <w:color w:val="808080"/>
          <w:sz w:val="24"/>
          <w:szCs w:val="24"/>
        </w:rPr>
        <w:t>Powered by GBG Loqate's global address verification, email verification, and phone validation, Reach stops bad data at the source so you can act on information you trust - backed by the engine enterprises rely on, verifying data across 245 countries and 3 billion times a year.</w:t>
      </w:r>
      <w:r>
        <w:br/>
      </w:r>
      <w:r>
        <w:rPr>
          <w:color w:val="808080"/>
          <w:sz w:val="24"/>
          <w:szCs w:val="24"/>
        </w:rPr>
        <w:t xml:space="preserve">Documentation:  </w:t>
      </w:r>
      <w:hyperlink r:id="rId258">
        <w:r>
          <w:t>https://docs.loqate.com/ai-agents/wxo/overview</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60">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62">
        <w:r>
          <w:t>https://govpulse.io/docs.html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64">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66">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6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70">
        <w:r>
          <w:t>https://heimr.co/services/</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7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74">
        <w:r>
          <w:t>https://cloud.ibm.com/docs</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76">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78">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80">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82">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8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86">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88">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90">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Intics.ai - Agentic Document Intelligence </w:t>
      </w:r>
      <w:r>
        <w:br/>
      </w:r>
      <w:r>
        <w:br/>
      </w:r>
      <w:r>
        <w:rPr>
          <w:color w:val="808080"/>
          <w:sz w:val="24"/>
          <w:szCs w:val="24"/>
        </w:rPr>
        <w:t>Intics.ai Agentic Document Intelligence is an AI-powered platform that streamlines document processing for healthcare and pharmaceutical organizations. Our solution automatically extracts, classifies, and organizes data from a wide range of documents including forms, clinical records, and reports. By leveraging advanced machine learning and natural language processing, Intics.ai significantly reduces manual effort, improves data accuracy, and accelerates workflow efficiency. The platform supports integration with existing systems, ensures compliance with industry regulations, and maintains robust data privacy and security. With customizable automation and user-friendly dashboards, Intics.ai empowers teams to make better decisions quickly, cut operational costs, and focus resources on value-added tasks. Unlock the full potential of your organization’s information assets with intelligent automation and real-time insights for smarter business processes.</w:t>
      </w:r>
      <w:r>
        <w:br/>
      </w:r>
      <w:r>
        <w:rPr>
          <w:color w:val="808080"/>
          <w:sz w:val="24"/>
          <w:szCs w:val="24"/>
        </w:rPr>
        <w:t xml:space="preserve">Documentation:  </w:t>
      </w:r>
      <w:hyperlink r:id="rId292">
        <w:r>
          <w:t>https://intics.ai/</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94">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96">
        <w:r>
          <w:t>https://cloud.ibm.com/docs/key-protect</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98">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300">
        <w:r>
          <w:t>https://www.komprise.com/support/</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302">
        <w:r>
          <w:t>https://www.komprise.com/support/</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304">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306">
        <w:r>
          <w:t>https://www.lantrasoft.com/ims/cis/ibm-cloud</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308">
        <w:r>
          <w:t>https://www.lantrasoft.com/ims/cis/maximo</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Legislative Compliance</w:t>
      </w:r>
      <w:r>
        <w:br/>
      </w:r>
      <w:r>
        <w:br/>
      </w:r>
      <w:r>
        <w:rPr>
          <w:color w:val="808080"/>
          <w:sz w:val="24"/>
          <w:szCs w:val="24"/>
        </w:rPr>
        <w:t>Heavy industrial operations must comply with legislation, regulations and standards set by government departments. Compliance requirements change continuously, yet most organisations check against these requirements only when an audit is due — a reactive approach that exposes them to fines, stop-work orders and reputational damage.</w:t>
      </w:r>
      <w:r>
        <w:br/>
      </w:r>
      <w:r>
        <w:br/>
      </w:r>
      <w:r>
        <w:rPr>
          <w:color w:val="808080"/>
          <w:sz w:val="24"/>
          <w:szCs w:val="24"/>
        </w:rPr>
        <w:t>Libero AI's Legislative Compliance Agent uses Retrieval-Augmented Generation (RAG) to compare an organisation's policies, processes and procedures against current legislative and regulatory requirements. It surfaces prioritised compliance gaps so teams can act early — not at audit time.</w:t>
      </w:r>
      <w:r>
        <w:br/>
      </w:r>
      <w:r>
        <w:br/>
      </w:r>
      <w:r>
        <w:rPr>
          <w:color w:val="808080"/>
          <w:sz w:val="24"/>
          <w:szCs w:val="24"/>
        </w:rPr>
        <w:t>What the agent does:</w:t>
      </w:r>
      <w:r>
        <w:br/>
      </w:r>
      <w:r>
        <w:br/>
      </w:r>
      <w:r>
        <w:rPr>
          <w:color w:val="808080"/>
          <w:sz w:val="24"/>
          <w:szCs w:val="24"/>
        </w:rPr>
        <w:t>- Ingests procedure documents and relevant legislation or registered standards via secure PDF upload</w:t>
      </w:r>
      <w:r>
        <w:br/>
      </w:r>
      <w:r>
        <w:rPr>
          <w:color w:val="808080"/>
          <w:sz w:val="24"/>
          <w:szCs w:val="24"/>
        </w:rPr>
        <w:t>- Compares requirements against existing internal policies and procedures using purpose/scope, document dates, and detailed section-by-section analysis</w:t>
      </w:r>
      <w:r>
        <w:br/>
      </w:r>
      <w:r>
        <w:rPr>
          <w:color w:val="808080"/>
          <w:sz w:val="24"/>
          <w:szCs w:val="24"/>
        </w:rPr>
        <w:t>- Identifies and prioritises compliance gaps, classifying each section as fully compliant, partially compliant, or non-compliant with specific issues and required actions</w:t>
      </w:r>
      <w:r>
        <w:br/>
      </w:r>
      <w:r>
        <w:rPr>
          <w:color w:val="808080"/>
          <w:sz w:val="24"/>
          <w:szCs w:val="24"/>
        </w:rPr>
        <w:t>- Provides actionable recommendations prioritised by risk level (High, Medium, or Low) to guide remediation efforts</w:t>
      </w:r>
      <w:r>
        <w:br/>
      </w:r>
      <w:r>
        <w:rPr>
          <w:color w:val="808080"/>
          <w:sz w:val="24"/>
          <w:szCs w:val="24"/>
        </w:rPr>
        <w:t>- Generates a downloadable Word document report summarising all compliance findings and recommendations for distribution to stakeholders</w:t>
      </w:r>
      <w:r>
        <w:br/>
      </w:r>
      <w:r>
        <w:br/>
      </w:r>
      <w:r>
        <w:rPr>
          <w:color w:val="808080"/>
          <w:sz w:val="24"/>
          <w:szCs w:val="24"/>
        </w:rPr>
        <w:t>Proven in industry:</w:t>
      </w:r>
      <w:r>
        <w:br/>
      </w:r>
      <w:r>
        <w:br/>
      </w:r>
      <w:r>
        <w:rPr>
          <w:color w:val="808080"/>
          <w:sz w:val="24"/>
          <w:szCs w:val="24"/>
        </w:rPr>
        <w:t>Deployed in a co-creation engagement with IBM Client Engineering for a major mining operation, the agent interrogated compliance records against QGN 34, RS14, RS15 and RS20. Three previously undetected non-conformances were identified before the next regulatory audit</w:t>
      </w:r>
      <w:r>
        <w:br/>
      </w:r>
      <w:r>
        <w:rPr>
          <w:color w:val="808080"/>
          <w:sz w:val="24"/>
          <w:szCs w:val="24"/>
        </w:rPr>
        <w:t xml:space="preserve">Documentation:  </w:t>
      </w:r>
      <w:hyperlink r:id="rId310">
        <w:r>
          <w:t>https://www.liberoai.com.au/legislative-compliance-agent-user-documentation</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Lenses DevX</w:t>
      </w:r>
      <w:r>
        <w:br/>
      </w:r>
      <w:r>
        <w:br/>
      </w:r>
      <w:r>
        <w:rPr>
          <w:color w:val="808080"/>
          <w:sz w:val="24"/>
          <w:szCs w:val="24"/>
        </w:rPr>
        <w:t>Lenses is a developer experience and governance layer for Apache Kafka. It gives application and data teams secure self-service access to streaming data, while platform teams keep control of who sees what.</w:t>
      </w:r>
      <w:r>
        <w:br/>
      </w:r>
      <w:r>
        <w:br/>
      </w:r>
      <w:r>
        <w:rPr>
          <w:color w:val="808080"/>
          <w:sz w:val="24"/>
          <w:szCs w:val="24"/>
        </w:rPr>
        <w:t>Developers explore topics, schemas, Kafka Connect and consumer groups from one console, and query live streams with SQL to troubleshoot without writing consumer code or copying data out. Topology and lineage show every producer, consumer and dependency, so teams see the blast radius before they change anything.</w:t>
      </w:r>
      <w:r>
        <w:br/>
      </w:r>
      <w:r>
        <w:br/>
      </w:r>
      <w:r>
        <w:rPr>
          <w:color w:val="808080"/>
          <w:sz w:val="24"/>
          <w:szCs w:val="24"/>
        </w:rPr>
        <w:t>Platform teams get scoped RBAC, namespace isolation, data masking and a full audit trail across every cluster, with SSO and SAML through your existing identity provider. Consumer lag, quota and broker health metrics feed your monitoring stack via JMX and Prometheus.</w:t>
      </w:r>
      <w:r>
        <w:br/>
      </w:r>
      <w:r>
        <w:br/>
      </w:r>
      <w:r>
        <w:rPr>
          <w:color w:val="808080"/>
          <w:sz w:val="24"/>
          <w:szCs w:val="24"/>
        </w:rPr>
        <w:t>Lenses works with IBM Event Streams, Apache Kafka, Amazon MSK, Confluent, Azure Event Hubs and any Kafka-compatible service. Deploy it in your own Kubernetes or Red Hat OpenShift cluster, on IBM Cloud, on premises or hybrid. Your data stays in your environment.</w:t>
      </w:r>
      <w:r>
        <w:br/>
      </w:r>
      <w:r>
        <w:rPr>
          <w:color w:val="808080"/>
          <w:sz w:val="24"/>
          <w:szCs w:val="24"/>
        </w:rPr>
        <w:t xml:space="preserve">Documentation:  </w:t>
      </w:r>
      <w:hyperlink r:id="rId312">
        <w:r>
          <w:t>https://docs.lenses.io/latest</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314">
        <w:r>
          <w:t>https://www.uptok.com/dev/live-expert-handoff</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316">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318">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320">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322">
        <w:r>
          <w:t>https://cloud.ibm.com/docs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324">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26">
        <w:r>
          <w:t>https://www.marvelx.ai/ibm-documentation</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28">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30">
        <w:r>
          <w:t>https://docs.mavenagi.com</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Medical Coding And RCM Agent</w:t>
      </w:r>
      <w:r>
        <w:br/>
      </w:r>
      <w:r>
        <w:br/>
      </w:r>
      <w:r>
        <w:rPr>
          <w:color w:val="808080"/>
          <w:sz w:val="24"/>
          <w:szCs w:val="24"/>
        </w:rPr>
        <w:t>The Medical Coding &amp; RCM Agent is an AI-powered solution that automates and enhances clinical coding and revenue cycle workflows by transforming structured and unstructured clinical data into accurate, compliant, and billable outputs.</w:t>
      </w:r>
      <w:r>
        <w:br/>
      </w:r>
      <w:r>
        <w:rPr>
          <w:color w:val="808080"/>
          <w:sz w:val="24"/>
          <w:szCs w:val="24"/>
        </w:rPr>
        <w:t>Healthcare organizations often face revenue loss due to incomplete documentation, coding errors, and delayed claim submissions. This agent addresses these challenges by analyzing clinical notes, diagnoses, procedures, and supporting data to generate coding suggestions aligned with ICD and CPT standards.</w:t>
      </w:r>
      <w:r>
        <w:br/>
      </w:r>
      <w:r>
        <w:rPr>
          <w:color w:val="808080"/>
          <w:sz w:val="24"/>
          <w:szCs w:val="24"/>
        </w:rPr>
        <w:t>Integrated directly into clinical workflows, the agent ensures that coding begins early in the care process and continues through discharge. It identifies missing documentation elements, suggests improvements, and supports clean claim submission by aligning clinical data with payer requirements.</w:t>
      </w:r>
      <w:r>
        <w:br/>
      </w:r>
      <w:r>
        <w:rPr>
          <w:color w:val="808080"/>
          <w:sz w:val="24"/>
          <w:szCs w:val="24"/>
        </w:rPr>
        <w:t>The agent also enables proactive denial prevention by flagging inconsistencies, incomplete records, or potential compliance risks before claims are submitted. This improves claim acceptance rates, reduces rework, and accelerates reimbursement cycles.</w:t>
      </w:r>
      <w:r>
        <w:br/>
      </w:r>
      <w:r>
        <w:rPr>
          <w:color w:val="808080"/>
          <w:sz w:val="24"/>
          <w:szCs w:val="24"/>
        </w:rPr>
        <w:t>By combining clinical intelligence with workflow orchestration, the Medical Coding &amp; RCM Agent reduces administrative burden, improves coding accuracy, and delivers measurable financial impact across the revenue cycle.</w:t>
      </w:r>
      <w:r>
        <w:br/>
      </w:r>
      <w:r>
        <w:rPr>
          <w:color w:val="808080"/>
          <w:sz w:val="24"/>
          <w:szCs w:val="24"/>
        </w:rPr>
        <w:t>placeholder</w:t>
      </w:r>
      <w:r>
        <w:br/>
      </w:r>
      <w:r>
        <w:rPr>
          <w:color w:val="808080"/>
          <w:sz w:val="24"/>
          <w:szCs w:val="24"/>
        </w:rPr>
        <w:t xml:space="preserve">Documentation:  </w:t>
      </w:r>
      <w:hyperlink r:id="rId332">
        <w:r>
          <w:t>https://www.viclinic.com/en/vi-agent</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34">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36">
        <w:r>
          <w:t>https://docs.min.io</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38">
        <w:r>
          <w:t>https://www.ibm.com/docs/en/mq-as-a-service</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4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MyLUA Care Recommendation Agent</w:t>
      </w:r>
      <w:r>
        <w:br/>
      </w:r>
      <w:r>
        <w:br/>
      </w:r>
      <w:r>
        <w:rPr>
          <w:color w:val="808080"/>
          <w:sz w:val="24"/>
          <w:szCs w:val="24"/>
        </w:rPr>
        <w:t>Employers, health plans, and care teams struggle to identify which maternal members need support before risks become crises. The MyLÚA Care Recommendation Agent analyzes client documentation including health assessments, intake forms, case notes, lab reports, discharge summaries, and clinical records, then returns structured, evidence-based care recommendations for each member. For every client submitted, the agent surfaces a prioritized needs summary, urgency-classified outreach actions, a step-by-step care pathway sequence, referral and escalation routing, and validated community resources sourced in real time. It supports both individual-level care planning and population-level trend analysis, helping care coordinators act earlier and organizations demonstrate measurable impact across their maternal health programs. Integrating organizations are responsible for implementing appropriate data safeguards before submitting client information to the agent.</w:t>
      </w:r>
      <w:r>
        <w:br/>
      </w:r>
      <w:r>
        <w:rPr>
          <w:color w:val="808080"/>
          <w:sz w:val="24"/>
          <w:szCs w:val="24"/>
        </w:rPr>
        <w:t xml:space="preserve">Documentation:  </w:t>
      </w:r>
      <w:hyperlink r:id="rId342">
        <w:r>
          <w:t>https://www.myluahealth.com/agent-docs</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44">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46">
        <w:r>
          <w:t>https://cloud.ibm.com/docs/netezza</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48">
        <w:r>
          <w:t>https://www.netomi.com</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50">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60">
        <w:r>
          <w:t>https://neuralseek.com/documentation</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62">
        <w:r>
          <w:t>https://neuralseek.com</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Newcode Agentic AI Legal Workflows</w:t>
      </w:r>
      <w:r>
        <w:br/>
      </w:r>
      <w:r>
        <w:br/>
      </w:r>
      <w:r>
        <w:rPr>
          <w:color w:val="808080"/>
          <w:sz w:val="24"/>
          <w:szCs w:val="24"/>
        </w:rPr>
        <w:t>Newcode.ai helps enterprise legal teams turn AI into measurable business value through secure, scalable, and practical automation. Its Agentic AI Legal Workflows streamline high-impact tasks such as contract analysis and negotiation, document drafting from approved templates, monitoring legal updates, procurement processes, and invoice review. These workflows can be embedded directly into the client’s existing environment and help legal operations achieve faster turnaround times, improve operational accuracy and consistency, and scale legal support across functions while keeping legal professionals responsible for review, judgment, and final decision-making.</w:t>
      </w:r>
      <w:r>
        <w:br/>
      </w:r>
      <w:r>
        <w:rPr>
          <w:color w:val="808080"/>
          <w:sz w:val="24"/>
          <w:szCs w:val="24"/>
        </w:rPr>
        <w:t>Newcode’s AI workflows also complement products such as Nova Web, Nova Cowork, Nova Outlook add-in, Nova Word add-in, and Nova mobile app.</w:t>
      </w:r>
      <w:r>
        <w:br/>
      </w:r>
      <w:r>
        <w:br/>
      </w:r>
      <w:r>
        <w:rPr>
          <w:color w:val="808080"/>
          <w:sz w:val="24"/>
          <w:szCs w:val="24"/>
        </w:rPr>
        <w:t>Disclaimer: these AI workflows are designed to support legal work and operational efficiency. They do not provide legal advice, and all outputs should be reviewed by qualified professionals before use.</w:t>
      </w:r>
      <w:r>
        <w:br/>
      </w:r>
      <w:r>
        <w:br/>
      </w:r>
      <w:r>
        <w:rPr>
          <w:color w:val="808080"/>
          <w:sz w:val="24"/>
          <w:szCs w:val="24"/>
        </w:rPr>
        <w:t xml:space="preserve">Documentation:  </w:t>
      </w:r>
      <w:hyperlink r:id="rId364">
        <w:r>
          <w:t>https://raw.githubusercontent.com/SilCarre/newcode-files/main/Newcode_Documentation_MCP%20Server%20(August%202026).pdf</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66">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68">
        <w:r>
          <w:t>https://www.qatt.online/docs2</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70">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7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74">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 (Hospitals and Clinics)</w:t>
      </w:r>
      <w:r>
        <w:br/>
      </w:r>
      <w:r>
        <w:br/>
      </w:r>
      <w:r>
        <w:rPr>
          <w:color w:val="808080"/>
          <w:sz w:val="24"/>
          <w:szCs w:val="24"/>
        </w:rPr>
        <w:t>Meet the Intelligent Patient AI Agent, a secure, 99% accurate agentic AI solution built on IBM Watsonx Orchestrate. It's a fully autonomous patient engagement agent that handles incoming inquiries across channels (like web and voice), understands patient intent, and takes action end to end by connecting with EMR - not just a chat assistant, but an agent that gets things done.</w:t>
      </w:r>
      <w:r>
        <w:br/>
      </w:r>
      <w:r>
        <w:rPr>
          <w:color w:val="808080"/>
          <w:sz w:val="24"/>
          <w:szCs w:val="24"/>
        </w:rPr>
        <w:t xml:space="preserve">Documentation:  </w:t>
      </w:r>
      <w:hyperlink r:id="rId376">
        <w:r>
          <w:t>https://www.streebo.com/chatbot-for-healthcare</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80">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82">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84">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Post-Surgery Recovery Support Agent</w:t>
      </w:r>
      <w:r>
        <w:br/>
      </w:r>
      <w:r>
        <w:br/>
      </w:r>
      <w:r>
        <w:rPr>
          <w:color w:val="808080"/>
          <w:sz w:val="24"/>
          <w:szCs w:val="24"/>
        </w:rPr>
        <w:t>The Post-Surgery Recovery Support Agent is an AI-powered solution designed to support patients and care teams after discharge, ensuring safe recovery and continuous follow-up care.</w:t>
      </w:r>
      <w:r>
        <w:br/>
      </w:r>
      <w:r>
        <w:rPr>
          <w:color w:val="808080"/>
          <w:sz w:val="24"/>
          <w:szCs w:val="24"/>
        </w:rPr>
        <w:t>After surgery, many complications and readmissions happen due to gaps in monitoring, unclear instructions, or delayed intervention. This agent addresses those challenges by guiding patients through their recovery, tracking symptoms, and detecting early signs of risk.</w:t>
      </w:r>
      <w:r>
        <w:br/>
      </w:r>
      <w:r>
        <w:rPr>
          <w:color w:val="808080"/>
          <w:sz w:val="24"/>
          <w:szCs w:val="24"/>
        </w:rPr>
        <w:t>Using a conversational interface, the agent checks in with patients, collects recovery data (pain, symptoms, medication adherence, wound status), and provides personalized guidance based on clinical protocols. It continuously monitors patient responses and flags potential complications for timely clinician review.</w:t>
      </w:r>
      <w:r>
        <w:br/>
      </w:r>
      <w:r>
        <w:rPr>
          <w:color w:val="808080"/>
          <w:sz w:val="24"/>
          <w:szCs w:val="24"/>
        </w:rPr>
        <w:t>The agent orchestrates post-discharge workflows by connecting patient follow-up, care coordination, and clinical oversight into a single process. It helps ensure that no critical signals are missed and that patients stay on track with their recovery plan.</w:t>
      </w:r>
      <w:r>
        <w:br/>
      </w:r>
      <w:r>
        <w:rPr>
          <w:color w:val="808080"/>
          <w:sz w:val="24"/>
          <w:szCs w:val="24"/>
        </w:rPr>
        <w:t>For healthcare providers, the agent reduces manual follow-up workload, improves care continuity, and supports early intervention. For patients, it delivers clear guidance, reassurance, and an easy way to stay connected with their care team.</w:t>
      </w:r>
      <w:r>
        <w:br/>
      </w:r>
      <w:r>
        <w:rPr>
          <w:color w:val="808080"/>
          <w:sz w:val="24"/>
          <w:szCs w:val="24"/>
        </w:rPr>
        <w:t>By improving recovery monitoring, enhancing patient engagement, and enabling early risk detection, the Post-Surgery Recovery Support Agent helps reduce complications, lower readmission rates, and improve overall clinical outcomes.</w:t>
      </w:r>
      <w:r>
        <w:br/>
      </w:r>
      <w:r>
        <w:br/>
      </w:r>
      <w:r>
        <w:rPr>
          <w:color w:val="808080"/>
          <w:sz w:val="24"/>
          <w:szCs w:val="24"/>
        </w:rPr>
        <w:t xml:space="preserve">Documentation:  </w:t>
      </w:r>
      <w:hyperlink r:id="rId386">
        <w:r>
          <w:t>https://www.viclinic.com/en/vi-agent</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88">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90">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92">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94">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96">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398">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40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PreVisit Agent</w:t>
      </w:r>
      <w:r>
        <w:br/>
      </w:r>
      <w:r>
        <w:br/>
      </w:r>
      <w:r>
        <w:rPr>
          <w:color w:val="808080"/>
          <w:sz w:val="24"/>
          <w:szCs w:val="24"/>
        </w:rPr>
        <w:t>The Pre-Visit AI Intake Agent captures and structures patient symptoms, history, and clinical inputs before the encounter, enabling providers to begin each visit with complete and actionable data.</w:t>
      </w:r>
      <w:r>
        <w:br/>
      </w:r>
      <w:r>
        <w:rPr>
          <w:color w:val="808080"/>
          <w:sz w:val="24"/>
          <w:szCs w:val="24"/>
        </w:rPr>
        <w:t>By guiding patients through a conversational intake process, the agent collects relevant clinical information and converts it into structured, EMR-ready formats. This improves triage, supports clinical decision-making, and reduces repetitive data collection during visits.</w:t>
      </w:r>
      <w:r>
        <w:br/>
      </w:r>
      <w:r>
        <w:rPr>
          <w:color w:val="808080"/>
          <w:sz w:val="24"/>
          <w:szCs w:val="24"/>
        </w:rPr>
        <w:t>The agent also plays a critical role in revenue cycle performance by capturing the data required for pre-authorization and ensuring documentation readiness early in the care process.</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br/>
      </w:r>
      <w:r>
        <w:rPr>
          <w:color w:val="808080"/>
          <w:sz w:val="24"/>
          <w:szCs w:val="24"/>
        </w:rPr>
        <w:t xml:space="preserve">Documentation:  </w:t>
      </w:r>
      <w:hyperlink r:id="rId402">
        <w:r>
          <w:t>https://viclinic.com/en/vi-agent</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Prior Authorization Eligibility Agent</w:t>
      </w:r>
      <w:r>
        <w:br/>
      </w:r>
      <w:r>
        <w:br/>
      </w:r>
      <w:r>
        <w:rPr>
          <w:color w:val="808080"/>
          <w:sz w:val="24"/>
          <w:szCs w:val="24"/>
        </w:rPr>
        <w:t>The Prior Authorization &amp; Eligibility Agent is an AI-powered solution designed to streamline payer-related workflows by automating eligibility verification and prior authorization processes.</w:t>
      </w:r>
      <w:r>
        <w:br/>
      </w:r>
      <w:r>
        <w:rPr>
          <w:color w:val="808080"/>
          <w:sz w:val="24"/>
          <w:szCs w:val="24"/>
        </w:rPr>
        <w:t>Delays in prior authorization and incomplete eligibility checks are among the leading causes of care disruption, administrative burden, and revenue loss in healthcare systems. This agent addresses these challenges by capturing, validating, and structuring the clinical and administrative data required for payer review.</w:t>
      </w:r>
      <w:r>
        <w:br/>
      </w:r>
      <w:r>
        <w:rPr>
          <w:color w:val="808080"/>
          <w:sz w:val="24"/>
          <w:szCs w:val="24"/>
        </w:rPr>
        <w:t>Working in coordination with pre-visit and clinical documentation workflows, the agent ensures that all necessary information is prepared before submission. It supports eligibility verification, identifies missing data, and aligns clinical inputs with payer requirements to improve approval rates.</w:t>
      </w:r>
      <w:r>
        <w:br/>
      </w:r>
      <w:r>
        <w:rPr>
          <w:color w:val="808080"/>
          <w:sz w:val="24"/>
          <w:szCs w:val="24"/>
        </w:rPr>
        <w:t>The agent reduces manual back-and-forth between providers and payers by enabling cleaner, more complete submissions and by flagging potential issues early in the process. This results in faster approvals, fewer delays, and improved patient access to care.</w:t>
      </w:r>
      <w:r>
        <w:br/>
      </w:r>
      <w:r>
        <w:rPr>
          <w:color w:val="808080"/>
          <w:sz w:val="24"/>
          <w:szCs w:val="24"/>
        </w:rPr>
        <w:t>By integrating payer workflows into the broader clinical process, the Prior Authorization &amp; Eligibility Agent improves operational efficiency, enhances revenue cycle performance, and supports a more seamless care experience.</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rPr>
          <w:color w:val="808080"/>
          <w:sz w:val="24"/>
          <w:szCs w:val="24"/>
        </w:rPr>
        <w:t>aceholder</w:t>
      </w:r>
      <w:r>
        <w:br/>
      </w:r>
      <w:r>
        <w:rPr>
          <w:color w:val="808080"/>
          <w:sz w:val="24"/>
          <w:szCs w:val="24"/>
        </w:rPr>
        <w:t xml:space="preserve">Documentation:  </w:t>
      </w:r>
      <w:hyperlink r:id="rId404">
        <w:r>
          <w:t>https://www.viclinic.com/en/vi-agent</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406">
        <w:r>
          <w:t>https://cloud.ibm.com/docs/private-path</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408">
        <w:r>
          <w:t>https://cloud.ibm.com/docs</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410">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412">
        <w:r>
          <w:t>https://www.profi-ag.de/loesungen/multi-cloud/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414">
        <w:r>
          <w:t>https://www.profi-ag.de/loesungen/multi-cloud/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416">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for IBM i on Power and Power VS</w:t>
      </w:r>
      <w:r>
        <w:br/>
      </w:r>
      <w:r>
        <w:br/>
      </w:r>
      <w:r>
        <w:rPr>
          <w:color w:val="808080"/>
          <w:sz w:val="24"/>
          <w:szCs w:val="24"/>
        </w:rPr>
        <w:t>ProtectIO delivers browser access to manage and protect IBM i LPARs leveraging the core functionality of IBM PowerHA.  Common use case is to create an HA-paired cluster with data being replicated from on-premises LPARs into PowerVS in IBM VPC.  Switchover involving promoting the standby node to primary becomes as simple as clicking a button.  No more need for clRGmove command syntax.</w:t>
      </w:r>
      <w:r>
        <w:br/>
      </w:r>
      <w:r>
        <w:rPr>
          <w:color w:val="808080"/>
          <w:sz w:val="24"/>
          <w:szCs w:val="24"/>
        </w:rPr>
        <w:t xml:space="preserve">Documentation:  </w:t>
      </w:r>
      <w:hyperlink r:id="rId418">
        <w:r>
          <w:t>https://www.primaryio.com/wp-content/uploads/2026/06/ProtectIO-for-IBM-Power-Solution-Brief-2026.pdf</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420">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42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424">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426">
        <w:r>
          <w:t>https://backup.docs.portworx.com/</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428">
        <w:r>
          <w:t>https://www.quant.ai/product</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Quantum Compute</w:t>
      </w:r>
      <w:r>
        <w:br/>
      </w:r>
      <w:r>
        <w:br/>
      </w:r>
      <w:r>
        <w:rPr>
          <w:color w:val="808080"/>
          <w:sz w:val="24"/>
          <w:szCs w:val="24"/>
        </w:rPr>
        <w:t>The IBM Quantum Compute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430">
        <w:r>
          <w:t>https://quantum.cloud.ibm.com/docs</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RackWare - Disaster Recovery Subscription ( Annual )</w:t>
      </w:r>
      <w:r>
        <w:br/>
      </w:r>
      <w:r>
        <w:br/>
      </w:r>
      <w:r>
        <w:rPr>
          <w:color w:val="808080"/>
          <w:sz w:val="24"/>
          <w:szCs w:val="24"/>
        </w:rPr>
        <w:t xml:space="preserve">RackWare RMM enables a modern DR architecture by non-disruptly replicating workloads from any source environment into IBM Cloud VPC, maintaining a synchronized DR environment in the cloud, enabling failover into IBM Cloud VPC without source environment dependencies, supporting fallback to source environment during transition periods, and extending DR to additional public clouds for redundancy. </w:t>
      </w:r>
      <w:r>
        <w:br/>
      </w:r>
      <w:r>
        <w:br/>
      </w:r>
      <w:r>
        <w:rPr>
          <w:color w:val="808080"/>
          <w:sz w:val="24"/>
          <w:szCs w:val="24"/>
        </w:rPr>
        <w:t>This allows IBM Cloud VPC to serve as both a disaster recovery landing zone and a strategic approach for setting up a DR environment for production environment# License Information:</w:t>
      </w:r>
      <w:r>
        <w:br/>
      </w:r>
      <w:r>
        <w:br/>
      </w:r>
      <w:r>
        <w:rPr>
          <w:color w:val="808080"/>
          <w:sz w:val="24"/>
          <w:szCs w:val="24"/>
        </w:rPr>
        <w:t xml:space="preserve"># Description - RackWare DR &amp; DRaaS for IBM Cloud </w:t>
      </w:r>
      <w:r>
        <w:br/>
      </w:r>
      <w:r>
        <w:br/>
      </w:r>
      <w:r>
        <w:rPr>
          <w:color w:val="808080"/>
          <w:sz w:val="24"/>
          <w:szCs w:val="24"/>
        </w:rPr>
        <w:t xml:space="preserve"># RackWare DR for IBM Cloud </w:t>
      </w:r>
      <w:r>
        <w:br/>
      </w:r>
      <w:r>
        <w:br/>
      </w:r>
      <w:r>
        <w:rPr>
          <w:color w:val="808080"/>
          <w:sz w:val="24"/>
          <w:szCs w:val="24"/>
        </w:rPr>
        <w:t>RackWare DR provides workload-level disaster recovery to IBM Cloud VPC through flexible, per-VM licensing. This solution includes the RackWare DR software and standard support. Each license protects one source server or virtual machine that is replicated and managed through the RackWare Management Module (RMM).</w:t>
      </w:r>
      <w:r>
        <w:br/>
      </w:r>
      <w:r>
        <w:br/>
      </w:r>
      <w:r>
        <w:rPr>
          <w:color w:val="808080"/>
          <w:sz w:val="24"/>
          <w:szCs w:val="24"/>
        </w:rPr>
        <w:t xml:space="preserve">Pricing: $192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xml:space="preserve"># RackWare DRaaS for IBM Cloud </w:t>
      </w:r>
      <w:r>
        <w:br/>
      </w:r>
      <w:r>
        <w:br/>
      </w:r>
      <w:r>
        <w:rPr>
          <w:color w:val="808080"/>
          <w:sz w:val="24"/>
          <w:szCs w:val="24"/>
        </w:rPr>
        <w:t xml:space="preserve">RackWare DRaaS provides workload-level disaster recovery to IBM Cloud VPC through flexible, per-VM licensing. This fully managed solution includes the RackWare DR software, standard support, DRaaS operations, and one non-disruptive disaster recovery drill per protected VM each year. </w:t>
      </w:r>
      <w:r>
        <w:br/>
      </w:r>
      <w:r>
        <w:rPr>
          <w:color w:val="808080"/>
          <w:sz w:val="24"/>
          <w:szCs w:val="24"/>
        </w:rPr>
        <w:t xml:space="preserve">The service includes daily monitoring and maintenance, daily operational reports, automated alerts to RackWare, problem diagnosis and resolution (including triage of warnings and errors), issue resolution within the defined support scope, coordination with external teams for issues outside the service scope, and the application of patches, bug fixes, and support release upgrades. </w:t>
      </w:r>
      <w:r>
        <w:br/>
      </w:r>
      <w:r>
        <w:rPr>
          <w:color w:val="808080"/>
          <w:sz w:val="24"/>
          <w:szCs w:val="24"/>
        </w:rPr>
        <w:t xml:space="preserve">Each RackWare DRaaS license protects one source server or virtual machine that is replicated and managed through the RackWare Management Module (RMM). </w:t>
      </w:r>
      <w:r>
        <w:br/>
      </w:r>
      <w:r>
        <w:br/>
      </w:r>
      <w:r>
        <w:rPr>
          <w:color w:val="808080"/>
          <w:sz w:val="24"/>
          <w:szCs w:val="24"/>
        </w:rPr>
        <w:t xml:space="preserve">Pricing: $495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Architecture Flexibility</w:t>
      </w:r>
      <w:r>
        <w:br/>
      </w:r>
      <w:r>
        <w:br/>
      </w:r>
      <w:r>
        <w:rPr>
          <w:color w:val="808080"/>
          <w:sz w:val="24"/>
          <w:szCs w:val="24"/>
        </w:rPr>
        <w:t>1) RackWare DR can be deployed as a single instance or scaled across multiple RackWare DR RMM instances to meet performance, isolation, and design requirements.</w:t>
      </w:r>
      <w:r>
        <w:br/>
      </w:r>
      <w:r>
        <w:rPr>
          <w:color w:val="808080"/>
          <w:sz w:val="24"/>
          <w:szCs w:val="24"/>
        </w:rPr>
        <w:t xml:space="preserve"> </w:t>
      </w:r>
      <w:r>
        <w:br/>
      </w:r>
      <w:r>
        <w:rPr>
          <w:color w:val="808080"/>
          <w:sz w:val="24"/>
          <w:szCs w:val="24"/>
        </w:rPr>
        <w:t>2) For example, 100 VMs (20 vCPUs) can be distributed across multiple instances (e.g., 5 RMM instances, each supporting 20 VMs/servers).</w:t>
      </w:r>
      <w:r>
        <w:br/>
      </w:r>
      <w:r>
        <w:rPr>
          <w:color w:val="808080"/>
          <w:sz w:val="24"/>
          <w:szCs w:val="24"/>
        </w:rPr>
        <w:t xml:space="preserve"> </w:t>
      </w:r>
      <w:r>
        <w:br/>
      </w:r>
      <w:r>
        <w:rPr>
          <w:color w:val="808080"/>
          <w:sz w:val="24"/>
          <w:szCs w:val="24"/>
        </w:rPr>
        <w:t># Licensing Example (e.g. 100 VMs)</w:t>
      </w:r>
      <w:r>
        <w:br/>
      </w:r>
      <w:r>
        <w:br/>
      </w:r>
      <w:r>
        <w:rPr>
          <w:color w:val="808080"/>
          <w:sz w:val="24"/>
          <w:szCs w:val="24"/>
        </w:rPr>
        <w:t>1) 1 vCPU supports 5 VMs</w:t>
      </w:r>
      <w:r>
        <w:br/>
      </w:r>
      <w:r>
        <w:rPr>
          <w:color w:val="808080"/>
          <w:sz w:val="24"/>
          <w:szCs w:val="24"/>
        </w:rPr>
        <w:t>2) 100 VMs require 20 vCPUs</w:t>
      </w:r>
      <w:r>
        <w:br/>
      </w:r>
      <w:r>
        <w:rPr>
          <w:color w:val="808080"/>
          <w:sz w:val="24"/>
          <w:szCs w:val="24"/>
        </w:rPr>
        <w:t>3) A single RMM instance with 4 vCPU and 32 GB RAM can cover 20 VMs.</w:t>
      </w:r>
      <w:r>
        <w:br/>
      </w:r>
      <w:r>
        <w:rPr>
          <w:color w:val="808080"/>
          <w:sz w:val="24"/>
          <w:szCs w:val="24"/>
        </w:rPr>
        <w:t>4) 4 RMM instances should cover 100 VMs to be protected in DR</w:t>
      </w:r>
      <w:r>
        <w:br/>
      </w:r>
      <w:r>
        <w:rPr>
          <w:color w:val="808080"/>
          <w:sz w:val="24"/>
          <w:szCs w:val="24"/>
        </w:rPr>
        <w:t>5) For DR 1 VM is billed at $192, 100 VMs x $192 = $19200 / Year</w:t>
      </w:r>
      <w:r>
        <w:br/>
      </w:r>
      <w:r>
        <w:rPr>
          <w:color w:val="808080"/>
          <w:sz w:val="24"/>
          <w:szCs w:val="24"/>
        </w:rPr>
        <w:t>6) For DRaaS 1 VM is billed at $495, 100 VMs x $495 = $49500 / Year</w:t>
      </w:r>
      <w:r>
        <w:br/>
      </w:r>
      <w:r>
        <w:rPr>
          <w:color w:val="808080"/>
          <w:sz w:val="24"/>
          <w:szCs w:val="24"/>
        </w:rPr>
        <w:t xml:space="preserve"> </w:t>
      </w:r>
      <w:r>
        <w:br/>
      </w:r>
      <w:r>
        <w:rPr>
          <w:color w:val="808080"/>
          <w:sz w:val="24"/>
          <w:szCs w:val="24"/>
        </w:rPr>
        <w:t>Note: RackWare DR software pricing does not include IBM Cloud compute, storage.</w:t>
      </w:r>
      <w:r>
        <w:br/>
      </w:r>
      <w:r>
        <w:br/>
      </w:r>
      <w:r>
        <w:br/>
      </w:r>
      <w:r>
        <w:rPr>
          <w:color w:val="808080"/>
          <w:sz w:val="24"/>
          <w:szCs w:val="24"/>
        </w:rPr>
        <w:t>RackWare's RMM Disaster Recovery ( DR ) are an automated, easy, and convenient process to protect existing workloads from your current location to IBM Cloud VPC. RMM creates an exact duplicate of a running image without the burden of rebuilding or recreating template images and applications. It decouples the application stack from the underlying platform, allowing it to be ported to the IBM Cloud infrastructure with ease. RMM simplifies protection of large, complex environments through a simple interface and reduces the time required from weeks to days, reducing capital and operating expenses. RackWare RMM includes discovery, analysis, automation features like DR policy engine, dynamic provisioning allowing all processes to be fast, easy, and error-free.</w:t>
      </w:r>
      <w:r>
        <w:br/>
      </w:r>
      <w:r>
        <w:br/>
      </w:r>
      <w:r>
        <w:rPr>
          <w:color w:val="808080"/>
          <w:sz w:val="24"/>
          <w:szCs w:val="24"/>
        </w:rPr>
        <w:t xml:space="preserve">Documentation:  </w:t>
      </w:r>
      <w:hyperlink r:id="rId432">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RackWare - Migration Subscription ( Per Unit )</w:t>
      </w:r>
      <w:r>
        <w:br/>
      </w:r>
      <w:r>
        <w:br/>
      </w:r>
      <w:r>
        <w:rPr>
          <w:color w:val="808080"/>
          <w:sz w:val="24"/>
          <w:szCs w:val="24"/>
        </w:rPr>
        <w:t>RackWare Management Module (RMM) Migration is an automated process to migrate as well as protect your bare metal and virtual workloads from IBM Cloud or any other source environment to Virtual Server Instances on IBM Cloud VPC.</w:t>
      </w:r>
      <w:r>
        <w:br/>
      </w:r>
      <w:r>
        <w:br/>
      </w:r>
      <w:r>
        <w:rPr>
          <w:color w:val="808080"/>
          <w:sz w:val="24"/>
          <w:szCs w:val="24"/>
        </w:rPr>
        <w:t>RMM creates an exact duplicate of a running image without the burden of rebuilding or recreating template images and applications. It decouples the application stack from the underlying platform, allowing it to be ported to the IBM Cloud infrastructure with ease.</w:t>
      </w:r>
      <w:r>
        <w:br/>
      </w:r>
      <w:r>
        <w:br/>
      </w:r>
      <w:r>
        <w:rPr>
          <w:color w:val="808080"/>
          <w:sz w:val="24"/>
          <w:szCs w:val="24"/>
        </w:rPr>
        <w:t xml:space="preserve">RMM simplifies migration of large, complex environments through a simple interface and reduces the time required from weeks to days, reducing capital and operating expenses. RMM includes discovery, analysis, and automation features, allowing all processes to be fast, easy, and error-free.RackWare's RMM Server Migration solution provides an easy, automated, and simplified process to migrate existing workloads from your current location to IBM Cloud. </w:t>
      </w:r>
      <w:r>
        <w:br/>
      </w:r>
      <w:r>
        <w:br/>
      </w:r>
      <w:r>
        <w:rPr>
          <w:color w:val="808080"/>
          <w:sz w:val="24"/>
          <w:szCs w:val="24"/>
        </w:rPr>
        <w:t># License Information</w:t>
      </w:r>
      <w:r>
        <w:br/>
      </w:r>
      <w:r>
        <w:br/>
      </w:r>
      <w:r>
        <w:rPr>
          <w:color w:val="808080"/>
          <w:sz w:val="24"/>
          <w:szCs w:val="24"/>
        </w:rPr>
        <w:t># Description – RackWare Migration for IBM Cloud</w:t>
      </w:r>
      <w:r>
        <w:br/>
      </w:r>
      <w:r>
        <w:br/>
      </w:r>
      <w:r>
        <w:rPr>
          <w:color w:val="808080"/>
          <w:sz w:val="24"/>
          <w:szCs w:val="24"/>
        </w:rPr>
        <w:t>RackWare Migration enables fast, automated workload migration to IBM Cloud VPC with flexible, infrastructure-based hourly licensing.</w:t>
      </w:r>
      <w:r>
        <w:br/>
      </w:r>
      <w:r>
        <w:br/>
      </w:r>
      <w:r>
        <w:rPr>
          <w:color w:val="808080"/>
          <w:sz w:val="24"/>
          <w:szCs w:val="24"/>
        </w:rPr>
        <w:t># Licensing Model</w:t>
      </w:r>
      <w:r>
        <w:br/>
      </w:r>
      <w:r>
        <w:rPr>
          <w:color w:val="808080"/>
          <w:sz w:val="24"/>
          <w:szCs w:val="24"/>
        </w:rPr>
        <w:t>RackWare Migration is fixed cost based on the number of source VMs in scope.</w:t>
      </w:r>
      <w:r>
        <w:br/>
      </w:r>
      <w:r>
        <w:br/>
      </w:r>
      <w:r>
        <w:rPr>
          <w:color w:val="808080"/>
          <w:sz w:val="24"/>
          <w:szCs w:val="24"/>
        </w:rPr>
        <w:t>1 VM is billed at $110</w:t>
      </w:r>
      <w:r>
        <w:br/>
      </w:r>
      <w:r>
        <w:rPr>
          <w:color w:val="808080"/>
          <w:sz w:val="24"/>
          <w:szCs w:val="24"/>
        </w:rPr>
        <w:t>8 vCPU supports up to 50 source VMs</w:t>
      </w:r>
      <w:r>
        <w:br/>
      </w:r>
      <w:r>
        <w:br/>
      </w:r>
      <w:r>
        <w:rPr>
          <w:color w:val="808080"/>
          <w:sz w:val="24"/>
          <w:szCs w:val="24"/>
        </w:rPr>
        <w:t># Sizing Guidance</w:t>
      </w:r>
      <w:r>
        <w:br/>
      </w:r>
      <w:r>
        <w:rPr>
          <w:color w:val="808080"/>
          <w:sz w:val="24"/>
          <w:szCs w:val="24"/>
        </w:rPr>
        <w:t>RackWare provides a simple, linear scaling model based on VM count:</w:t>
      </w:r>
      <w:r>
        <w:br/>
      </w:r>
      <w:r>
        <w:br/>
      </w:r>
      <w:r>
        <w:rPr>
          <w:color w:val="808080"/>
          <w:sz w:val="24"/>
          <w:szCs w:val="24"/>
        </w:rPr>
        <w:t>50 VMs → A single RMM with 8 vCPUs and 64 GB RAM</w:t>
      </w:r>
      <w:r>
        <w:br/>
      </w:r>
      <w:r>
        <w:rPr>
          <w:color w:val="808080"/>
          <w:sz w:val="24"/>
          <w:szCs w:val="24"/>
        </w:rPr>
        <w:t>100 VMs → 2 RMMs with 8 vCPUs and 64 GB RAM</w:t>
      </w:r>
      <w:r>
        <w:br/>
      </w:r>
      <w:r>
        <w:rPr>
          <w:color w:val="808080"/>
          <w:sz w:val="24"/>
          <w:szCs w:val="24"/>
        </w:rPr>
        <w:t>1,000 VMs → 20 RMMs with 8 vCPUs and 64 GB RAM</w:t>
      </w:r>
      <w:r>
        <w:br/>
      </w:r>
      <w:r>
        <w:rPr>
          <w:color w:val="808080"/>
          <w:sz w:val="24"/>
          <w:szCs w:val="24"/>
        </w:rPr>
        <w:t>10,000 VMs → 200 RMMs with 8 vCPUs and 64 GB RAM</w:t>
      </w:r>
      <w:r>
        <w:br/>
      </w:r>
      <w:r>
        <w:br/>
      </w:r>
      <w:r>
        <w:rPr>
          <w:color w:val="808080"/>
          <w:sz w:val="24"/>
          <w:szCs w:val="24"/>
        </w:rPr>
        <w:t>This model scales linearly beyond these examples, allowing customers to support environments of any size by continuing the same 5 VMs per vCPU ratio. Capacity can be increased incrementally to align with migration waves, timelines, and performance requirements.</w:t>
      </w:r>
      <w:r>
        <w:br/>
      </w:r>
      <w:r>
        <w:br/>
      </w:r>
      <w:r>
        <w:rPr>
          <w:color w:val="808080"/>
          <w:sz w:val="24"/>
          <w:szCs w:val="24"/>
        </w:rPr>
        <w:t># Architecture Flexibility</w:t>
      </w:r>
      <w:r>
        <w:br/>
      </w:r>
      <w:r>
        <w:rPr>
          <w:color w:val="808080"/>
          <w:sz w:val="24"/>
          <w:szCs w:val="24"/>
        </w:rPr>
        <w:t>RackWare Migration can be deployed as a single instance or distributed across multiple RMM instances depending on performance, isolation, or design requirements.</w:t>
      </w:r>
      <w:r>
        <w:br/>
      </w:r>
      <w:r>
        <w:br/>
      </w:r>
      <w:r>
        <w:rPr>
          <w:color w:val="808080"/>
          <w:sz w:val="24"/>
          <w:szCs w:val="24"/>
        </w:rPr>
        <w:t>For example, a customer migrating 100 VMs would require 2 RMMs:</w:t>
      </w:r>
      <w:r>
        <w:br/>
      </w:r>
      <w:r>
        <w:br/>
      </w:r>
      <w:r>
        <w:rPr>
          <w:color w:val="808080"/>
          <w:sz w:val="24"/>
          <w:szCs w:val="24"/>
        </w:rPr>
        <w:t>100 VMs × $110/VM = $11,000</w:t>
      </w:r>
      <w:r>
        <w:br/>
      </w:r>
      <w:r>
        <w:br/>
      </w:r>
      <w:r>
        <w:rPr>
          <w:color w:val="808080"/>
          <w:sz w:val="24"/>
          <w:szCs w:val="24"/>
        </w:rPr>
        <w:t>This can be deployed as:</w:t>
      </w:r>
      <w:r>
        <w:br/>
      </w:r>
      <w:r>
        <w:br/>
      </w:r>
      <w:r>
        <w:rPr>
          <w:color w:val="808080"/>
          <w:sz w:val="24"/>
          <w:szCs w:val="24"/>
        </w:rPr>
        <w:t>A single RMM with 4 vCPU and 32 GB RAM supporting 50 VMs in parallel for migration , or</w:t>
      </w:r>
      <w:r>
        <w:br/>
      </w:r>
      <w:r>
        <w:rPr>
          <w:color w:val="808080"/>
          <w:sz w:val="24"/>
          <w:szCs w:val="24"/>
        </w:rPr>
        <w:t>Multiple RMM instances based on the migration VMs count (e.g., 4 vCPUs supporting 50 VMs each) aligned to migration waves or application groupings</w:t>
      </w:r>
      <w:r>
        <w:br/>
      </w:r>
      <w:r>
        <w:br/>
      </w:r>
      <w:r>
        <w:rPr>
          <w:color w:val="808080"/>
          <w:sz w:val="24"/>
          <w:szCs w:val="24"/>
        </w:rPr>
        <w:t>This flexible architecture enables parallel migrations, better control over cutover groups, and alignment to enterprise design requirements.</w:t>
      </w:r>
      <w:r>
        <w:br/>
      </w:r>
      <w:r>
        <w:br/>
      </w:r>
      <w:r>
        <w:rPr>
          <w:color w:val="808080"/>
          <w:sz w:val="24"/>
          <w:szCs w:val="24"/>
        </w:rPr>
        <w:t># The supported use cases are</w:t>
      </w:r>
      <w:r>
        <w:br/>
      </w:r>
      <w:r>
        <w:br/>
      </w:r>
      <w:r>
        <w:rPr>
          <w:color w:val="808080"/>
          <w:sz w:val="24"/>
          <w:szCs w:val="24"/>
        </w:rPr>
        <w:t>1. VMware virtual machine (On-premises) to IBM Cloud VPC virtual servers</w:t>
      </w:r>
      <w:r>
        <w:br/>
      </w:r>
      <w:r>
        <w:rPr>
          <w:color w:val="808080"/>
          <w:sz w:val="24"/>
          <w:szCs w:val="24"/>
        </w:rPr>
        <w:t>2. VMware virtual machine (IBM Cloud classic) to IBM Cloud VPC virtual servers</w:t>
      </w:r>
      <w:r>
        <w:br/>
      </w:r>
      <w:r>
        <w:rPr>
          <w:color w:val="808080"/>
          <w:sz w:val="24"/>
          <w:szCs w:val="24"/>
        </w:rPr>
        <w:t>3. Hyper-V virtual machine (On-premises, IBM Cloud Classic) to IBM Cloud VPC virtual servers</w:t>
      </w:r>
      <w:r>
        <w:br/>
      </w:r>
      <w:r>
        <w:rPr>
          <w:color w:val="808080"/>
          <w:sz w:val="24"/>
          <w:szCs w:val="24"/>
        </w:rPr>
        <w:t>4. On-premises physical machines to IBM Cloud VPC virtual servers</w:t>
      </w:r>
      <w:r>
        <w:br/>
      </w:r>
      <w:r>
        <w:rPr>
          <w:color w:val="808080"/>
          <w:sz w:val="24"/>
          <w:szCs w:val="24"/>
        </w:rPr>
        <w:t>5. GCP, AWS, Azure, virtual machines and OCI Baremetal to IBM Cloud VPC virtual servers</w:t>
      </w:r>
      <w:r>
        <w:br/>
      </w:r>
      <w:r>
        <w:rPr>
          <w:color w:val="808080"/>
          <w:sz w:val="24"/>
          <w:szCs w:val="24"/>
        </w:rPr>
        <w:t>6. IBM Cloud classic bare metal to IBM Cloud classic bare metal</w:t>
      </w:r>
      <w:r>
        <w:br/>
      </w:r>
      <w:r>
        <w:rPr>
          <w:color w:val="808080"/>
          <w:sz w:val="24"/>
          <w:szCs w:val="24"/>
        </w:rPr>
        <w:t>7. IBM Cloud classic bare metal to IBM Cloud VPC bare metal</w:t>
      </w:r>
      <w:r>
        <w:br/>
      </w:r>
      <w:r>
        <w:rPr>
          <w:color w:val="808080"/>
          <w:sz w:val="24"/>
          <w:szCs w:val="24"/>
        </w:rPr>
        <w:t>8. Migration of popular databases (e.g., MSSQL, MySQL, PostgreSQL etc. Oracle RAC and ASM disk-based databases are not supported. Also, AWS RDS like databases are not supported)</w:t>
      </w:r>
      <w:r>
        <w:br/>
      </w:r>
      <w:r>
        <w:br/>
      </w:r>
      <w:r>
        <w:rPr>
          <w:color w:val="808080"/>
          <w:sz w:val="24"/>
          <w:szCs w:val="24"/>
        </w:rPr>
        <w:t>## Product Overview</w:t>
      </w:r>
      <w:r>
        <w:br/>
      </w:r>
      <w:r>
        <w:rPr>
          <w:color w:val="808080"/>
          <w:sz w:val="24"/>
          <w:szCs w:val="24"/>
        </w:rPr>
        <w:t>RackWare's RMM migrations are an automated, easy, and convenient process to migrate existing workloads from your current location to IBM Cloud. RMM creates an exact duplicate of a running image without the burden of rebuilding or recreating template images and applications. It decouples the application stack from the underlying platform, allowing it to be ported to the IBM Cloud infrastructure with ease. RMM simplifies migration of large, complex environments through a simple interface and reduces the time required from weeks to days, reducing capital and operating expenses. RackWare RMM includes discovery, analysis, and automation features, allowing all processes to be fast, easy, and error-free.</w:t>
      </w:r>
      <w:r>
        <w:br/>
      </w:r>
      <w:r>
        <w:br/>
      </w:r>
      <w:r>
        <w:rPr>
          <w:color w:val="808080"/>
          <w:sz w:val="24"/>
          <w:szCs w:val="24"/>
        </w:rPr>
        <w:t># Key Benefits</w:t>
      </w:r>
      <w:r>
        <w:br/>
      </w:r>
      <w:r>
        <w:br/>
      </w:r>
      <w:r>
        <w:rPr>
          <w:color w:val="808080"/>
          <w:sz w:val="24"/>
          <w:szCs w:val="24"/>
        </w:rPr>
        <w:t>- Live and Non-Disruptive Migrations</w:t>
      </w:r>
      <w:r>
        <w:br/>
      </w:r>
      <w:r>
        <w:rPr>
          <w:color w:val="808080"/>
          <w:sz w:val="24"/>
          <w:szCs w:val="24"/>
        </w:rPr>
        <w:t>- Highly secure and efficient data transfer</w:t>
      </w:r>
      <w:r>
        <w:br/>
      </w:r>
      <w:r>
        <w:rPr>
          <w:color w:val="808080"/>
          <w:sz w:val="24"/>
          <w:szCs w:val="24"/>
        </w:rPr>
        <w:t>- Auto provision of target Virtual Server Instance</w:t>
      </w:r>
      <w:r>
        <w:br/>
      </w:r>
      <w:r>
        <w:rPr>
          <w:color w:val="808080"/>
          <w:sz w:val="24"/>
          <w:szCs w:val="24"/>
        </w:rPr>
        <w:t>- Include / Exclude Lists: Capture and sync only specific files and directories rather than entire systems</w:t>
      </w:r>
      <w:r>
        <w:br/>
      </w:r>
      <w:r>
        <w:rPr>
          <w:color w:val="808080"/>
          <w:sz w:val="24"/>
          <w:szCs w:val="24"/>
        </w:rPr>
        <w:t>- Delta Sync: Sync only the changed parts of files during the final data sync, drastically lowering cutover times</w:t>
      </w:r>
      <w:r>
        <w:br/>
      </w:r>
      <w:r>
        <w:rPr>
          <w:color w:val="808080"/>
          <w:sz w:val="24"/>
          <w:szCs w:val="24"/>
        </w:rPr>
        <w:t>- Network optimization: bandwidth usage limitations, compression and check point restart for all sync operations</w:t>
      </w:r>
      <w:r>
        <w:br/>
      </w:r>
      <w:r>
        <w:br/>
      </w:r>
      <w:r>
        <w:rPr>
          <w:color w:val="808080"/>
          <w:sz w:val="24"/>
          <w:szCs w:val="24"/>
        </w:rPr>
        <w:t>- For more information, visit https://www.rackwareinc.com/cloud-migration</w:t>
      </w:r>
      <w:r>
        <w:br/>
      </w:r>
      <w:r>
        <w:br/>
      </w:r>
      <w:r>
        <w:br/>
      </w:r>
      <w:r>
        <w:rPr>
          <w:color w:val="808080"/>
          <w:sz w:val="24"/>
          <w:szCs w:val="24"/>
        </w:rPr>
        <w:t xml:space="preserve">Documentation:  </w:t>
      </w:r>
      <w:hyperlink r:id="rId434">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36">
        <w:r>
          <w:t>https://support.nativemsg.com</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438">
        <w:r>
          <w:t>https://cloud.ibm.com/docs/inference</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40">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Virtualization Service on IBM Cloud</w:t>
      </w:r>
      <w:r>
        <w:br/>
      </w:r>
      <w:r>
        <w:br/>
      </w:r>
      <w:r>
        <w:rPr>
          <w:color w:val="808080"/>
          <w:sz w:val="24"/>
          <w:szCs w:val="24"/>
        </w:rPr>
        <w:t>Deploy and manage enterprise virtual machine workloads on native OpenShift with virtualization-focused tools to run highly available Virtual Machines.</w:t>
      </w:r>
      <w:r>
        <w:br/>
      </w:r>
      <w:r>
        <w:rPr>
          <w:color w:val="808080"/>
          <w:sz w:val="24"/>
          <w:szCs w:val="24"/>
        </w:rPr>
        <w:t>OpenShift Virtualization Engine on IBM Cloud provides a modern Kubernetes-based platform that delivers operational consistency and flexibility for virtualization environments.</w:t>
      </w:r>
      <w:r>
        <w:br/>
      </w:r>
      <w:r>
        <w:br/>
      </w:r>
      <w:r>
        <w:rPr>
          <w:color w:val="808080"/>
          <w:sz w:val="24"/>
          <w:szCs w:val="24"/>
        </w:rPr>
        <w:t xml:space="preserve">Documentation:  </w:t>
      </w:r>
      <w:hyperlink r:id="rId442">
        <w:r>
          <w:t>https://cloud.ibm.com/docs/openshift?topic=openshift-virt-overview</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44">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48">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50">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52">
        <w:r>
          <w:t>https://scalestack.ai/scalestack-ibm</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54">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56">
        <w:r>
          <w:t>https://cloud.ibm.com/docs/subnets</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IBM Cloud Secrets Manager provides two plans for securely managing secrets and credentials: **Standard** and **Vault Dedicated**.</w:t>
      </w:r>
      <w:r>
        <w:br/>
      </w:r>
      <w:r>
        <w:br/>
      </w:r>
      <w:r>
        <w:rPr>
          <w:color w:val="808080"/>
          <w:sz w:val="24"/>
          <w:szCs w:val="24"/>
        </w:rPr>
        <w:t>With the **Standard plan**, you can create, lease, and centrally manage secrets that are used in IBM Cloud services or your custom-built applications. Secrets are stored in a dedicated instance of Secrets Manager, built on open source HashiCorp Vault.</w:t>
      </w:r>
      <w:r>
        <w:br/>
      </w:r>
      <w:r>
        <w:br/>
      </w:r>
      <w:r>
        <w:rPr>
          <w:color w:val="808080"/>
          <w:sz w:val="24"/>
          <w:szCs w:val="24"/>
        </w:rPr>
        <w:t>**Vault Dedicated** provides a dedicated HashiCorp Vault environment for organizations that want to use Vault capabilities and workflows while running Vault as a managed service on IBM Cloud.</w:t>
      </w:r>
      <w:r>
        <w:br/>
      </w:r>
      <w:r>
        <w:rPr>
          <w:color w:val="808080"/>
          <w:sz w:val="24"/>
          <w:szCs w:val="24"/>
        </w:rPr>
        <w:t xml:space="preserve">Documentation:  </w:t>
      </w:r>
      <w:hyperlink r:id="rId458">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60">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62">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64">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66">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6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7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74">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78">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80">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82">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84">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SpeedSize AI CDN</w:t>
      </w:r>
      <w:r>
        <w:br/>
      </w:r>
      <w:r>
        <w:br/>
      </w:r>
      <w:r>
        <w:rPr>
          <w:color w:val="808080"/>
          <w:sz w:val="24"/>
          <w:szCs w:val="24"/>
        </w:rPr>
        <w:t>SpeedSize® is the only AI-CDN built for the visual internet, trusted by leading global brands. The internet is entering a new era where AI is creating billions of images, videos, and digital experiences, but the infrastructure was never built for this scale. SpeedSize changes that. Powered by patented PVCI (Psycho-Visual Compression Index) and edge adaptive AI-CDN technology, SpeedSize eliminates the decades-old tradeoff between visual quality and performance, making content up to 99% smaller while keeping the same human visual experience. The result: faster websites, richer shopping experiences, lower CO2 emissions, and higher conversions at global scale. Simple no-code integration, usage-based pricing, and free testing make adoption effortless.</w:t>
      </w:r>
      <w:r>
        <w:br/>
      </w:r>
      <w:r>
        <w:rPr>
          <w:color w:val="808080"/>
          <w:sz w:val="24"/>
          <w:szCs w:val="24"/>
        </w:rPr>
        <w:t xml:space="preserve">Documentation:  </w:t>
      </w:r>
      <w:hyperlink r:id="rId486">
        <w:r>
          <w:t>https://support.speedsize.com/hc/en-us</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88">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90">
        <w:r>
          <w:t>https://cloud.ibm.com/docs/ssl-certificates</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92">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9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br/>
      </w:r>
      <w:r>
        <w:rPr>
          <w:color w:val="808080"/>
          <w:sz w:val="24"/>
          <w:szCs w:val="24"/>
        </w:rPr>
        <w:t>This catalog tile covers subscription to the Standard Test Service. This is similar to the Standard Live Service except that test keys are used to make setup and development easier.</w:t>
      </w:r>
      <w:r>
        <w:br/>
      </w:r>
      <w:r>
        <w:br/>
      </w:r>
      <w:r>
        <w:rPr>
          <w:color w:val="808080"/>
          <w:sz w:val="24"/>
          <w:szCs w:val="24"/>
        </w:rPr>
        <w:t>For Full details please follow the Doc link and sign up to the Service Portal.</w:t>
      </w:r>
      <w:r>
        <w:br/>
      </w:r>
      <w:r>
        <w:rPr>
          <w:color w:val="808080"/>
          <w:sz w:val="24"/>
          <w:szCs w:val="24"/>
        </w:rPr>
        <w:t xml:space="preserve">Documentation:  </w:t>
      </w:r>
      <w:hyperlink r:id="rId496">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9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500">
        <w:r>
          <w:t>https://cloud.ibm.com/docs/cephaas</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Straker AI Dubbing </w:t>
      </w:r>
      <w:r>
        <w:br/>
      </w:r>
      <w:r>
        <w:br/>
      </w:r>
      <w:r>
        <w:rPr>
          <w:color w:val="808080"/>
          <w:sz w:val="24"/>
          <w:szCs w:val="24"/>
        </w:rPr>
        <w:t>Designed for training, marketing, product education, customer communications, and internal content, arbitr AI Dubbing helps teams produce localized video without leaving their existing agent workflow. It preserves the speaker’s voice, emotion, and intent and supports 30 documented target languages across core, additional, and lip-sync coverage. Conversations with the agent are in English, while the dubbing language is selected independently for each job.</w:t>
      </w:r>
      <w:r>
        <w:br/>
      </w:r>
      <w:r>
        <w:br/>
      </w:r>
      <w:r>
        <w:rPr>
          <w:color w:val="808080"/>
          <w:sz w:val="24"/>
          <w:szCs w:val="24"/>
        </w:rPr>
        <w:t>arbitr AI Dubbing is delivered as an external collaborator. A watsonx Orchestrate administrator adds it to a native agent before end users can invoke it.</w:t>
      </w:r>
      <w:r>
        <w:br/>
      </w:r>
      <w:r>
        <w:br/>
      </w:r>
      <w:r>
        <w:br/>
      </w:r>
      <w:r>
        <w:br/>
      </w:r>
      <w:r>
        <w:rPr>
          <w:color w:val="808080"/>
          <w:sz w:val="24"/>
          <w:szCs w:val="24"/>
        </w:rPr>
        <w:t xml:space="preserve">Documentation:  </w:t>
      </w:r>
      <w:hyperlink r:id="rId502">
        <w:r>
          <w:t>https://help.straker.ai/en/docs/straker-dubbing-for-ibm-watsonx-orchestrate</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504">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Structured Clinical Documentation Agent</w:t>
      </w:r>
      <w:r>
        <w:br/>
      </w:r>
      <w:r>
        <w:br/>
      </w:r>
      <w:r>
        <w:rPr>
          <w:color w:val="808080"/>
          <w:sz w:val="24"/>
          <w:szCs w:val="24"/>
        </w:rPr>
        <w:t>The Structured Clinical Documentation Agent is an AI-powered solution that converts free-text clinical notes into structured, standardized documentation aligned with clinic-specific templates and specialty requirements.</w:t>
      </w:r>
      <w:r>
        <w:br/>
      </w:r>
      <w:r>
        <w:rPr>
          <w:color w:val="808080"/>
          <w:sz w:val="24"/>
          <w:szCs w:val="24"/>
        </w:rPr>
        <w:t>In many healthcare settings, clinicians document freely, while systems require structured formats such as SOAP notes or specialty-specific forms. This gap creates inefficiencies, inconsistent records, and challenges in coding and workflow execution.</w:t>
      </w:r>
      <w:r>
        <w:br/>
      </w:r>
      <w:r>
        <w:rPr>
          <w:color w:val="808080"/>
          <w:sz w:val="24"/>
          <w:szCs w:val="24"/>
        </w:rPr>
        <w:t>This agent bridges that gap by transforming unstructured clinical notes—including physician input or AI scribe output—into predefined, structured formats configured by each clinic or specialty. Organizations can define their own documentation templates, forms, and requirements, and the agent ensures that all notes are structured accordingly.</w:t>
      </w:r>
      <w:r>
        <w:br/>
      </w:r>
      <w:r>
        <w:rPr>
          <w:color w:val="808080"/>
          <w:sz w:val="24"/>
          <w:szCs w:val="24"/>
        </w:rPr>
        <w:t>By aligning documentation with clinic-specific workflows, the agent improves consistency, completeness, and usability of clinical data across care teams. It also enhances downstream processes such as coding, billing, reporting, and clinical decision support.</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rPr>
          <w:color w:val="808080"/>
          <w:sz w:val="24"/>
          <w:szCs w:val="24"/>
        </w:rPr>
        <w:t>placeholder</w:t>
      </w:r>
      <w:r>
        <w:br/>
      </w:r>
      <w:r>
        <w:rPr>
          <w:color w:val="808080"/>
          <w:sz w:val="24"/>
          <w:szCs w:val="24"/>
        </w:rPr>
        <w:t xml:space="preserve">Documentation:  </w:t>
      </w:r>
      <w:hyperlink r:id="rId506">
        <w:r>
          <w:t>https://viclinic.com/en/vi-agent</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508">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Succinctly Enterprise Intelligence and Help Desk Automation</w:t>
      </w:r>
      <w:r>
        <w:br/>
      </w:r>
      <w:r>
        <w:br/>
      </w:r>
      <w:r>
        <w:rPr>
          <w:color w:val="808080"/>
          <w:sz w:val="24"/>
          <w:szCs w:val="24"/>
        </w:rPr>
        <w:t>Succinctly — AI Help Desk Automation, Enterprise Search, and Business Intelligence in One Assistant</w:t>
      </w:r>
      <w:r>
        <w:br/>
      </w:r>
      <w:r>
        <w:br/>
      </w:r>
      <w:r>
        <w:rPr>
          <w:color w:val="808080"/>
          <w:sz w:val="24"/>
          <w:szCs w:val="24"/>
        </w:rPr>
        <w:t>Succinctly is your company's AI-powered work assistant. Employees ask questions in plain English — through chat or email — and get instant, accurate answers drawn from your own company data. No tickets, no waiting, no digging through file shares.</w:t>
      </w:r>
      <w:r>
        <w:br/>
      </w:r>
      <w:r>
        <w:br/>
      </w:r>
      <w:r>
        <w:rPr>
          <w:color w:val="808080"/>
          <w:sz w:val="24"/>
          <w:szCs w:val="24"/>
        </w:rPr>
        <w:t>Succinctly resolves up to 95% of help desk requests automatically. It answers common IT and HR questions, handles routine tasks like password resets and PTO logging, and intelligently routes complex issues to the right team. Response times drop 10x while your support staff focuses on work that actually needs a human.</w:t>
      </w:r>
      <w:r>
        <w:br/>
      </w:r>
      <w:r>
        <w:br/>
      </w:r>
      <w:r>
        <w:rPr>
          <w:color w:val="808080"/>
          <w:sz w:val="24"/>
          <w:szCs w:val="24"/>
        </w:rPr>
        <w:t>Beyond the help desk, Succinctly acts as an enterprise search engine and virtual analyst. Ask business intelligence questions in natural language and get answers in seconds — as text or charts — pulled from your databases, documents, file shares, and any system with an API. It can even review and compare contracts.</w:t>
      </w:r>
      <w:r>
        <w:br/>
      </w:r>
      <w:r>
        <w:br/>
      </w:r>
      <w:r>
        <w:rPr>
          <w:color w:val="808080"/>
          <w:sz w:val="24"/>
          <w:szCs w:val="24"/>
        </w:rPr>
        <w:t>Built for the enterprise: Succinctly runs in the cloud, on-premises, or hosted, integrates with your SSO and permission schemes, and connects to platforms like Zendesk, Zoho, ServiceNow, and Salesforce. Access it via chat, API, or MCP. With no license fees for up to 1,000 users, it delivers value SaaS-only tools can't match.</w:t>
      </w:r>
      <w:r>
        <w:br/>
      </w:r>
      <w:r>
        <w:br/>
      </w:r>
      <w:r>
        <w:rPr>
          <w:color w:val="808080"/>
          <w:sz w:val="24"/>
          <w:szCs w:val="24"/>
        </w:rPr>
        <w:t>Stop drowning in tickets. Start getting answers — succinctly.</w:t>
      </w:r>
      <w:r>
        <w:br/>
      </w:r>
      <w:r>
        <w:br/>
      </w:r>
      <w:r>
        <w:rPr>
          <w:color w:val="808080"/>
          <w:sz w:val="24"/>
          <w:szCs w:val="24"/>
        </w:rPr>
        <w:t>Keywords: AI help desk automation, IT ticket deflection, enterprise search, AI chatbot for employees, business intelligence assistant, natural language BI, internal support automation, knowledge management, ITSM integration, on-premises AI.</w:t>
      </w:r>
      <w:r>
        <w:br/>
      </w:r>
      <w:r>
        <w:rPr>
          <w:color w:val="808080"/>
          <w:sz w:val="24"/>
          <w:szCs w:val="24"/>
        </w:rPr>
        <w:t xml:space="preserve">Documentation:  </w:t>
      </w:r>
      <w:hyperlink r:id="rId510">
        <w:r>
          <w:t>https://www.succinctly.io/documentation</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512">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514">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SysTrack AI</w:t>
      </w:r>
      <w:r>
        <w:br/>
      </w:r>
      <w:r>
        <w:br/>
      </w:r>
      <w:r>
        <w:rPr>
          <w:color w:val="808080"/>
          <w:sz w:val="24"/>
          <w:szCs w:val="24"/>
        </w:rPr>
        <w:t>From the data leader in digital employee experience (DEX) tools, SysTrack AI helps IT organizations deflect tickets, resolve incidents 2X faster, and improve service desk efficiency. With real-time insight into device issues and AI-driven diagnostics, SysTrack AI pinpoints the root cause of problems and provides step-by-step guidance for fast, accurate resolutions. It’s your “easy button” for effective L1 support.</w:t>
      </w:r>
      <w:r>
        <w:br/>
      </w:r>
      <w:r>
        <w:br/>
      </w:r>
      <w:r>
        <w:rPr>
          <w:color w:val="808080"/>
          <w:sz w:val="24"/>
          <w:szCs w:val="24"/>
        </w:rPr>
        <w:t xml:space="preserve"> </w:t>
      </w:r>
      <w:r>
        <w:br/>
      </w:r>
      <w:r>
        <w:br/>
      </w:r>
      <w:r>
        <w:rPr>
          <w:color w:val="808080"/>
          <w:sz w:val="24"/>
          <w:szCs w:val="24"/>
        </w:rPr>
        <w:t>IT service desk leaders use SysTrack AI to:</w:t>
      </w:r>
      <w:r>
        <w:br/>
      </w:r>
      <w:r>
        <w:br/>
      </w:r>
      <w:r>
        <w:rPr>
          <w:color w:val="808080"/>
          <w:sz w:val="24"/>
          <w:szCs w:val="24"/>
        </w:rPr>
        <w:t>Cut mean-time-to-resolution (MTTR) by 50%</w:t>
      </w:r>
      <w:r>
        <w:br/>
      </w:r>
      <w:r>
        <w:rPr>
          <w:color w:val="808080"/>
          <w:sz w:val="24"/>
          <w:szCs w:val="24"/>
        </w:rPr>
        <w:t>Shift left and resolve more issues at lower support tiers</w:t>
      </w:r>
      <w:r>
        <w:br/>
      </w:r>
      <w:r>
        <w:rPr>
          <w:color w:val="808080"/>
          <w:sz w:val="24"/>
          <w:szCs w:val="24"/>
        </w:rPr>
        <w:t>Deflect tickets with user-friendly self-service</w:t>
      </w:r>
      <w:r>
        <w:br/>
      </w:r>
      <w:r>
        <w:rPr>
          <w:color w:val="808080"/>
          <w:sz w:val="24"/>
          <w:szCs w:val="24"/>
        </w:rPr>
        <w:t xml:space="preserve">Documentation:  </w:t>
      </w:r>
      <w:hyperlink r:id="rId516">
        <w:r>
          <w:t>https://documentation.lakesidesoftware.com/en/Content/IntelligencePackage/Intelligence%20Package%20Overview.htm</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L4S Corp. provides commercial software licensing for Networked Accounting Ledger (NAL)™ technology and the TapestryX platform. Our software licensing services grant enterprises and institutional consortia the right to deploy, operate, and integrate a real-time, high-capacity, secure, and scalable decentralized double-entry transaction synchronization and accounting protocol.</w:t>
      </w:r>
      <w:r>
        <w:br/>
      </w:r>
      <w:r>
        <w:br/>
      </w:r>
      <w:r>
        <w:rPr>
          <w:color w:val="808080"/>
          <w:sz w:val="24"/>
          <w:szCs w:val="24"/>
        </w:rPr>
        <w:t>• Software Licensing Scope: Commercial node licensing and enterprise deployment rights for Networked Accounting Ledger (NAL)™ software across single-tenant or multi-tenant environments.</w:t>
      </w:r>
      <w:r>
        <w:br/>
      </w:r>
      <w:r>
        <w:br/>
      </w:r>
      <w:r>
        <w:rPr>
          <w:color w:val="808080"/>
          <w:sz w:val="24"/>
          <w:szCs w:val="24"/>
        </w:rPr>
        <w:t>• Decentralized Ledger Node Control: Each licensed node (representing an institutional participant) controls its segment of the interlinked platform ledger.</w:t>
      </w:r>
      <w:r>
        <w:br/>
      </w:r>
      <w:r>
        <w:br/>
      </w:r>
      <w:r>
        <w:rPr>
          <w:color w:val="808080"/>
          <w:sz w:val="24"/>
          <w:szCs w:val="24"/>
        </w:rPr>
        <w:t>• Self-Synchronizing Protocol: Event-driven, real-time synchronization derived entirely from transaction data without consensus voting, mining, or third-party validator overhead (U.S. Pat. No. 11,631,063 B2).</w:t>
      </w:r>
      <w:r>
        <w:br/>
      </w:r>
      <w:r>
        <w:br/>
      </w:r>
      <w:r>
        <w:rPr>
          <w:color w:val="808080"/>
          <w:sz w:val="24"/>
          <w:szCs w:val="24"/>
        </w:rPr>
        <w:t>• Immutable Double-Entry Records: Nodes record both asset transfers and future-dated obligations directly into immutable ledgers.</w:t>
      </w:r>
      <w:r>
        <w:br/>
      </w:r>
      <w:r>
        <w:br/>
      </w:r>
      <w:r>
        <w:rPr>
          <w:color w:val="808080"/>
          <w:sz w:val="24"/>
          <w:szCs w:val="24"/>
        </w:rPr>
        <w:t>• Accounting Periods &amp; Active Optimization: Native transacting periods support automated period archiving and active memory optimization.</w:t>
      </w:r>
      <w:r>
        <w:br/>
      </w:r>
      <w:r>
        <w:br/>
      </w:r>
      <w:r>
        <w:rPr>
          <w:color w:val="808080"/>
          <w:sz w:val="24"/>
          <w:szCs w:val="24"/>
        </w:rPr>
        <w:t>• Deterministic Scripting: Asset-agnostic and transaction-lifecycle-agnostic building blocks.</w:t>
      </w:r>
      <w:r>
        <w:br/>
      </w:r>
      <w:r>
        <w:br/>
      </w:r>
      <w:r>
        <w:rPr>
          <w:color w:val="808080"/>
          <w:sz w:val="24"/>
          <w:szCs w:val="24"/>
        </w:rPr>
        <w:t>• Legacy ERP &amp; Core Banking Interoperability: Secure data integration via built-in Airlock bridge technology.</w:t>
      </w:r>
      <w:r>
        <w:br/>
      </w:r>
      <w:r>
        <w:br/>
      </w:r>
      <w:r>
        <w:rPr>
          <w:color w:val="808080"/>
          <w:sz w:val="24"/>
          <w:szCs w:val="24"/>
        </w:rPr>
        <w:t>• Enterprise Reporting &amp; Compliance: Configurable for GAAP and IFRS financial accounting and reporting standards.</w:t>
      </w:r>
      <w:r>
        <w:br/>
      </w:r>
      <w:r>
        <w:br/>
      </w:r>
      <w:r>
        <w:rPr>
          <w:color w:val="808080"/>
          <w:sz w:val="24"/>
          <w:szCs w:val="24"/>
        </w:rPr>
        <w:t>• Resilient, High-Throughput Architecture: High performance (~100,000 TPS) with decentralized initiation, validation, and fault-tolerant zero-single-point-of-failure design.</w:t>
      </w:r>
      <w:r>
        <w:br/>
      </w:r>
      <w:r>
        <w:rPr>
          <w:color w:val="808080"/>
          <w:sz w:val="24"/>
          <w:szCs w:val="24"/>
        </w:rPr>
        <w:t xml:space="preserve">Documentation:  </w:t>
      </w:r>
      <w:hyperlink r:id="rId518">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520">
        <w:r>
          <w:t>https://docs.tavily.com/welcome</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522">
        <w:r>
          <w:t>https://techd.com</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524">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52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528">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530">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532">
        <w:r>
          <w:t>https://upsun.com/blog/code-documentation/</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3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53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3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540">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542">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544">
        <w:r>
          <w:t>https://docs.verify.ibm.com/verify</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ViClinic agentic healthcare orchestration platform  </w:t>
      </w:r>
      <w:r>
        <w:br/>
      </w:r>
      <w:r>
        <w:br/>
      </w:r>
      <w:r>
        <w:rPr>
          <w:color w:val="808080"/>
          <w:sz w:val="24"/>
          <w:szCs w:val="24"/>
        </w:rPr>
        <w:t>The ViClinic Agentic Healthcare Orchestration Platform (AHOS) is a SaaS solution designed to coordinate multiple AI agents across clinical and administrative workflows, enabling healthcare organizations to automate processes, improve decision-making, and achieve measurable operational and financial outcomes.</w:t>
      </w:r>
      <w:r>
        <w:br/>
      </w:r>
      <w:r>
        <w:rPr>
          <w:color w:val="808080"/>
          <w:sz w:val="24"/>
          <w:szCs w:val="24"/>
        </w:rPr>
        <w:t>Unlike standalone AI tools, ViClinic AHOS embeds intelligent agents directly into the care delivery process—from patient intake and triage to documentation, coding, discharge, and follow-up. These agents work together within a unified system, sharing structured clinical context and operating under clinician supervision.</w:t>
      </w:r>
      <w:r>
        <w:br/>
      </w:r>
      <w:r>
        <w:rPr>
          <w:color w:val="808080"/>
          <w:sz w:val="24"/>
          <w:szCs w:val="24"/>
        </w:rPr>
        <w:t>The platform transforms fragmented workflows into a coordinated, end-to-end process. By connecting clinical data, patient interactions, and administrative tasks, it ensures that each step of care is supported by accurate, timely, and actionable information.</w:t>
      </w:r>
      <w:r>
        <w:br/>
      </w:r>
      <w:r>
        <w:rPr>
          <w:color w:val="808080"/>
          <w:sz w:val="24"/>
          <w:szCs w:val="24"/>
        </w:rPr>
        <w:t>ViClinic AHOS integrates with existing EMR/EHR systems and supports interoperability through standardized data structures. It enables healthcare providers to enhance efficiency without replacing their current systems, acting as an execution layer that brings AI into real-world clinical operations.</w:t>
      </w:r>
      <w:r>
        <w:br/>
      </w:r>
      <w:r>
        <w:rPr>
          <w:color w:val="808080"/>
          <w:sz w:val="24"/>
          <w:szCs w:val="24"/>
        </w:rPr>
        <w:t>By combining workflow orchestration, shared clinical context, and human-in-the-loop governance, the platform reduces administrative burden, improves care quality, accelerates revenue cycle processes, and enhances patient engagement.</w:t>
      </w:r>
      <w:r>
        <w:br/>
      </w:r>
      <w:r>
        <w:br/>
      </w:r>
      <w:r>
        <w:br/>
      </w:r>
      <w:r>
        <w:br/>
      </w:r>
      <w:r>
        <w:rPr>
          <w:color w:val="808080"/>
          <w:sz w:val="24"/>
          <w:szCs w:val="24"/>
        </w:rPr>
        <w:t xml:space="preserve">Documentation:  </w:t>
      </w:r>
      <w:hyperlink r:id="rId546">
        <w:r>
          <w:t>https://www.viclinic.com/en/vi-agent</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55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552">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5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56">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58">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60">
        <w:r>
          <w:t>https://cloud.ibm.com/docs/vsi</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62">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64">
        <w:r>
          <w:t>https://cloud.ibm.com/docs</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566">
        <w:r>
          <w:t>https://starsystems.in/vmware-vlp/</w:t>
        </w:r>
      </w:hyperlink>
      <w:r>
        <w:br/>
      </w:r>
      <w:r>
        <w:br/>
      </w:r>
    </w:p>
    <w:p w:rsidR="00A77427" w:rsidRDefault="007F1D13">
      <w:pPr>
        <w:ind/>
      </w:pPr>
      <w:r>
        <w:rPr>
          <w:noProof/>
        </w:rPr>
        <w:drawing>
          <wp:inline distT="0" distB="0" distL="0" distR="0">
            <wp:extent cx="476250" cy="476250"/>
            <wp:effectExtent l="19050" t="0" r="9525" b="0"/>
            <wp:docPr id="281" name="Picture 280" descr="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pic:nvPicPr>
                  <pic:blipFill>
                    <a:blip r:embed="rId567"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68">
        <w:r>
          <w:t>https://hdm.primaryio.com/lp/vmwaas</w:t>
        </w:r>
      </w:hyperlink>
      <w:r>
        <w:br/>
      </w:r>
      <w:r>
        <w:br/>
      </w:r>
    </w:p>
    <w:p w:rsidR="00A77427" w:rsidRDefault="007F1D13">
      <w:pPr>
        <w:ind/>
      </w:pPr>
      <w:r>
        <w:rPr>
          <w:noProof/>
        </w:rPr>
        <w:drawing>
          <wp:inline distT="0" distB="0" distL="0" distR="0">
            <wp:extent cx="476250" cy="476250"/>
            <wp:effectExtent l="19050" t="0" r="9525" b="0"/>
            <wp:docPr id="282" name="Picture 281" descr="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pic:nvPicPr>
                  <pic:blipFill>
                    <a:blip r:embed="rId569"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7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83" name="Picture 282" descr="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pic:cNvPicPr/>
                  </pic:nvPicPr>
                  <pic:blipFill>
                    <a:blip r:embed="rId571"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7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84" name="Picture 283" descr="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3"/>
                    <pic:cNvPicPr/>
                  </pic:nvPicPr>
                  <pic:blipFill>
                    <a:blip r:embed="rId573"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74">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85" name="Picture 284" descr="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4"/>
                    <pic:cNvPicPr/>
                  </pic:nvPicPr>
                  <pic:blipFill>
                    <a:blip r:embed="rId575"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7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86" name="Picture 285" descr="Picture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5"/>
                    <pic:cNvPicPr/>
                  </pic:nvPicPr>
                  <pic:blipFill>
                    <a:blip r:embed="rId577"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78">
        <w:r>
          <w:t>https://docs.wanclouds.net/ibm</w:t>
        </w:r>
      </w:hyperlink>
      <w:r>
        <w:br/>
      </w:r>
      <w:r>
        <w:br/>
      </w:r>
    </w:p>
    <w:p w:rsidR="00A77427" w:rsidRDefault="007F1D13">
      <w:pPr>
        <w:ind/>
      </w:pPr>
      <w:r>
        <w:rPr>
          <w:noProof/>
        </w:rPr>
        <w:drawing>
          <wp:inline distT="0" distB="0" distL="0" distR="0">
            <wp:extent cx="476250" cy="476250"/>
            <wp:effectExtent l="19050" t="0" r="9525" b="0"/>
            <wp:docPr id="287" name="Picture 286" descr="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6"/>
                    <pic:cNvPicPr/>
                  </pic:nvPicPr>
                  <pic:blipFill>
                    <a:blip r:embed="rId579"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80">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88" name="Picture 287" descr="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7"/>
                    <pic:cNvPicPr/>
                  </pic:nvPicPr>
                  <pic:blipFill>
                    <a:blip r:embed="rId581"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82">
        <w:r>
          <w:t>https://docs.wanclouds.net/ibm/vpc-draas/</w:t>
        </w:r>
      </w:hyperlink>
      <w:r>
        <w:br/>
      </w:r>
      <w:r>
        <w:br/>
      </w:r>
    </w:p>
    <w:p w:rsidR="00A77427" w:rsidRDefault="007F1D13">
      <w:pPr>
        <w:ind/>
      </w:pPr>
      <w:r>
        <w:rPr>
          <w:noProof/>
        </w:rPr>
        <w:drawing>
          <wp:inline distT="0" distB="0" distL="0" distR="0">
            <wp:extent cx="476250" cy="476250"/>
            <wp:effectExtent l="19050" t="0" r="9525" b="0"/>
            <wp:docPr id="289" name="Picture 288" descr="Picture 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8"/>
                    <pic:cNvPicPr/>
                  </pic:nvPicPr>
                  <pic:blipFill>
                    <a:blip r:embed="rId583"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84">
        <w:r>
          <w:t>https://cloud.ibm.com/docs/vpc?topic=vpc-using-vpn</w:t>
        </w:r>
      </w:hyperlink>
      <w:r>
        <w:br/>
      </w:r>
      <w:r>
        <w:br/>
      </w:r>
    </w:p>
    <w:p w:rsidR="00A77427" w:rsidRDefault="007F1D13">
      <w:pPr>
        <w:ind/>
      </w:pPr>
      <w:r>
        <w:rPr>
          <w:noProof/>
        </w:rPr>
        <w:drawing>
          <wp:inline distT="0" distB="0" distL="0" distR="0">
            <wp:extent cx="476250" cy="476250"/>
            <wp:effectExtent l="19050" t="0" r="9525" b="0"/>
            <wp:docPr id="290" name="Picture 289" descr="Picture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9"/>
                    <pic:cNvPicPr/>
                  </pic:nvPicPr>
                  <pic:blipFill>
                    <a:blip r:embed="rId585"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8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91" name="Picture 290" descr="Picture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0"/>
                    <pic:cNvPicPr/>
                  </pic:nvPicPr>
                  <pic:blipFill>
                    <a:blip r:embed="rId587" cstate="print"/>
                    <a:stretch>
                      <a:fillRect/>
                    </a:stretch>
                  </pic:blipFill>
                  <pic:spPr>
                    <a:xfrm>
                      <a:off x="0" y="0"/>
                      <a:ext cx="476250" cy="476250"/>
                    </a:xfrm>
                    <a:prstGeom prst="rect">
                      <a:avLst/>
                    </a:prstGeom>
                  </pic:spPr>
                </pic:pic>
              </a:graphicData>
            </a:graphic>
          </wp:inline>
        </w:drawing>
      </w:r>
      <w:r>
        <w:rPr>
          <w:b/>
          <w:bCs/>
          <w:sz w:val="28"/>
          <w:szCs w:val="28"/>
        </w:rPr>
        <w:t xml:space="preserve">     WANDA Agentic AI  - AIOps as a Service -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88">
        <w:r>
          <w:t>https://www.wanclouds.ai/</w:t>
        </w:r>
      </w:hyperlink>
      <w:r>
        <w:br/>
      </w:r>
      <w:r>
        <w:br/>
      </w:r>
    </w:p>
    <w:p w:rsidR="00A77427" w:rsidRDefault="007F1D13">
      <w:pPr>
        <w:ind/>
      </w:pPr>
      <w:r>
        <w:rPr>
          <w:noProof/>
        </w:rPr>
        <w:drawing>
          <wp:inline distT="0" distB="0" distL="0" distR="0">
            <wp:extent cx="476250" cy="476250"/>
            <wp:effectExtent l="19050" t="0" r="9525" b="0"/>
            <wp:docPr id="292" name="Picture 291" descr="Picture 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1"/>
                    <pic:cNvPicPr/>
                  </pic:nvPicPr>
                  <pic:blipFill>
                    <a:blip r:embed="rId589"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90">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93" name="Picture 292" descr="Picture 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2"/>
                    <pic:cNvPicPr/>
                  </pic:nvPicPr>
                  <pic:blipFill>
                    <a:blip r:embed="rId591"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92">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94" name="Picture 293" descr="Picture 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3"/>
                    <pic:cNvPicPr/>
                  </pic:nvPicPr>
                  <pic:blipFill>
                    <a:blip r:embed="rId593"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94">
        <w:r>
          <w:t>https://ibm.com</w:t>
        </w:r>
      </w:hyperlink>
      <w:r>
        <w:br/>
      </w:r>
      <w:r>
        <w:br/>
      </w:r>
    </w:p>
    <w:p w:rsidR="00A77427" w:rsidRDefault="007F1D13">
      <w:pPr>
        <w:ind/>
      </w:pPr>
      <w:r>
        <w:rPr>
          <w:noProof/>
        </w:rPr>
        <w:drawing>
          <wp:inline distT="0" distB="0" distL="0" distR="0">
            <wp:extent cx="476250" cy="476250"/>
            <wp:effectExtent l="19050" t="0" r="9525" b="0"/>
            <wp:docPr id="295" name="Picture 294" descr="Picture 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4"/>
                    <pic:cNvPicPr/>
                  </pic:nvPicPr>
                  <pic:blipFill>
                    <a:blip r:embed="rId595"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96">
        <w:r>
          <w:t>https://cloud.ibm.com/docs/watsonx-bi</w:t>
        </w:r>
      </w:hyperlink>
      <w:r>
        <w:br/>
      </w:r>
      <w:r>
        <w:br/>
      </w:r>
    </w:p>
    <w:p w:rsidR="00A77427" w:rsidRDefault="007F1D13">
      <w:pPr>
        <w:ind/>
      </w:pPr>
      <w:r>
        <w:rPr>
          <w:noProof/>
        </w:rPr>
        <w:drawing>
          <wp:inline distT="0" distB="0" distL="0" distR="0">
            <wp:extent cx="476250" cy="476250"/>
            <wp:effectExtent l="19050" t="0" r="9525" b="0"/>
            <wp:docPr id="296" name="Picture 295" descr="Picture 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5"/>
                    <pic:cNvPicPr/>
                  </pic:nvPicPr>
                  <pic:blipFill>
                    <a:blip r:embed="rId597"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98">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97" name="Picture 296" descr="Picture 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6"/>
                    <pic:cNvPicPr/>
                  </pic:nvPicPr>
                  <pic:blipFill>
                    <a:blip r:embed="rId599"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600">
        <w:r>
          <w:t>https://www.ibm.com/docs/en/watson-orchestrate</w:t>
        </w:r>
      </w:hyperlink>
      <w:r>
        <w:br/>
      </w:r>
      <w:r>
        <w:br/>
      </w:r>
    </w:p>
    <w:p w:rsidR="00A77427" w:rsidRDefault="007F1D13">
      <w:pPr>
        <w:ind/>
      </w:pPr>
      <w:r>
        <w:rPr>
          <w:noProof/>
        </w:rPr>
        <w:drawing>
          <wp:inline distT="0" distB="0" distL="0" distR="0">
            <wp:extent cx="476250" cy="476250"/>
            <wp:effectExtent l="19050" t="0" r="9525" b="0"/>
            <wp:docPr id="298" name="Picture 297" descr="Picture 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7"/>
                    <pic:cNvPicPr/>
                  </pic:nvPicPr>
                  <pic:blipFill>
                    <a:blip r:embed="rId601"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 (formerly Assistant)</w:t>
      </w:r>
      <w:r>
        <w:br/>
      </w:r>
      <w:r>
        <w:br/>
      </w:r>
      <w:r>
        <w:rPr>
          <w:color w:val="808080"/>
          <w:sz w:val="24"/>
          <w:szCs w:val="24"/>
        </w:rPr>
        <w:t>watsonx Assistant is now watsonx Orchestrate.</w:t>
      </w:r>
      <w:r>
        <w:br/>
      </w:r>
      <w:r>
        <w:br/>
      </w:r>
      <w:r>
        <w:rPr>
          <w:color w:val="808080"/>
          <w:sz w:val="24"/>
          <w:szCs w:val="24"/>
        </w:rPr>
        <w:t>We are rolling out an upgrade to all customers of watsonx Assistant. Account eligibility for upgrade is rolling out to clients in stages, please see the documentation link here for more information: https://cloud.ibm.com/docs/watson-assistant?topic=watson-assistant-in-place-upgrade</w:t>
      </w:r>
      <w:r>
        <w:br/>
      </w:r>
      <w:r>
        <w:br/>
      </w:r>
      <w:r>
        <w:rPr>
          <w:color w:val="808080"/>
          <w:sz w:val="24"/>
          <w:szCs w:val="24"/>
        </w:rPr>
        <w:t>IBM watsonx Orchestrate (formerly Assistant), continues to provide the AI Assistant building capabilities with no disruption to customers. Existing dialogs, actions, extensions and other settings remain active and can continue to be authored.</w:t>
      </w:r>
      <w:r>
        <w:br/>
      </w:r>
      <w:r>
        <w:br/>
      </w:r>
      <w:r>
        <w:rPr>
          <w:color w:val="808080"/>
          <w:sz w:val="24"/>
          <w:szCs w:val="24"/>
        </w:rPr>
        <w:t>The now including AI Agent building, life cycle, and control plane experiences allow teams to start exploring and building AI Agents for their use cases to modernize Assistant experiences.</w:t>
      </w:r>
      <w:r>
        <w:br/>
      </w:r>
      <w:r>
        <w:rPr>
          <w:color w:val="808080"/>
          <w:sz w:val="24"/>
          <w:szCs w:val="24"/>
        </w:rPr>
        <w:t xml:space="preserve">Documentation:  </w:t>
      </w:r>
      <w:hyperlink r:id="rId602">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99" name="Picture 298" descr="Picture 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8"/>
                    <pic:cNvPicPr/>
                  </pic:nvPicPr>
                  <pic:blipFill>
                    <a:blip r:embed="rId603"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604">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300" name="Picture 299" descr="Picture 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9"/>
                    <pic:cNvPicPr/>
                  </pic:nvPicPr>
                  <pic:blipFill>
                    <a:blip r:embed="rId605"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606">
        <w:r>
          <w:t>https://dataplatform.cloud.ibm.com/docs</w:t>
        </w:r>
      </w:hyperlink>
      <w:r>
        <w:br/>
      </w:r>
      <w:r>
        <w:br/>
      </w:r>
    </w:p>
    <w:p w:rsidR="00A77427" w:rsidRDefault="007F1D13">
      <w:pPr>
        <w:ind/>
      </w:pPr>
      <w:r>
        <w:rPr>
          <w:noProof/>
        </w:rPr>
        <w:drawing>
          <wp:inline distT="0" distB="0" distL="0" distR="0">
            <wp:extent cx="476250" cy="476250"/>
            <wp:effectExtent l="19050" t="0" r="9525" b="0"/>
            <wp:docPr id="301" name="Picture 300" descr="Picture 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0"/>
                    <pic:cNvPicPr/>
                  </pic:nvPicPr>
                  <pic:blipFill>
                    <a:blip r:embed="rId607"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608">
        <w:r>
          <w:t>https://cloud.ibm.com/docs/watsonxdata</w:t>
        </w:r>
      </w:hyperlink>
      <w:r>
        <w:br/>
      </w:r>
      <w:r>
        <w:br/>
      </w:r>
    </w:p>
    <w:p w:rsidR="00A77427" w:rsidRDefault="007F1D13">
      <w:pPr>
        <w:ind/>
      </w:pPr>
      <w:r>
        <w:rPr>
          <w:noProof/>
        </w:rPr>
        <w:drawing>
          <wp:inline distT="0" distB="0" distL="0" distR="0">
            <wp:extent cx="476250" cy="476250"/>
            <wp:effectExtent l="19050" t="0" r="9525" b="0"/>
            <wp:docPr id="302" name="Picture 301" descr="Picture 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1"/>
                    <pic:cNvPicPr/>
                  </pic:nvPicPr>
                  <pic:blipFill>
                    <a:blip r:embed="rId609"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610">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3" name="Picture 302" descr="Picture 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2"/>
                    <pic:cNvPicPr/>
                  </pic:nvPicPr>
                  <pic:blipFill>
                    <a:blip r:embed="rId61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61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4" name="Picture 303" descr="Picture 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3"/>
                    <pic:cNvPicPr/>
                  </pic:nvPicPr>
                  <pic:blipFill>
                    <a:blip r:embed="rId613"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614">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305" name="Picture 304" descr="Picture 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4"/>
                    <pic:cNvPicPr/>
                  </pic:nvPicPr>
                  <pic:blipFill>
                    <a:blip r:embed="rId615"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616">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306" name="Picture 305" descr="Picture 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5"/>
                    <pic:cNvPicPr/>
                  </pic:nvPicPr>
                  <pic:blipFill>
                    <a:blip r:embed="rId617"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618">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307" name="Picture 306" descr="Picture 3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6"/>
                    <pic:cNvPicPr/>
                  </pic:nvPicPr>
                  <pic:blipFill>
                    <a:blip r:embed="rId619"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620">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docs.lenses.io/latest"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x-bi" TargetMode="External"/><Relationship Id="rId597" Type="http://schemas.openxmlformats.org/officeDocument/2006/relationships/image" Target="media/image296.png"/><Relationship Id="rId598" Type="http://schemas.openxmlformats.org/officeDocument/2006/relationships/hyperlink" Target="https://cloud.ibm.com/docs/watsonx-code-assistant" TargetMode="External"/><Relationship Id="rId599" Type="http://schemas.openxmlformats.org/officeDocument/2006/relationships/image" Target="media/image297.png"/><Relationship Id="rId600" Type="http://schemas.openxmlformats.org/officeDocument/2006/relationships/hyperlink" Target="https://www.ibm.com/docs/en/watson-orchestrate" TargetMode="External"/><Relationship Id="rId601" Type="http://schemas.openxmlformats.org/officeDocument/2006/relationships/image" Target="media/image298.png"/><Relationship Id="rId602" Type="http://schemas.openxmlformats.org/officeDocument/2006/relationships/hyperlink" Target="https://cloud.ibm.com/docs/watson-assistant?topic=watson-assistant-welcome-new-assistant"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docs.lenses.io/latest"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x-bi" TargetMode="External"/><Relationship Id="rId597" Type="http://schemas.openxmlformats.org/officeDocument/2006/relationships/image" Target="media/image296.png"/><Relationship Id="rId598" Type="http://schemas.openxmlformats.org/officeDocument/2006/relationships/hyperlink" Target="https://cloud.ibm.com/docs/watsonx-code-assistant" TargetMode="External"/><Relationship Id="rId599" Type="http://schemas.openxmlformats.org/officeDocument/2006/relationships/image" Target="media/image297.png"/><Relationship Id="rId600" Type="http://schemas.openxmlformats.org/officeDocument/2006/relationships/hyperlink" Target="https://www.ibm.com/docs/en/watson-orchestrate" TargetMode="External"/><Relationship Id="rId601" Type="http://schemas.openxmlformats.org/officeDocument/2006/relationships/image" Target="media/image298.png"/><Relationship Id="rId602" Type="http://schemas.openxmlformats.org/officeDocument/2006/relationships/hyperlink" Target="https://cloud.ibm.com/docs/watson-assistant?topic=watson-assistant-welcome-new-assistant"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docs.lenses.io/latest"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x-bi" TargetMode="External"/><Relationship Id="rId597" Type="http://schemas.openxmlformats.org/officeDocument/2006/relationships/image" Target="media/image296.png"/><Relationship Id="rId598" Type="http://schemas.openxmlformats.org/officeDocument/2006/relationships/hyperlink" Target="https://cloud.ibm.com/docs/watsonx-code-assistant" TargetMode="External"/><Relationship Id="rId599" Type="http://schemas.openxmlformats.org/officeDocument/2006/relationships/image" Target="media/image297.png"/><Relationship Id="rId600" Type="http://schemas.openxmlformats.org/officeDocument/2006/relationships/hyperlink" Target="https://www.ibm.com/docs/en/watson-orchestrate" TargetMode="External"/><Relationship Id="rId601" Type="http://schemas.openxmlformats.org/officeDocument/2006/relationships/image" Target="media/image298.png"/><Relationship Id="rId602" Type="http://schemas.openxmlformats.org/officeDocument/2006/relationships/hyperlink" Target="https://cloud.ibm.com/docs/watson-assistant?topic=watson-assistant-welcome-new-assistant"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docs.lenses.io/latest"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x-bi" TargetMode="External"/><Relationship Id="rId597" Type="http://schemas.openxmlformats.org/officeDocument/2006/relationships/image" Target="media/image296.png"/><Relationship Id="rId598" Type="http://schemas.openxmlformats.org/officeDocument/2006/relationships/hyperlink" Target="https://cloud.ibm.com/docs/watsonx-code-assistant" TargetMode="External"/><Relationship Id="rId599" Type="http://schemas.openxmlformats.org/officeDocument/2006/relationships/image" Target="media/image297.png"/><Relationship Id="rId600" Type="http://schemas.openxmlformats.org/officeDocument/2006/relationships/hyperlink" Target="https://www.ibm.com/docs/en/watson-orchestrate" TargetMode="External"/><Relationship Id="rId601" Type="http://schemas.openxmlformats.org/officeDocument/2006/relationships/image" Target="media/image298.png"/><Relationship Id="rId602" Type="http://schemas.openxmlformats.org/officeDocument/2006/relationships/hyperlink" Target="https://cloud.ibm.com/docs/watson-assistant?topic=watson-assistant-welcome-new-assistant"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docs.lenses.io/latest"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x-bi" TargetMode="External"/><Relationship Id="rId597" Type="http://schemas.openxmlformats.org/officeDocument/2006/relationships/image" Target="media/image296.png"/><Relationship Id="rId598" Type="http://schemas.openxmlformats.org/officeDocument/2006/relationships/hyperlink" Target="https://cloud.ibm.com/docs/watsonx-code-assistant" TargetMode="External"/><Relationship Id="rId599" Type="http://schemas.openxmlformats.org/officeDocument/2006/relationships/image" Target="media/image297.png"/><Relationship Id="rId600" Type="http://schemas.openxmlformats.org/officeDocument/2006/relationships/hyperlink" Target="https://www.ibm.com/docs/en/watson-orchestrate" TargetMode="External"/><Relationship Id="rId601" Type="http://schemas.openxmlformats.org/officeDocument/2006/relationships/image" Target="media/image298.png"/><Relationship Id="rId602" Type="http://schemas.openxmlformats.org/officeDocument/2006/relationships/hyperlink" Target="https://cloud.ibm.com/docs/watson-assistant?topic=watson-assistant-welcome-new-assistant"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docs.lenses.io/latest"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x-bi" TargetMode="External"/><Relationship Id="rId597" Type="http://schemas.openxmlformats.org/officeDocument/2006/relationships/image" Target="media/image296.png"/><Relationship Id="rId598" Type="http://schemas.openxmlformats.org/officeDocument/2006/relationships/hyperlink" Target="https://cloud.ibm.com/docs/watsonx-code-assistant" TargetMode="External"/><Relationship Id="rId599" Type="http://schemas.openxmlformats.org/officeDocument/2006/relationships/image" Target="media/image297.png"/><Relationship Id="rId600" Type="http://schemas.openxmlformats.org/officeDocument/2006/relationships/hyperlink" Target="https://www.ibm.com/docs/en/watson-orchestrate" TargetMode="External"/><Relationship Id="rId601" Type="http://schemas.openxmlformats.org/officeDocument/2006/relationships/image" Target="media/image298.png"/><Relationship Id="rId602" Type="http://schemas.openxmlformats.org/officeDocument/2006/relationships/hyperlink" Target="https://cloud.ibm.com/docs/watson-assistant?topic=watson-assistant-welcome-new-assistant"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docs.lenses.io/latest"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x-bi" TargetMode="External"/><Relationship Id="rId597" Type="http://schemas.openxmlformats.org/officeDocument/2006/relationships/image" Target="media/image296.png"/><Relationship Id="rId598" Type="http://schemas.openxmlformats.org/officeDocument/2006/relationships/hyperlink" Target="https://cloud.ibm.com/docs/watsonx-code-assistant" TargetMode="External"/><Relationship Id="rId599" Type="http://schemas.openxmlformats.org/officeDocument/2006/relationships/image" Target="media/image297.png"/><Relationship Id="rId600" Type="http://schemas.openxmlformats.org/officeDocument/2006/relationships/hyperlink" Target="https://www.ibm.com/docs/en/watson-orchestrate" TargetMode="External"/><Relationship Id="rId601" Type="http://schemas.openxmlformats.org/officeDocument/2006/relationships/image" Target="media/image298.png"/><Relationship Id="rId602" Type="http://schemas.openxmlformats.org/officeDocument/2006/relationships/hyperlink" Target="https://cloud.ibm.com/docs/watson-assistant?topic=watson-assistant-welcome-new-assistant"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2026-10-06T18:15:26Z</dcterms:created>
  <dcterms:modified xsi:type="dcterms:W3CDTF">2026-10-06T18:15:26Z</dcterms:modified>
</cp:coreProperties>
</file>