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br/>
      </w:r>
      <w:r>
        <w:rPr>
          <w:color w:val="808080"/>
          <w:sz w:val="24"/>
          <w:szCs w:val="24"/>
        </w:rPr>
        <w:t>Before deploying the Elastio IBCloud Object Storage - IBM Cloud</w:t>
      </w:r>
      <w:r>
        <w:br/>
      </w:r>
      <w:r>
        <w:br/>
      </w:r>
      <w:r>
        <w:br/>
      </w:r>
      <w:r>
        <w:br/>
      </w:r>
      <w:r>
        <w:rPr>
          <w:color w:val="808080"/>
          <w:sz w:val="24"/>
          <w:szCs w:val="24"/>
        </w:rPr>
        <w:t xml:space="preserve">Documentation:  </w:t>
      </w:r>
      <w:hyperlink r:id="rId182">
        <w:r>
          <w:t>https://support.elastio.com/hc/en-us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aup.com/sales/data/model-context-protoco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support.elastio.com/hc/en-us"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payhsm/documents/general"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2026-04-01T00:17:05Z</dcterms:created>
  <dcterms:modified xsi:type="dcterms:W3CDTF">2026-04-01T00:17:05Z</dcterms:modified>
</cp:coreProperties>
</file>