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28"/>
          <w:szCs w:val="28"/>
          <w:lang w:val="en-US" w:eastAsia="zh-CN"/>
        </w:rPr>
      </w:pPr>
      <w:r>
        <w:rPr>
          <w:rFonts w:hint="eastAsia"/>
          <w:sz w:val="28"/>
          <w:szCs w:val="28"/>
          <w:lang w:eastAsia="zh-CN"/>
        </w:rPr>
        <w:t>《</w:t>
      </w:r>
      <w:r>
        <w:rPr>
          <w:rFonts w:hint="eastAsia"/>
          <w:sz w:val="28"/>
          <w:szCs w:val="28"/>
          <w:lang w:val="en-US" w:eastAsia="zh-CN"/>
        </w:rPr>
        <w:t>1921</w:t>
      </w:r>
      <w:r>
        <w:rPr>
          <w:rFonts w:hint="eastAsia"/>
          <w:sz w:val="28"/>
          <w:szCs w:val="28"/>
          <w:lang w:eastAsia="zh-CN"/>
        </w:rPr>
        <w:t>》</w:t>
      </w:r>
      <w:r>
        <w:rPr>
          <w:rFonts w:hint="eastAsia"/>
          <w:sz w:val="28"/>
          <w:szCs w:val="28"/>
          <w:lang w:val="en-US" w:eastAsia="zh-CN"/>
        </w:rPr>
        <w:t>观后感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黑白的照片不断更迭，映射出炮火硝烟下的惨烈，巴黎会议上的屈辱；寥寥几语铿锵句，再现仲甫先生革命心。一九二一年——一个对所有中国人、尤其是中国青年都无比重要的一年，《1921》的故事就发生在开天辟地的五四运动之后，李大钊、陈独秀、毛泽东等人组成的共产组织，萧子升等人组成的新民学会、以及中国大地上诞生的许许多多的新思想、新理念开始激烈的碰撞与融合，百家争鸣之景铺展开来，理论与思想之争在中华大地上上演，就此，我们的故事拉开帷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“国家等不起，民族等不起”</w:t>
      </w:r>
      <w:r>
        <w:rPr>
          <w:rStyle w:val="7"/>
          <w:rFonts w:hint="eastAsia"/>
          <w:sz w:val="24"/>
          <w:szCs w:val="24"/>
          <w:lang w:val="en-US" w:eastAsia="zh-CN"/>
        </w:rPr>
        <w:footnoteReference w:id="0"/>
      </w:r>
      <w:r>
        <w:rPr>
          <w:rFonts w:hint="eastAsia"/>
          <w:sz w:val="24"/>
          <w:szCs w:val="24"/>
          <w:lang w:val="en-US" w:eastAsia="zh-CN"/>
        </w:rPr>
        <w:t>，中国社会的彻底改变迫在眉睫，电影以尚身处在不同地区、不同身份的却又耳熟能详的思想新青年起笔，反映出在这土地上租界、军阀、日本政府等势力鱼龙混杂、相互制约，维持着表面上的和平，在背后又暗流汹涌的时代背景。而在这样的时代之下，接受了马克思主义熏陶的一代共产组织的思想青年，通过编写《共产党》、《新青年》等杂志宣扬马克思主义，虽然在此过程中不断遭到各方势力的抓捕，也与共产国际之间产生分歧，而经受这艰难的岁月，但这并不能打击共产党人的积极性，在陈独秀的组织之下，李达秘密发送开会通知，曲折却又持续不断地进行着共产会议。这些胸怀赤子之心的知识青年怀着愤懑之情，面对军阀对读书人的压迫、“焚书坑儒”之举，全国各地持续不断地进行“外争主权，内惩国贼”，“巴黎和会，丧权辱国”，“保卫山东，保卫国土”的游行示威与抗议，革命之举迫在眉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在这样的时代背景之下，故事的主线如抽丝剥茧般呈现出来，由身处在上海的以陈独秀、李大钊、李达为主的共产人的主导之下，第一次全国大会秘密召开，在全国各地代表奔赴上海之时，无数的坎坷、辛酸困扰着每一个共产人，却依旧不能阻挡他们开天辟地的决心。“我想：希望是本无所谓有，无所谓无的，这正如地上的路，其实地上本没有路，走的人多了，也便成了路”</w:t>
      </w:r>
      <w:r>
        <w:rPr>
          <w:rStyle w:val="7"/>
          <w:rFonts w:hint="eastAsia"/>
          <w:sz w:val="24"/>
          <w:szCs w:val="24"/>
          <w:lang w:val="en-US" w:eastAsia="zh-CN"/>
        </w:rPr>
        <w:footnoteReference w:id="1"/>
      </w:r>
      <w:r>
        <w:rPr>
          <w:rFonts w:hint="eastAsia"/>
          <w:sz w:val="24"/>
          <w:szCs w:val="24"/>
          <w:lang w:val="en-US" w:eastAsia="zh-CN"/>
        </w:rPr>
        <w:t>，鲁迅先生的话，展现出中国共产党和共产国际之间所走之路的区别，正因如此，中国的革命之路要中国自己走；“不自由，宁毋死”，展现出那一时代的新青年不惧镇压、胸怀大志的气节。历史的偶然促使了全国第一次代表大会的召开，“红船”会议的出现；历史的必然带来了中国共产党的诞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“共产党人不屑于隐瞒自己的观点和意图，他们公开宣布：他们的目的，只有用暴力推翻全部现存的社会制度才能达到，让统治阶级在共产主义革命面前发抖吧”</w:t>
      </w:r>
      <w:r>
        <w:rPr>
          <w:rStyle w:val="7"/>
          <w:rFonts w:hint="eastAsia"/>
          <w:sz w:val="24"/>
          <w:szCs w:val="24"/>
          <w:lang w:val="en-US" w:eastAsia="zh-CN"/>
        </w:rPr>
        <w:footnoteReference w:id="2"/>
      </w:r>
      <w:r>
        <w:rPr>
          <w:rFonts w:hint="eastAsia"/>
          <w:sz w:val="24"/>
          <w:szCs w:val="24"/>
          <w:lang w:val="en-US" w:eastAsia="zh-CN"/>
        </w:rPr>
        <w:t>，中国共产党是一个区别于第二国际旧式社会改良党的新型工人阶级革命政党，在近代以后的时代洪流之中，中国人民的反帝反封建斗争之所以屡遭挫折和失败，最重要的原因就是没有先进的坚强的政党作为凝聚力量的领导核心，而中国共产党的的诞生，从根本上改变了这种局面</w:t>
      </w:r>
      <w:r>
        <w:rPr>
          <w:rStyle w:val="7"/>
          <w:rFonts w:hint="eastAsia"/>
          <w:sz w:val="24"/>
          <w:szCs w:val="24"/>
          <w:lang w:val="en-US" w:eastAsia="zh-CN"/>
        </w:rPr>
        <w:footnoteReference w:id="3"/>
      </w:r>
      <w:r>
        <w:rPr>
          <w:rFonts w:hint="eastAsia"/>
          <w:sz w:val="24"/>
          <w:szCs w:val="24"/>
          <w:lang w:val="en-US" w:eastAsia="zh-CN"/>
        </w:rPr>
        <w:t>。可以看出，共产党的诞生对整个中国都是开天辟地的大事，而作为其代表的全国第一次代表大会便具有了独一无二的纪念与象征意义，深刻改变了中华民族的革命发展方向：中国的革命就此变为工农武装革命的道路，中国的前途与命运至此而始掌握在中国广大的工人、无产阶级手中，而从中产生的“红船”精神也式作为中国共产党革命精神的起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一九二一年的历史，我已在各种文学作品和影视作品中了解多次，但再在《1921》这部电影中回顾，我依然能够感受到，那时的新青年满怀热情、慷慨激昂，面对“方今强邻环列，虎视鹰瞵，久垂涎于中华五金之富、物产之饶。蚕食鲸吞，已效尤于接踵；瓜分豆剖，实堪虑于目前”，也能“拯斯民于水火，切扶大厦之将倾”</w:t>
      </w:r>
      <w:r>
        <w:rPr>
          <w:rStyle w:val="7"/>
          <w:rFonts w:hint="eastAsia"/>
          <w:sz w:val="24"/>
          <w:szCs w:val="24"/>
          <w:lang w:val="en-US" w:eastAsia="zh-CN"/>
        </w:rPr>
        <w:footnoteReference w:id="4"/>
      </w:r>
      <w:r>
        <w:rPr>
          <w:rFonts w:hint="eastAsia"/>
          <w:sz w:val="24"/>
          <w:szCs w:val="24"/>
          <w:lang w:val="en-US" w:eastAsia="zh-CN"/>
        </w:rPr>
        <w:t>，担负起救亡图存、振兴中华的重担。中国共产党的先驱创建了中国共产党，为之后的民族救亡之路提供了方向，自第一次全国代表大会召开之后，中华民族开始了新的历史征程，也幸有先人之开拓，也才有当下中华民族复兴之契机，我们新时代的青年也应跟随时代的步伐，融入时代之潮流，承前人遗志，效先贤之举，对前人与后世都能递出好的答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rPr>
          <w:rFonts w:hint="eastAsia"/>
          <w:sz w:val="24"/>
          <w:szCs w:val="24"/>
          <w:lang w:val="en-US" w:eastAsia="zh-CN"/>
        </w:rPr>
      </w:pPr>
      <w:r>
        <w:rPr>
          <w:rFonts w:hint="eastAsia"/>
          <w:sz w:val="24"/>
          <w:szCs w:val="24"/>
          <w:lang w:val="en-US" w:eastAsia="zh-CN"/>
        </w:rPr>
        <w:t>谌梓轩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rPr>
          <w:rFonts w:hint="default"/>
          <w:sz w:val="24"/>
          <w:szCs w:val="24"/>
          <w:lang w:val="en-US" w:eastAsia="zh-CN"/>
        </w:rPr>
      </w:pPr>
      <w:r>
        <w:rPr>
          <w:rFonts w:hint="eastAsia"/>
          <w:sz w:val="24"/>
          <w:szCs w:val="24"/>
          <w:lang w:val="en-US" w:eastAsia="zh-CN"/>
        </w:rPr>
        <w:t>学号：3210105209</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r>
        <w:separator/>
      </w:r>
    </w:p>
  </w:footnote>
  <w:footnote w:type="continuationSeparator" w:id="11">
    <w:p>
      <w:r>
        <w:continuationSeparator/>
      </w:r>
    </w:p>
  </w:footnote>
  <w:footnote w:id="0">
    <w:p>
      <w:pPr>
        <w:pStyle w:val="3"/>
        <w:snapToGrid w:val="0"/>
        <w:rPr>
          <w:rFonts w:hint="default" w:eastAsiaTheme="minorEastAsia"/>
          <w:lang w:val="en-US" w:eastAsia="zh-CN"/>
        </w:rPr>
      </w:pPr>
      <w:r>
        <w:rPr>
          <w:rStyle w:val="7"/>
        </w:rPr>
        <w:footnoteRef/>
      </w:r>
      <w:r>
        <w:t xml:space="preserve"> </w:t>
      </w:r>
      <w:r>
        <w:rPr>
          <w:rFonts w:hint="eastAsia"/>
          <w:lang w:val="en-US" w:eastAsia="zh-CN"/>
        </w:rPr>
        <w:t>出自毛泽东语录</w:t>
      </w:r>
    </w:p>
  </w:footnote>
  <w:footnote w:id="1">
    <w:p>
      <w:pPr>
        <w:pStyle w:val="3"/>
        <w:snapToGrid w:val="0"/>
        <w:rPr>
          <w:rFonts w:hint="default" w:eastAsiaTheme="minorEastAsia"/>
          <w:lang w:val="en-US" w:eastAsia="zh-CN"/>
        </w:rPr>
      </w:pPr>
      <w:r>
        <w:rPr>
          <w:rStyle w:val="7"/>
        </w:rPr>
        <w:footnoteRef/>
      </w:r>
      <w:r>
        <w:t xml:space="preserve"> </w:t>
      </w:r>
      <w:r>
        <w:rPr>
          <w:rFonts w:hint="eastAsia"/>
          <w:lang w:val="en-US" w:eastAsia="zh-CN"/>
        </w:rPr>
        <w:t>出自鲁迅《故乡》</w:t>
      </w:r>
    </w:p>
  </w:footnote>
  <w:footnote w:id="2">
    <w:p>
      <w:pPr>
        <w:pStyle w:val="3"/>
        <w:snapToGrid w:val="0"/>
        <w:rPr>
          <w:rFonts w:hint="eastAsia" w:eastAsiaTheme="minorEastAsia"/>
          <w:lang w:val="en-US" w:eastAsia="zh-CN"/>
        </w:rPr>
      </w:pPr>
      <w:r>
        <w:rPr>
          <w:rStyle w:val="7"/>
        </w:rPr>
        <w:footnoteRef/>
      </w:r>
      <w:r>
        <w:t xml:space="preserve"> </w:t>
      </w:r>
      <w:r>
        <w:rPr>
          <w:rFonts w:hint="eastAsia"/>
          <w:lang w:val="en-US" w:eastAsia="zh-CN"/>
        </w:rPr>
        <w:t>出自《共产党宣言》</w:t>
      </w:r>
    </w:p>
  </w:footnote>
  <w:footnote w:id="3">
    <w:p>
      <w:pPr>
        <w:pStyle w:val="3"/>
        <w:snapToGrid w:val="0"/>
        <w:rPr>
          <w:rFonts w:hint="default" w:eastAsiaTheme="minorEastAsia"/>
          <w:lang w:val="en-US" w:eastAsia="zh-CN"/>
        </w:rPr>
      </w:pPr>
      <w:r>
        <w:rPr>
          <w:rStyle w:val="7"/>
        </w:rPr>
        <w:footnoteRef/>
      </w:r>
      <w:r>
        <w:t xml:space="preserve"> </w:t>
      </w:r>
      <w:r>
        <w:rPr>
          <w:rFonts w:hint="eastAsia"/>
          <w:lang w:val="en-US" w:eastAsia="zh-CN"/>
        </w:rPr>
        <w:t>摘编自《中国近代史纲要》2021版</w:t>
      </w:r>
    </w:p>
  </w:footnote>
  <w:footnote w:id="4">
    <w:p>
      <w:pPr>
        <w:pStyle w:val="3"/>
        <w:snapToGrid w:val="0"/>
        <w:rPr>
          <w:rFonts w:hint="eastAsia"/>
          <w:lang w:val="en-US" w:eastAsia="zh-CN"/>
        </w:rPr>
      </w:pPr>
      <w:r>
        <w:rPr>
          <w:rStyle w:val="7"/>
        </w:rPr>
        <w:footnoteRef/>
      </w:r>
      <w:r>
        <w:t xml:space="preserve"> </w:t>
      </w:r>
      <w:r>
        <w:rPr>
          <w:rFonts w:hint="eastAsia"/>
          <w:lang w:val="en-US" w:eastAsia="zh-CN"/>
        </w:rPr>
        <w:t>出自《檀香山兴中会章程》</w:t>
      </w:r>
    </w:p>
    <w:p>
      <w:pPr>
        <w:pStyle w:val="3"/>
        <w:snapToGrid w:val="0"/>
        <w:rPr>
          <w:rFonts w:hint="default"/>
          <w:lang w:val="en-US" w:eastAsia="zh-CN"/>
        </w:rPr>
      </w:pPr>
      <w:r>
        <w:rPr>
          <w:rFonts w:hint="eastAsia"/>
          <w:lang w:val="en-US" w:eastAsia="zh-CN"/>
        </w:rPr>
        <w:t>主要参考文献《中国近代史纲要》、《党史鉴赏》</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10"/>
    <w:footnote w:id="1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C26886"/>
    <w:rsid w:val="04C26886"/>
    <w:rsid w:val="04EB3D66"/>
    <w:rsid w:val="11CC32E2"/>
    <w:rsid w:val="38D030A4"/>
    <w:rsid w:val="766C7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note text"/>
    <w:basedOn w:val="1"/>
    <w:uiPriority w:val="0"/>
    <w:pPr>
      <w:snapToGrid w:val="0"/>
      <w:jc w:val="left"/>
    </w:pPr>
    <w:rPr>
      <w:sz w:val="18"/>
    </w:rPr>
  </w:style>
  <w:style w:type="character" w:styleId="6">
    <w:name w:val="endnote reference"/>
    <w:basedOn w:val="5"/>
    <w:uiPriority w:val="0"/>
    <w:rPr>
      <w:vertAlign w:val="superscript"/>
    </w:rPr>
  </w:style>
  <w:style w:type="character" w:styleId="7">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1536</Words>
  <Characters>1545</Characters>
  <Lines>0</Lines>
  <Paragraphs>0</Paragraphs>
  <TotalTime>56</TotalTime>
  <ScaleCrop>false</ScaleCrop>
  <LinksUpToDate>false</LinksUpToDate>
  <CharactersWithSpaces>1545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2022-04-01T09:39:00Z</dcterms:created>
  <dc:creator>szx</dc:creator>
  <cp:lastModifiedBy>szx</cp:lastModifiedBy>
  <dcterms:modified xsi:type="dcterms:W3CDTF">2022-04-01T15:09:28Z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07A525E6EEC14905A92222B95FF17021</vt:lpwstr>
  </property>
</Properties>
</file>