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24181" w14:textId="77777777" w:rsidR="00143CDC" w:rsidRDefault="00143CDC">
      <w:r>
        <w:t xml:space="preserve">一九九五年淨空法師早餐開示　　（第十二集）　　</w:t>
      </w:r>
      <w:r>
        <w:t>1995/1/28</w:t>
      </w:r>
      <w:r>
        <w:t xml:space="preserve">　　台灣景美華藏圖書館　　檔名：</w:t>
      </w:r>
      <w:r>
        <w:t xml:space="preserve">20-020-0012 </w:t>
      </w:r>
    </w:p>
    <w:p w14:paraId="27E7B36D" w14:textId="77777777" w:rsidR="00143CDC" w:rsidRDefault="00143CDC">
      <w:pPr>
        <w:pStyle w:val="a3"/>
      </w:pPr>
      <w:r>
        <w:t xml:space="preserve">　　《淨宗同學修行守則》的小冊子昨天送來了，裡面的內容曾經講過，保留的有錄音帶，部分可以隨著錄音帶流通，希望大家認真的學習。特別是後面李炳老編的《常禮舉要》，大家一定要多看、要多學習。所謂《常禮舉要》就是最重要的、最基本，也是最平常的禮節。過去受教育，教育裡頭最重要的就是禮與樂，儒家是用禮來調身，讓我們一舉一動都合乎規矩，樂是音樂，是調心。這心裡有不平，喜怒哀樂過分用樂章來調節，它這兩種方式。而我們佛教所採用的，跟儒家確實是相同，我們用戒律來調身，用梵唄來調心，所以說同樣的道理，可見得這些大聖大賢都懂得如何求養生之道。身心調適就是健康，健康、幸福、快樂都從這兒來，這是教學的根本，所以這個小冊子我們一定要很重視。古德教導我們「持戒念佛」，我們能把這個小冊子裡面所說的都做到，就很難得。</w:t>
      </w:r>
      <w:r>
        <w:t xml:space="preserve"> </w:t>
      </w:r>
    </w:p>
    <w:p w14:paraId="7EDB33F6" w14:textId="77777777" w:rsidR="00143CDC" w:rsidRDefault="00143CDC">
      <w:pPr>
        <w:pStyle w:val="a3"/>
      </w:pPr>
      <w:r>
        <w:t xml:space="preserve">　　這個「略要」，是從《沙彌律儀》裡面節錄出來的，詳細的都在原書上，要知道詳細必須要讀《沙彌律儀增註》。這個小冊子我們印得很小，可以放在口袋裡，時時刻刻提醒自己，目的是要每一條都能在生活當中把它做到。它跟《無量壽經》三十二品到三十七品裡面所講的，在精神上都能相通。這個受持三皈，三皈我們是有一個小冊子。這個五戒可以節錄《無量壽經》，特別是「五惡五痛五燒」那一段經文，經文上所說的內容就是五戒十善。從這個持犯果報上說，說得很清楚、說得很明白，將來你們看看，發心把這一段給它節錄出來。從我這一次在新加坡講的《無量壽經》，完全著重在修行上，這是跟過去講的稍稍不一樣的，都著重在日常生活怎樣修行，用這部經來指導我們。所以可以從錄音帶節錄出來印成單獨的小冊子，幫助這些受持五戒的同修，這個讓他了解戒應該怎樣去受持。</w:t>
      </w:r>
      <w:r>
        <w:t xml:space="preserve"> </w:t>
      </w:r>
    </w:p>
    <w:p w14:paraId="3A655CA1" w14:textId="77777777" w:rsidR="00143CDC" w:rsidRDefault="00143CDC">
      <w:pPr>
        <w:pStyle w:val="a3"/>
      </w:pPr>
      <w:r>
        <w:t xml:space="preserve">　　這一次印的《金剛經》，《金剛經》讀明瞭它的意思比較難。實在江味農居士四十年的功夫沒有白花，把這一部經總算是搞清楚、搞明白，寫了這本《講義》，《講義》的分量太多，不容易契現代人的根機，所以也要用節錄的方法，把裡面重要的意思一條一條的節錄出來。這次《講義》我們也印了，《金剛經》幫助我們就是發菩提心，我們菩提心為什麼發不出來？這個過去也曾經講過，菩提心發不出來沒法子往生。我們在《往生論》裡面看到，天親菩薩把西方極樂世界依正莊嚴，歸納十七樁事情，到最後做了一個總結論，結歸到一句「清淨句」。這個說明了西方淨土一定要修清淨心，得心淨則土淨，歸到清淨句非常正確。那什麼叫清淨句？他說得很好「真實智慧，無為法身」，這兩句話可以說把西方極樂世界，原原本本的說出來，西方世界就是真實智慧、無為法身所現的。剛剛好《金剛經》，這一部《金剛經》就是講的真實智慧、無為法身，所以《金剛般若》可以說做這兩句的註解。江味農居士一生持誦《金剛經》，求生淨土，所以他的《講義》是指歸淨土的。他標榜的，你看你在蔣維喬傳記裡面看到，末後幾行說得很清楚，他一生標榜的是「教宗般若，行在彌陀」，所以他這個《講義》對念佛人的確是很有幫助。從《金剛般若》裡頭學發</w:t>
      </w:r>
      <w:r>
        <w:t>菩提心，也就是成就滿足第十九願。四十八願，第十九願是發菩提心，第十八願是一向專念，整個四十八願就是這兩句最重要，這兩句在經文裡面，在「三輩往生」裡面，就是「發菩提心、一向專念」，第十八願是一向專念，十九願是發菩提心，這個兩願是往生的關鍵。</w:t>
      </w:r>
      <w:r>
        <w:t xml:space="preserve"> </w:t>
      </w:r>
    </w:p>
    <w:p w14:paraId="5D9F547E" w14:textId="77777777" w:rsidR="00143CDC" w:rsidRDefault="00143CDC">
      <w:pPr>
        <w:pStyle w:val="a3"/>
      </w:pPr>
      <w:r>
        <w:lastRenderedPageBreak/>
        <w:t xml:space="preserve">　　《修學守則》是我們日常生活處事待人接物的標準，我們修行就用這個標準修，我們處事待人接物有沒有遵守這裡面所教導的。所以希望這個小冊子常常帶在身上，常常看看、常常反省，認真努力去做，對自己決定有好處。這個大家都能夠遵守，我們這僧團就是和睦的僧團，和合僧團。佛的教誡、佛家的戒律，最令人佩服的，就是它不戒別人，戒自己，這是很令人佩服的地方，每個人自己知道約束自己，不管別人。惠能大師所講的「不見世間過，只見自己過」，不見世間過這個人一生當中決定成就，見別人過這是常常引起自己的煩惱，就是最大的過失。所以這個改過自新，唯佛能究竟徹底；世間人做不到，他做不到的原因，就是世間人專看別人過。而佛告訴我們，這個世間所有一切法是平等的，「凡所有相，皆是虛妄」，「一切有為法，如夢幻泡影」。這個世間的法真相是如此，為什麼我們看到過失？不是外面有過失，是你裡面貪瞋痴慢被外頭境界勾出來。所以過失在哪裡？過失在自己，不在外面，外頭沒有過失。所以唯佛了解事實真相。</w:t>
      </w:r>
      <w:r>
        <w:t xml:space="preserve"> </w:t>
      </w:r>
    </w:p>
    <w:p w14:paraId="447954F8" w14:textId="77777777" w:rsidR="00143CDC" w:rsidRDefault="00143CDC">
      <w:pPr>
        <w:pStyle w:val="a3"/>
      </w:pPr>
      <w:r>
        <w:t xml:space="preserve">　　所以佛制定這些戒律讓我們改過自新，你真正能做的時候確實，確實能夠成聖成賢。所以佛看一切眾生都是佛，為什麼原因？佛心清淨。這佛講的全是事實，一切眾生都是佛，菩薩看眾生都是菩薩，凡夫看佛也是凡夫，凡夫看佛、看菩薩都是一大堆過失，一條一條都能說得出來。所以我們要想自己成就，自己境界到什麼層次，從這個地方可以測驗自己，幾時你看一切眾生都是佛，那證明你成佛。你看到這一切眾生還有可愛的、還有討厭的，換句話說，你決定還是凡夫。修行的總綱領在《無量壽經》經題上，清淨心、平等心、覺心，正覺。你的心不清淨、不平等、不覺悟，所以在境界裡面才有煩惱、才有妄想、才有執著；心裡如果清淨、平等、覺悟，這個境界就叫一真法界。一真是平等的，有情眾生是平等的，無情眾生也是平等的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D5B02" w14:textId="77777777" w:rsidR="00143CDC" w:rsidRDefault="00143CDC" w:rsidP="00143CDC">
      <w:r>
        <w:separator/>
      </w:r>
    </w:p>
  </w:endnote>
  <w:endnote w:type="continuationSeparator" w:id="0">
    <w:p w14:paraId="1CC5985C" w14:textId="77777777" w:rsidR="00143CDC" w:rsidRDefault="00143CDC" w:rsidP="00143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54AFB" w14:textId="77777777" w:rsidR="00143CDC" w:rsidRDefault="00143CDC" w:rsidP="00143CDC">
      <w:r>
        <w:separator/>
      </w:r>
    </w:p>
  </w:footnote>
  <w:footnote w:type="continuationSeparator" w:id="0">
    <w:p w14:paraId="2B1EECC8" w14:textId="77777777" w:rsidR="00143CDC" w:rsidRDefault="00143CDC" w:rsidP="00143C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CDC"/>
    <w:rsid w:val="00143CD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012E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3C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3C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3C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3C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