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676B5" w14:textId="77777777" w:rsidR="00A73B54" w:rsidRDefault="00A73B54">
      <w:r>
        <w:t xml:space="preserve">一九九五年淨空法師早餐開示　　（第二十八集）　　</w:t>
      </w:r>
      <w:r>
        <w:t>1995/2/13</w:t>
      </w:r>
      <w:r>
        <w:t xml:space="preserve">　　台灣景美華藏圖書館　　檔名：</w:t>
      </w:r>
      <w:r>
        <w:t xml:space="preserve">20-020-0028 </w:t>
      </w:r>
    </w:p>
    <w:p w14:paraId="0C84E36F" w14:textId="77777777" w:rsidR="00A73B54" w:rsidRDefault="00A73B54">
      <w:pPr>
        <w:pStyle w:val="a3"/>
      </w:pPr>
      <w:r>
        <w:t xml:space="preserve">　　最近有不少人發心，把錄音帶整理成文字，這是樁好事情，也是佛法裡面講的法布施。可是整理文字一定要懂得，口語跟文學有哪些地方不相同，如何把口語整理成文字。《認識佛教》這個小冊子是個榜樣，可以提供你們做個很好的參考資料。如果你們要發心學習走這個路子，實在講也是莫大的功德。自己不能做，這個孔老夫子所說的「述而不作」，我自己沒有東西，我流通別人東西。現在在家、出家不少大德他們所講演的錄音帶數量很多，你認為可取的，你都可以做這個東西來流通，把它寫成文字，這是自利利他。可是文學基本的修養要有，這個從前李老師常講，最低限度我們要念五十篇古文，能夠熟讀一百篇古文，就有寫文言文的能力。我們向「國語日報」買的《古今文選》，數量也不少，每個道場都有幾套。都是希望你們善加利用，也不妨在裡面選一些出來，我們自己把它印出來，大家在一塊研究、在一塊讀誦。佛學的基本常識要豐富，正果法師的是不是佛學概要，還是什麼東西？你們曾經印出來，正果法師的《佛教基本知識》，明暘法師的《佛學概要》都非常好。這真的是佛學的基本知識，名相術語這個要熟，我們在整理的時候才不會發生錯誤。講話口語裡面有很多是毫無意義的，或者是習慣，有人講話，我過去聽一句話當中加上</w:t>
      </w:r>
      <w:r>
        <w:t>好幾個這個這個這個，你們要把它記錄成文字，也是這個這個這個，那就多難看。身體不舒服的時候啊一聲，咳嗽一聲，你也寫個啊、咳嗽一聲這個不像話。所以像這些地方要盡量要懂得、要避免。</w:t>
      </w:r>
      <w:r>
        <w:t xml:space="preserve"> </w:t>
      </w:r>
    </w:p>
    <w:p w14:paraId="6115DF75" w14:textId="77777777" w:rsidR="00A73B54" w:rsidRDefault="00A73B54">
      <w:pPr>
        <w:pStyle w:val="a3"/>
      </w:pPr>
      <w:r>
        <w:t xml:space="preserve">　　文字，我們中國自古以來，文字、語言講求的標準是簡要詳明，這四個字做標準，簡單、扼要、又詳細、又明白這個樣子，符合這四個字的標準這是好的語言，是好的文章，就是裡面沒有囉嗦、沒有廢話，清清楚楚、明明白白。現在的白話文確實是比不上文言文，文言文幾乎留傳下來的，都能符合這個標準，不符合這個標準那沒有人傳他的。所以留傳下來都是好文章，都是符合這個標準。好的白話文也符合這個標準，但是那個好的白話文，實在講都是有好的文言基礎。你看民國初年，那些人寫的白話文是寫得好，現在人比不上。最容易看到的像這個歌詞，看那個老歌的歌詞也是白話文，也聽得懂，跟現在這些歌詞比的時候相差很遠，這是他們有文言的修養，有這個基礎。</w:t>
      </w:r>
      <w:r>
        <w:t xml:space="preserve"> </w:t>
      </w:r>
    </w:p>
    <w:p w14:paraId="1F2A65F2" w14:textId="77777777" w:rsidR="00A73B54" w:rsidRDefault="00A73B54">
      <w:pPr>
        <w:pStyle w:val="a3"/>
      </w:pPr>
      <w:r>
        <w:t xml:space="preserve">　　在佛法裡面，過去李老師常常教導我們，關於佛學常識這方面的修養，他老人家指定我們用江味農居士的《金剛經講義》，周止庵居士的《心經詮注》，這個的確是很好。《心經詮注》就等於說《心經》大辭典，把《心經》裡面的名相，都解釋得很詳細。江居士的《金剛經講義》，也就是《金剛經》大辭典，所以可以把它當作佛學常識來讀。它的含義很深我們能不能做得到，那是另樁事情，但是要熟讀，佛學常識方面的確是非常豐富。這兩個人都是一門深入，江居士的《金剛經講義》，《金剛經》上用了四十年的功夫，古今中外的《金剛經》的註疏他都讀過。周止庵居士一生，差不多也是四十年用在《心經》上，所以這是一生心血的累積。今天我們講到這兩部經的註解，他們是真正集大成，讀他這一本東西，所有一切註解都可以不必讀，因為註解都在他那裡，這也是吸取佛學常識的一個方法。黃念祖老居士《無量壽經註解》，可以說是《無量壽經》的大辭典。</w:t>
      </w:r>
      <w:r>
        <w:t xml:space="preserve"> </w:t>
      </w:r>
    </w:p>
    <w:p w14:paraId="3895B19B" w14:textId="77777777" w:rsidR="00A73B54" w:rsidRDefault="00A73B54">
      <w:pPr>
        <w:pStyle w:val="a3"/>
      </w:pPr>
      <w:r>
        <w:t xml:space="preserve">　　簡老居士你們很多人看到九十八歲，他太太打電話告訴我，往生的瑞相非常好，往生之後，他們念佛念了三十六個小時，三天三夜然後給他穿衣服，他身體是軟的。</w:t>
      </w:r>
      <w:r>
        <w:lastRenderedPageBreak/>
        <w:t>他那個牙齒是假牙，拿下來把它洗乾淨再放進去，一點困難都沒有，而且臉上皮膚是紅色的。所以這些情形，她打電話給我，她的信心加深了，我們親眼看見。你看看他那個念佛也沒有多久，在他們家學佛的時候，才見他念阿彌陀佛、阿彌陀佛。還有一個法師說有個曹老先生，身體不太好，走路的時候兩個手都要扶著凳子，行動不太方便。他念佛也是最近一、二年才開始念，但他往生的意願很強，希望早一天往生。他的兒女就說他太消極，怎麼可以有這個念頭？這個念頭正確，年歲老了需要人侍候，所以他自己也苦，也連累別人，為什麼不早求往生？早一天往生就早一天離苦得樂。兒女無知，希望他慢慢的離苦得樂，希望他苦多受幾天，這個叫顛倒。你把他留在這個世間，你給他什麼快樂？你給他什麼享受？這個觀念上錯誤，早往生就早成佛，曹老先生他人聰明有智慧。</w:t>
      </w:r>
      <w:r>
        <w:t xml:space="preserve"> </w:t>
      </w:r>
    </w:p>
    <w:p w14:paraId="61CB6617" w14:textId="77777777" w:rsidR="00A73B54" w:rsidRDefault="00A73B54">
      <w:pPr>
        <w:pStyle w:val="a3"/>
      </w:pPr>
      <w:r>
        <w:t xml:space="preserve">　　在我們的心跟念頭，我是決定要求往生的。尤其是出家了，要真正發心，一生際遇都讓佛菩薩安排，讓護法神安排，絕對不放在心上，一心向道弘法利生，這是決定不錯。這是我初學佛的時候，章嘉大師教給我的，他老人家告訴我，我想很對、很正確，這一生多自在，什麼都不要操心，環境順境也好、逆境也好全是佛菩薩安排的，你自己不必去理會。道場也是佛菩薩安排的，佛菩薩建立的，我們操個什麼心，什麼心都不要操，這樣對，不背因果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2C2EE" w14:textId="77777777" w:rsidR="00A73B54" w:rsidRDefault="00A73B54" w:rsidP="00A73B54">
      <w:r>
        <w:separator/>
      </w:r>
    </w:p>
  </w:endnote>
  <w:endnote w:type="continuationSeparator" w:id="0">
    <w:p w14:paraId="3E55DAB8" w14:textId="77777777" w:rsidR="00A73B54" w:rsidRDefault="00A73B54" w:rsidP="00A73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E2E7E" w14:textId="77777777" w:rsidR="00A73B54" w:rsidRDefault="00A73B54" w:rsidP="00A73B54">
      <w:r>
        <w:separator/>
      </w:r>
    </w:p>
  </w:footnote>
  <w:footnote w:type="continuationSeparator" w:id="0">
    <w:p w14:paraId="48AC6F3A" w14:textId="77777777" w:rsidR="00A73B54" w:rsidRDefault="00A73B54" w:rsidP="00A73B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B54"/>
    <w:rsid w:val="00A73B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29791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3B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3B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3B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3B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