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DB9FC" w14:textId="77777777" w:rsidR="002F1F91" w:rsidRDefault="002F1F91">
      <w:r>
        <w:t>金剛經的智言慧語</w:t>
      </w:r>
      <w:r>
        <w:t>—</w:t>
      </w:r>
      <w:r>
        <w:t xml:space="preserve">有無二見，皆屬此岸；二執俱空，始達彼岸　　（第十二集）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29-513-0012 </w:t>
      </w:r>
    </w:p>
    <w:p w14:paraId="5694D336" w14:textId="77777777" w:rsidR="002F1F91" w:rsidRDefault="002F1F91">
      <w:pPr>
        <w:pStyle w:val="a3"/>
      </w:pPr>
      <w:r>
        <w:t xml:space="preserve">　　【有無二見，皆屬此岸；二執俱空，始達彼岸。】</w:t>
      </w:r>
      <w:r>
        <w:t xml:space="preserve"> </w:t>
      </w:r>
    </w:p>
    <w:p w14:paraId="26779037" w14:textId="77777777" w:rsidR="002F1F91" w:rsidRDefault="002F1F91">
      <w:pPr>
        <w:pStyle w:val="a3"/>
      </w:pPr>
      <w:r>
        <w:t xml:space="preserve">　　《大智度論》在佛教經典當中，是一部很重要的論典。這一部大論，在古印度梵文典籍裡面，分量相當之大，聽說有千卷之多。中國人一向喜歡簡單，就怕麻煩，所以譯經的大師為了在中國弘法，不得不將大論，也像我們現在這個情形，把它節要翻譯，並沒有完全依照梵文翻譯出來，但是只有初分，就是第一分完全是詳細譯出來，後面都是取其精要摘要翻譯，已經就有一百卷之多。這部論典，是《摩訶般若波羅蜜經》的註解。我們通常講的《大般若經》，跟《大般若》不一樣，《大般若》有六百卷；這個是《摩訶般若波羅蜜經》，一共有三十卷，是這一部經的註解。在般若部裡面相當的重要。古德講經、註經引用《大智度論》裡面的文字很多，所以我們常常會看到。</w:t>
      </w:r>
      <w:r>
        <w:t xml:space="preserve"> </w:t>
      </w:r>
    </w:p>
    <w:p w14:paraId="53E46067" w14:textId="77777777" w:rsidR="002F1F91" w:rsidRDefault="002F1F91">
      <w:pPr>
        <w:pStyle w:val="a3"/>
      </w:pPr>
      <w:r>
        <w:t xml:space="preserve">　　這大論上說，「有、無」這兩種見解，也就是這兩種的看法跟想法，都是此岸。此岸也就是經上講的輪迴見，是六道輪迴的知見，不是佛菩薩的知見，佛菩薩的知見叫正知正見。「有、無」這兩種見解都是錯誤的。說有、無，這是舉一個例子講，有、無是相對的；換句話說，凡是相對的見解都是輪迴見，一定要記住這句話。人我是相對的，真妄是相對的，善惡是相對的，乃至於大小、長短都是相對的，凡是這些見解都是輪迴業，也就是情識的知見。真如本性裡面一念不生，哪有對立？沒有對立。所以必須兩種執著，也就是我們今天講相對的兩邊，都要離開。兩邊離開，心清淨了，就是像古德講「本來無一物」，心清淨了。清淨心超越輪迴，輪迴就沒有了。為什麼他超越？因為輪迴是從妄心建立的，相對的知見就是虛妄的，這樣才有輪迴；心恢復到清淨，輪迴就沒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1CDF" w14:textId="77777777" w:rsidR="002F1F91" w:rsidRDefault="002F1F91" w:rsidP="002F1F91">
      <w:r>
        <w:separator/>
      </w:r>
    </w:p>
  </w:endnote>
  <w:endnote w:type="continuationSeparator" w:id="0">
    <w:p w14:paraId="132AE753" w14:textId="77777777" w:rsidR="002F1F91" w:rsidRDefault="002F1F91" w:rsidP="002F1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2795" w14:textId="77777777" w:rsidR="002F1F91" w:rsidRDefault="002F1F91" w:rsidP="002F1F91">
      <w:r>
        <w:separator/>
      </w:r>
    </w:p>
  </w:footnote>
  <w:footnote w:type="continuationSeparator" w:id="0">
    <w:p w14:paraId="06A5055C" w14:textId="77777777" w:rsidR="002F1F91" w:rsidRDefault="002F1F91" w:rsidP="002F1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91"/>
    <w:rsid w:val="002F1F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A65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1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1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1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1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