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8402" w14:textId="77777777" w:rsidR="00C0151B" w:rsidRDefault="00C0151B">
      <w:r>
        <w:t>金剛經的智言慧語</w:t>
      </w:r>
      <w:r>
        <w:t>—</w:t>
      </w:r>
      <w:r>
        <w:t xml:space="preserve">以不達一法界故，不覺念起，而有無明　　（第三十六集）　　</w:t>
      </w:r>
      <w:r>
        <w:t>1995/5</w:t>
      </w:r>
      <w:r>
        <w:t xml:space="preserve">　　新加坡佛教居士林（節錄自金剛般若研習報告</w:t>
      </w:r>
      <w:r>
        <w:t>09-023-0003</w:t>
      </w:r>
      <w:r>
        <w:t>集）　　檔名：</w:t>
      </w:r>
      <w:r>
        <w:t xml:space="preserve">29-513-0036 </w:t>
      </w:r>
    </w:p>
    <w:p w14:paraId="4D8D0C1B" w14:textId="77777777" w:rsidR="00C0151B" w:rsidRDefault="00C0151B">
      <w:pPr>
        <w:pStyle w:val="a3"/>
      </w:pPr>
      <w:r>
        <w:t xml:space="preserve">　　【以不達一法界故，不覺念起，而有無明。】</w:t>
      </w:r>
      <w:r>
        <w:t xml:space="preserve"> </w:t>
      </w:r>
    </w:p>
    <w:p w14:paraId="3716374F" w14:textId="77777777" w:rsidR="00C0151B" w:rsidRDefault="00C0151B">
      <w:pPr>
        <w:pStyle w:val="a3"/>
      </w:pPr>
      <w:r>
        <w:t xml:space="preserve">　　《起信論》是馬鳴菩薩的著作，叫《大乘起信論》。由此可知，這是大乘入門的教材。大乘入門的教材，大乘就有相當高的深度，它不是小乘入門，它是大乘入門，因此跟《金剛經》所講的境界是相通的。《金剛經》是要破四相，標準是要破四相；《起信論》上教給我們的，也是這樣的境界。馬鳴菩薩教給我們：讀經聞法要「離言說相、離名字相、離心緣相」，豈不是跟《金剛經》上所講「離一切諸相，修一切善法」一個意思嗎？所以它是同樣的境界。</w:t>
      </w:r>
      <w:r>
        <w:t xml:space="preserve"> </w:t>
      </w:r>
    </w:p>
    <w:p w14:paraId="6A54A0D2" w14:textId="77777777" w:rsidR="00C0151B" w:rsidRDefault="00C0151B">
      <w:pPr>
        <w:pStyle w:val="a3"/>
      </w:pPr>
      <w:r>
        <w:t xml:space="preserve">　　在此地，我們採取他這一句論文。「以不達一法界故」，達是通達，這是講一切眾生不能夠通達實相是一法界。此地講的一法界，就是本經講的實相般若，實相般若就是一法界，一法界就是實相般若，《華嚴經》上稱一真法界。法界的確是一真，法身大士所見的、所證得的，就是法界一真，而不是十法界。迷的時候有十法界，悟的時候是一真法界。由此可知，十法界是假的，不是真的，是迷了以後產生的幻覺、假相。實際上，真相是一真法界、是一法界。因為不明瞭、不通達法界是一真，「不覺念起，而有無明」。無明從哪裡來的？無明從這兒來的，馬鳴菩薩所說的。而世尊在楞嚴會上對富樓那尊者所說的，與馬鳴菩薩的講法很相似。世尊說：「知見立知，是無明本」，無明的根本是知見立知。知見就是實相般若，《法華經》上講的「佛知佛見」。你從佛知佛見裡面，再建立一個知就錯了，所謂頭上安頭，那是無明，跟這個地方的意思很接近。「不達」就是不覺。「無明即妄想執著」，無明是妄想、執著的根源。如果你要問，妄想、執著從哪裡來的？從無明來的。由此可知，妄想、執著斷掉，無明就沒有了，自性就開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292B6" w14:textId="77777777" w:rsidR="00C0151B" w:rsidRDefault="00C0151B" w:rsidP="00C0151B">
      <w:r>
        <w:separator/>
      </w:r>
    </w:p>
  </w:endnote>
  <w:endnote w:type="continuationSeparator" w:id="0">
    <w:p w14:paraId="69632303" w14:textId="77777777" w:rsidR="00C0151B" w:rsidRDefault="00C0151B" w:rsidP="00C01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4F7DC" w14:textId="77777777" w:rsidR="00C0151B" w:rsidRDefault="00C0151B" w:rsidP="00C0151B">
      <w:r>
        <w:separator/>
      </w:r>
    </w:p>
  </w:footnote>
  <w:footnote w:type="continuationSeparator" w:id="0">
    <w:p w14:paraId="72E09298" w14:textId="77777777" w:rsidR="00C0151B" w:rsidRDefault="00C0151B" w:rsidP="00C01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1B"/>
    <w:rsid w:val="00C015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8699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15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15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15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15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