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DA7D" w14:textId="77777777" w:rsidR="00886B56" w:rsidRDefault="00886B56">
      <w:r>
        <w:t>金剛經的智言慧語</w:t>
      </w:r>
      <w:r>
        <w:t>—</w:t>
      </w:r>
      <w:r>
        <w:t xml:space="preserve">在理事雙融　　（第七十九集）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29-513-0079 </w:t>
      </w:r>
    </w:p>
    <w:p w14:paraId="3012DF87" w14:textId="77777777" w:rsidR="00886B56" w:rsidRDefault="00886B56">
      <w:pPr>
        <w:pStyle w:val="a3"/>
      </w:pPr>
      <w:r>
        <w:t xml:space="preserve">　　【在理事雙融。】</w:t>
      </w:r>
      <w:r>
        <w:t xml:space="preserve"> </w:t>
      </w:r>
    </w:p>
    <w:p w14:paraId="5F160A18" w14:textId="77777777" w:rsidR="00886B56" w:rsidRDefault="00886B56">
      <w:pPr>
        <w:pStyle w:val="a3"/>
      </w:pPr>
      <w:r>
        <w:t xml:space="preserve">　　對理、對事，要看得透徹、看得明白，理才能融事，事才能融理。理事不相應、不相融，換句話說，對於理跟事都沒有搞清楚，所以才有這個過失。這一點非常重要，我們同修們常常有一個疑問，實在講也是一個事實上的現象，心定不下來，妄想伏不住，原因在哪裡？原因就是理事不相融，就出在這裡，理跟事都沒有透徹搞清楚。理跟事要真的搞清楚、搞明白，就相融了，心就能定下來了。許多同修讀過《了凡四訓》，了凡先生在早年實在講沒什麼功夫，他是遇到孔先生跟他算命，算得很準確、很靈驗，一點都不差錯，他什麼妄想也不打了，他打妄想是空的，什麼念頭也沒有了，他心定下來了。他是相信「一飲一啄，莫非前定」，相信因果的道理，相信因果的事實。這個理跟事是小者，這是小的理跟事，它能夠雙融，他的心定了。理事之大者，諸佛如來所證的，宇宙人生的真相，那是理事之大者，理事之究竟者。這個要是清楚明白了，就入大定；那就不是小定，入的是大定。定的等級很多很多，佛法分世間禪定，就有四禪八定，四禪八定還是大分，細分那就太繁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F312C" w14:textId="77777777" w:rsidR="00886B56" w:rsidRDefault="00886B56" w:rsidP="00886B56">
      <w:r>
        <w:separator/>
      </w:r>
    </w:p>
  </w:endnote>
  <w:endnote w:type="continuationSeparator" w:id="0">
    <w:p w14:paraId="3E8FFBB4" w14:textId="77777777" w:rsidR="00886B56" w:rsidRDefault="00886B56" w:rsidP="0088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0B70" w14:textId="77777777" w:rsidR="00886B56" w:rsidRDefault="00886B56" w:rsidP="00886B56">
      <w:r>
        <w:separator/>
      </w:r>
    </w:p>
  </w:footnote>
  <w:footnote w:type="continuationSeparator" w:id="0">
    <w:p w14:paraId="7EA1D02D" w14:textId="77777777" w:rsidR="00886B56" w:rsidRDefault="00886B56" w:rsidP="00886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56"/>
    <w:rsid w:val="00886B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ADA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