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0D64" w14:textId="77777777" w:rsidR="00F10FCC" w:rsidRDefault="00F10FCC">
      <w:r>
        <w:t>金剛經的智言慧語</w:t>
      </w:r>
      <w:r>
        <w:t>—</w:t>
      </w:r>
      <w:r>
        <w:t xml:space="preserve">看經聞法，必須拋開一切知見。以一心對境，方能契入　　（第一Ｏ四集）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29-513-0104 </w:t>
      </w:r>
    </w:p>
    <w:p w14:paraId="41E76D4D" w14:textId="77777777" w:rsidR="00F10FCC" w:rsidRDefault="00F10FCC">
      <w:pPr>
        <w:pStyle w:val="a3"/>
      </w:pPr>
      <w:r>
        <w:t xml:space="preserve">　　【看經聞法，必須拋開一切知見。以一心對境，方能契入。】</w:t>
      </w:r>
      <w:r>
        <w:t xml:space="preserve"> </w:t>
      </w:r>
    </w:p>
    <w:p w14:paraId="6658F0BF" w14:textId="77777777" w:rsidR="00F10FCC" w:rsidRDefault="00F10FCC">
      <w:pPr>
        <w:pStyle w:val="a3"/>
      </w:pPr>
      <w:r>
        <w:t xml:space="preserve">　　這一段也是解釋諦聽的樣子，什麼樣子才是諦聽？佛在的時候，講經我們要會聽，會聽的人開悟了。不會聽的人，不覺悟！佛不在世，留下來許許多多的經典，會看的人，領悟了，會開悟；不會看的人，念一輩子也不會開悟。關鍵在哪裡？就在這個「諦」字。所以，前面這一句我們不能體會，不懂它的意思，這一句講得清楚、講得明白，可以能夠明瞭了。要拋開一切知見，也就是平常我們講的放下萬緣，你認真的一心聽。其實就是馬鳴菩薩在《起信論》裡面，告訴我們聽經聞法的態度，他說了三句，這三句也就是諦聽的真實義。第一，「離言說相」，不要執著言說、言語，不要執著言語。看經是文字，文字是言語的符號，你看經不要執著文字相，跟聽經不執著言說相是一個意思。第二，「離名字相」，名字相是名詞術語。譬如此地講的阿耨多羅三藐三菩提心，這是名字，這是佛教的術語，不能執著；體會它的意思，不著它的相。第三，「離心緣相」，離心緣相就是此地講的，拋開一切知見，就是用清淨心來聽、來讀，不能有知見；知見是成見，那就錯了！你能夠離言說、離名字，離心緣相，你想想你用的是什麼心？真心！佛說一切經，是從真心本性裡面流露出來，你能夠用真心去接受，那還有什麼話說，那怎麼不開悟？我們今天聽經、讀經</w:t>
      </w:r>
      <w:r>
        <w:t>不開悟，我們是用妄心，用妄心對佛的真心，把佛所有這些話全變成妄想，那怎麼能開得了悟？道理在此地。所以諦聽就是要用真心去聽，你才會得受用。</w:t>
      </w:r>
      <w:r>
        <w:t xml:space="preserve"> </w:t>
      </w:r>
    </w:p>
    <w:p w14:paraId="7D18BE0D" w14:textId="77777777" w:rsidR="00F10FCC" w:rsidRDefault="00F10FCC">
      <w:pPr>
        <w:pStyle w:val="a3"/>
      </w:pPr>
      <w:r>
        <w:t xml:space="preserve">　　所以聽經的時候，決定不能打妄想，決定不可以有意見，一直聽下去，這樣聽經，給諸位說，就是戒定慧三學一次完成。如果你要會的話，這兩個小時，你在此地修什麼？修戒定慧。什麼是戒？你坐在那裡，規規矩矩，你到佛堂來，衣服穿得整整齊齊，著衣持缽，持戒，規規矩矩的這是持戒。你坐在這個地方的時候，拋開一切知見，一個妄念都沒有，這是定。你在這裡聽講經，兩個小時講演，字字分明，句句聽得清清楚楚，這是慧。所以這兩個小時，你在此地是戒定慧三學一次都圓滿了，圓成了。那怎麼不得受用？真的會開悟。方能契入，契入就是開悟，就是證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59D9" w14:textId="77777777" w:rsidR="00F10FCC" w:rsidRDefault="00F10FCC" w:rsidP="00F10FCC">
      <w:r>
        <w:separator/>
      </w:r>
    </w:p>
  </w:endnote>
  <w:endnote w:type="continuationSeparator" w:id="0">
    <w:p w14:paraId="3961ADB3" w14:textId="77777777" w:rsidR="00F10FCC" w:rsidRDefault="00F10FCC" w:rsidP="00F10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3B04" w14:textId="77777777" w:rsidR="00F10FCC" w:rsidRDefault="00F10FCC" w:rsidP="00F10FCC">
      <w:r>
        <w:separator/>
      </w:r>
    </w:p>
  </w:footnote>
  <w:footnote w:type="continuationSeparator" w:id="0">
    <w:p w14:paraId="1476ADA2" w14:textId="77777777" w:rsidR="00F10FCC" w:rsidRDefault="00F10FCC" w:rsidP="00F10F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CC"/>
    <w:rsid w:val="00F10F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0C3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F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F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F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F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