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84AE" w14:textId="77777777" w:rsidR="00E90D10" w:rsidRDefault="00E90D10">
      <w:r>
        <w:t>金剛經的智言慧語</w:t>
      </w:r>
      <w:r>
        <w:t>—</w:t>
      </w:r>
      <w:r>
        <w:t xml:space="preserve">二如是　　（第一Ｏ五集）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29-513-0105 </w:t>
      </w:r>
    </w:p>
    <w:p w14:paraId="5464E279" w14:textId="77777777" w:rsidR="00E90D10" w:rsidRDefault="00E90D10">
      <w:pPr>
        <w:pStyle w:val="a3"/>
      </w:pPr>
      <w:r>
        <w:t xml:space="preserve">　　【二如是。】</w:t>
      </w:r>
      <w:r>
        <w:t xml:space="preserve"> </w:t>
      </w:r>
    </w:p>
    <w:p w14:paraId="3D511EF0" w14:textId="77777777" w:rsidR="00E90D10" w:rsidRDefault="00E90D10">
      <w:pPr>
        <w:pStyle w:val="a3"/>
      </w:pPr>
      <w:r>
        <w:t xml:space="preserve">　　應如是住，如是降伏其心，佛說了兩個如是，這就是答覆的話。「剋指上文善護念、善付囑」，指這個意思。「有現前指點、當下即是之義。」本經當機是須菩提尊者，實際上，須菩提尊者是代表我們大眾，問題是我們肯不肯發大心。肯發大心，就應當直下承當，我明白了，我懂得了，我從今天起，我就這樣做。這樣做，前面跟諸位說過兩次，要發大心。什麼大心？我要做盡虛空遍法界一切眾生的好樣子，這叫大心。就像佛，佛給一切菩薩做樣子，那個一切菩薩是盡虛空遍法界一切菩薩，不是釋迦牟尼佛會裡頭那幾位菩薩，也不是我們娑婆世界這些菩薩，是盡虛空遍法界所有一切的菩薩，做樣子給他們看的。我們今天發了一個心，給盡虛空遍法界所有一切眾生做個好樣子，跟佛發的心一樣，這叫發大心。那麼你在生活當中，點點滴滴都是大心，都是證大果。大果在哪裡證？當下即是。不是在將來，不是在明天，當下就是。所以這個法，真的是現前指點，一點都不錯。指點須菩提的，就是指點我們的。所以，我們如果用清淨心來面對著這個經文，確確實實能契入；方能契入這句話不是隨便說的，不是假的，是事實。一定要用真誠的心，要用清淨心、用恭敬心、大慈悲心，金剛智慧是可以得到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58BF5" w14:textId="77777777" w:rsidR="00E90D10" w:rsidRDefault="00E90D10" w:rsidP="00E90D10">
      <w:r>
        <w:separator/>
      </w:r>
    </w:p>
  </w:endnote>
  <w:endnote w:type="continuationSeparator" w:id="0">
    <w:p w14:paraId="1B9E005F" w14:textId="77777777" w:rsidR="00E90D10" w:rsidRDefault="00E90D10" w:rsidP="00E90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BCB5" w14:textId="77777777" w:rsidR="00E90D10" w:rsidRDefault="00E90D10" w:rsidP="00E90D10">
      <w:r>
        <w:separator/>
      </w:r>
    </w:p>
  </w:footnote>
  <w:footnote w:type="continuationSeparator" w:id="0">
    <w:p w14:paraId="3775B122" w14:textId="77777777" w:rsidR="00E90D10" w:rsidRDefault="00E90D10" w:rsidP="00E90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10"/>
    <w:rsid w:val="00E90D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12F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