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E01FF" w14:textId="77777777" w:rsidR="00AA1BCC" w:rsidRDefault="00AA1BCC">
      <w:r>
        <w:t>金剛經的智言慧語</w:t>
      </w:r>
      <w:r>
        <w:t>—</w:t>
      </w:r>
      <w:r>
        <w:t xml:space="preserve">返聞聞自性，時時照、時時聞，見諸法實相　　（第一一Ｏ集）　　</w:t>
      </w:r>
      <w:r>
        <w:t>1995/5</w:t>
      </w:r>
      <w:r>
        <w:t xml:space="preserve">　　新加坡佛教居士林（節錄自金剛般若研習報告</w:t>
      </w:r>
      <w:r>
        <w:t>09-023-0008</w:t>
      </w:r>
      <w:r>
        <w:t>集）　　檔名：</w:t>
      </w:r>
      <w:r>
        <w:t xml:space="preserve">29-513-0110 </w:t>
      </w:r>
    </w:p>
    <w:p w14:paraId="0A4F4B9D" w14:textId="77777777" w:rsidR="00AA1BCC" w:rsidRDefault="00AA1BCC">
      <w:pPr>
        <w:pStyle w:val="a3"/>
      </w:pPr>
      <w:r>
        <w:t xml:space="preserve">　　【返聞聞自性，時時照、時時聞，見諸法實相。】</w:t>
      </w:r>
      <w:r>
        <w:t xml:space="preserve"> </w:t>
      </w:r>
    </w:p>
    <w:p w14:paraId="1F146D73" w14:textId="77777777" w:rsidR="00AA1BCC" w:rsidRDefault="00AA1BCC">
      <w:pPr>
        <w:pStyle w:val="a3"/>
      </w:pPr>
      <w:r>
        <w:t xml:space="preserve">　　諸法實相就是心性，見諸法實相就是明心見性、見性成佛，是一個意思。尊者代我們啟請，世尊的確大慈大悲，就為我們詳談金剛般若。</w:t>
      </w:r>
      <w:r>
        <w:t xml:space="preserve"> </w:t>
      </w:r>
    </w:p>
    <w:p w14:paraId="6DB79D15" w14:textId="77777777" w:rsidR="00AA1BCC" w:rsidRDefault="00AA1BCC">
      <w:pPr>
        <w:pStyle w:val="a3"/>
      </w:pPr>
      <w:r>
        <w:t xml:space="preserve">　　我們先看看小標題，這個標題很重要。「約境明無住以彰般若正智」。本經分為上下兩部分，上半部跟下半部。為什麼要這樣分？因為在詳談裡面，上半部，佛已經把意思說盡，那就不必再說了，已經說盡了，理論跟方法都說出來了。須菩提尊者接著再啟請，為什麼再啟請？尊者很慈悲，有大智慧，觀察大眾，明白的固然不少，還有一些有疑惑的，於是再啟請，這個到後面經文，我們再詳細跟諸位報告，再啟請。要把所有的疑惑斷得乾乾淨淨，在菩薩修行的菩提道中，才能夠一帆風順而沒有阻礙。</w:t>
      </w:r>
      <w:r>
        <w:t xml:space="preserve"> </w:t>
      </w:r>
    </w:p>
    <w:p w14:paraId="38121355" w14:textId="77777777" w:rsidR="00AA1BCC" w:rsidRDefault="00AA1BCC">
      <w:pPr>
        <w:pStyle w:val="a3"/>
      </w:pPr>
      <w:r>
        <w:t xml:space="preserve">　　前半部的經文，前面曾經跟諸位報告，有深有淺，後半部是唯深無淺；後半部是約心來說的，前半部是約境來說的。境是境界，也就是我們生活環境，從生活環境當中來說明無住，總而言之一句話，般若的宗旨就是「無住」兩個字；彰是顯示，完全表現出來般若的智慧。底下又分兩段，這是第一段，「的示無住以生信」，指示我們無住，從這個地方讓我們建立信心。底下小科我們就不說了，我們只著重大科。前半部信、解，後半部行、證，正宗分前後兩部合起來是信解行證四分，這個架勢跟《大方廣佛華嚴經》無二無別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03270" w14:textId="77777777" w:rsidR="00AA1BCC" w:rsidRDefault="00AA1BCC" w:rsidP="00AA1BCC">
      <w:r>
        <w:separator/>
      </w:r>
    </w:p>
  </w:endnote>
  <w:endnote w:type="continuationSeparator" w:id="0">
    <w:p w14:paraId="1D23EA79" w14:textId="77777777" w:rsidR="00AA1BCC" w:rsidRDefault="00AA1BCC" w:rsidP="00AA1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7C53D" w14:textId="77777777" w:rsidR="00AA1BCC" w:rsidRDefault="00AA1BCC" w:rsidP="00AA1BCC">
      <w:r>
        <w:separator/>
      </w:r>
    </w:p>
  </w:footnote>
  <w:footnote w:type="continuationSeparator" w:id="0">
    <w:p w14:paraId="748F7D2B" w14:textId="77777777" w:rsidR="00AA1BCC" w:rsidRDefault="00AA1BCC" w:rsidP="00AA1B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BCC"/>
    <w:rsid w:val="00AA1B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78B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1B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1B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1B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1B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