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765E" w14:textId="77777777" w:rsidR="008F2EEA" w:rsidRDefault="008F2EEA">
      <w:r>
        <w:t>金剛經的智言慧語</w:t>
      </w:r>
      <w:r>
        <w:t>—</w:t>
      </w:r>
      <w:r>
        <w:t xml:space="preserve">修一切法，究竟從何修起，則先行布施。布施為四攝法之首　　（第一七九集）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29-513-0179 </w:t>
      </w:r>
    </w:p>
    <w:p w14:paraId="4EF1D674" w14:textId="77777777" w:rsidR="008F2EEA" w:rsidRDefault="008F2EEA">
      <w:pPr>
        <w:pStyle w:val="a3"/>
      </w:pPr>
      <w:r>
        <w:t xml:space="preserve">　　【修一切法，究竟從何修起，則先行布施。布施為四攝法之首。】</w:t>
      </w:r>
      <w:r>
        <w:t xml:space="preserve"> </w:t>
      </w:r>
    </w:p>
    <w:p w14:paraId="2EBD05F8" w14:textId="77777777" w:rsidR="008F2EEA" w:rsidRDefault="008F2EEA">
      <w:pPr>
        <w:pStyle w:val="a3"/>
      </w:pPr>
      <w:r>
        <w:t xml:space="preserve">　　這是佛教導我們，修行從哪裡修起？從布施修起。布施是放下、是捨，真幹才行。不是真幹，這裡頭的功德利益你得不到。因此，我們學佛成敗的關鍵，的確是在與自己有緣的善知識，我們常講好老師，老師要跟自己有緣。實在講世出世間法，離不開緣字，緣太重要了，與自己有緣的善知識，你肯聽他的話；沒有緣的善知識，雖然講同樣的話，不聽、不接受！我自己學佛，緣就非常殊勝，所以我沒有走冤枉路。我接觸佛法不到一個月，就認識章嘉大師，跟他很投緣，我非常尊重他，他也很愛護我，很有緣！他說的話，那個時候對佛法根本不懂，剛剛接觸，什麼都不知道，他講的話我肯聽、我肯照做，這很不容易，沒搞清楚就做。頭一天跟他見面，我就向他老人家提出一個問題，我說：我知道佛法很好，非常難得，有沒有很快的方法，能叫我們一下子就入進去？這我們很著急！我這個問題提出來的時候，他不著急，他老人家入定了。不過他那個定，不是眼睛閉著的，不是眼觀鼻、鼻觀心，不是的，他眼睛看我，一句話不說，坐在那個地方，看了半個鐘點，入定了，他入定了，我也入定了。那個教學法高明，太高明了！所以以後我們曉得，必須整個心定下來之後，然後那個話才有用處，否則的話，講太多了沒有用，那個力量不夠，必須定到相當</w:t>
      </w:r>
      <w:r>
        <w:t>程度，我們也聚精會神，等著聽他老人家怎麼說的，那個時候還不懂什麼叫開示，對佛法一竅不通，老人很慈悲就是了。等到半個鐘點，他才好不容易說了一個字：「有」，一個字說出來之後又沒有了，又入定了，不過這一次定得沒有那麼長就是了，大概五分鐘。所以跟那個老人在一起非常有味道，雖然一句話不說，現在人講磁場不一樣，跟他在一起的時候，身心舒暢，真的是煩惱、雜念都沒有了，都被他收攝住了，那個力量很強很強。過了五、六分鐘，講了六個字：「看得破，放得下」，他講沒有我這麼快，他的字講得很慢，一個字一個字很重，好像字吐出來千斤之力。</w:t>
      </w:r>
      <w:r>
        <w:t xml:space="preserve"> </w:t>
      </w:r>
    </w:p>
    <w:p w14:paraId="249ACF2A" w14:textId="77777777" w:rsidR="008F2EEA" w:rsidRDefault="008F2EEA">
      <w:pPr>
        <w:pStyle w:val="a3"/>
      </w:pPr>
      <w:r>
        <w:t xml:space="preserve">　　這兩句話我聽了明白意思，要看破、要放下，其實我們理解的意思也是似是而非，不夠精密，但是懂一點意思。我接著就向他老人家請教，從哪裡下手？這大概又等了十幾分鐘，等到兩個字：布施。所以第一次跟他老人家全部的談話就這麼多，差不多一個半小時。我向他告辭，他老人家非常慈悲，送我到大門口，送到門口，拍拍我的肩膀告訴我：我今天教你六個字，你好好的去做六年。我就很老實，我就真的去照做，做六年，做什麼？布施，捨，很難捨！那個時候我們的生活非常清苦，待遇很微薄，我自己的生活的確非常簡單。我喜歡讀書，所有的收入都買書，所以我一年的收入，那個書架上一看都在上面，很喜歡書，人家要向我借書看，我不會借的，為什麼？他把我的書搞髒了、搞壞了，我不肯借給人家看。好！章嘉大師教我布施了，這個心放寬一點了，書人家來借的時候，我肯借給人家了。再過幾時又大一點了，可以送給人家了，當然最初是我看過的，可以送給人，舊書可以送給人了，新的好的自己留到，不能割愛。過一個時候，知道自己用舊的，新的送給人家，慢慢進步！布施了六年，就布施得乾乾淨淨，什麼都沒有了。我的書是不少，那時學佛也六年了。台中李老師辦了一個慈光圖書館，我知道了，我把我所有的書都捐送給圖書館</w:t>
      </w:r>
      <w:r>
        <w:t>。他在那個時候，剛剛創辦的時候，我捐去的書佔他全館五分之一，你去想我的藏書有多少？佔他圖書館的五分之一，全部捐光了。到捐完的時候，心很清淨，有一些將要發生的事情預先就知道，清淨心起作用。章嘉大師講，捨！要真幹，不幹不行，不幹到不了這</w:t>
      </w:r>
      <w:r>
        <w:lastRenderedPageBreak/>
        <w:t>個境界，許多事情都能夠有預知。捨要緊，不捨不行，不捨是煩惱！你心裡有了東西，有牽掛、有憂慮、有煩惱，統統把它捨得乾乾淨淨，那多自在，多痛快！不捨的人不知道！這個舒服痛快，你們想都想不到，一定要真正去做。從布施下手，章嘉大師教給我，我也就從這裡做起。</w:t>
      </w:r>
      <w:r>
        <w:t xml:space="preserve"> </w:t>
      </w:r>
    </w:p>
    <w:p w14:paraId="620A5074" w14:textId="77777777" w:rsidR="008F2EEA" w:rsidRDefault="008F2EEA">
      <w:pPr>
        <w:pStyle w:val="a3"/>
      </w:pPr>
      <w:r>
        <w:t xml:space="preserve">　　布施為四攝法之首。四攝，攝是攝受眾生。佛攝受眾生四個方法：第一個是布施，第二個是愛語，第三個是利行，第四個是同事。用這四種方法接引眾生、攝受眾生。我們今天說法緣殊勝，法緣從哪裡來的？結緣！不結緣，你的法緣怎麼來？結緣用什麼東西結緣？布施。不布施還行嗎？先要付出去！有不少法師，我們見面常常問我：你的法緣為什麼那麼好，可不可以教教我們？我說可以。你是怎麼做的？布施，你肯布施就行了。我沒有到新加坡來，都送了幾萬冊的經書到這兒來跟大家結緣，人還沒來的時候，書都來了，錄音帶也來了，錄影帶也來了，這不結緣怎麼行？布施第一！我們為了成就自己，成就大家，必須要曉得，錢沒有用處，錢最害人，錢有毒，趕緊把它散出去，不要留在身上，散得乾乾淨淨，就得大自在，世間人不曉得。第二、愛語，愛語出自於真誠心，真正愛護一切眾生，所有一切語言，都是幫助眾生破迷開悟，都是幫助眾生離苦得樂，真實愛護一切眾生。佛在經典裡面所有的言語，都是愛語。第三個、利行，利是利益。一切所做，對於眾生、對於社會決定是有利益的，決定沒有害處的，眾生才願意接近你，才願意聽你的。第四個是同事。同事必得要法身大士，沒有證得法身，同事這一條不能學，法身大士行，他的定功夠了</w:t>
      </w:r>
      <w:r>
        <w:t xml:space="preserve">，智慧也夠了。譬如那些大菩薩，他看你有緣，他也來度你，你喜歡打麻將，菩薩天天陪你打麻將，而且每一場必贏，他比你高明多了，你就向他請教，他就說修定、修慧，這就高明了。他用這個方法，他先跟你同事，你喜歡什麼，他可以跟你一樣，這個就很歡喜了、很容易了。但是沒有這個定力不行，沒有定力的時候，這些人喜歡五欲六塵，你跟他去了，被他度跑了，麻煩就大了。所以定力不夠，智慧不夠，用前面三個：布施、愛語、利行；真正到功夫得力，才可以用最後這個同事。這是佛攝受一切眾生四種方法，布施是其中之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62EF" w14:textId="77777777" w:rsidR="008F2EEA" w:rsidRDefault="008F2EEA" w:rsidP="008F2EEA">
      <w:r>
        <w:separator/>
      </w:r>
    </w:p>
  </w:endnote>
  <w:endnote w:type="continuationSeparator" w:id="0">
    <w:p w14:paraId="438EB4C5" w14:textId="77777777" w:rsidR="008F2EEA" w:rsidRDefault="008F2EEA" w:rsidP="008F2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FCA8" w14:textId="77777777" w:rsidR="008F2EEA" w:rsidRDefault="008F2EEA" w:rsidP="008F2EEA">
      <w:r>
        <w:separator/>
      </w:r>
    </w:p>
  </w:footnote>
  <w:footnote w:type="continuationSeparator" w:id="0">
    <w:p w14:paraId="17C27A79" w14:textId="77777777" w:rsidR="008F2EEA" w:rsidRDefault="008F2EEA" w:rsidP="008F2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EA"/>
    <w:rsid w:val="008F2E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5D3E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E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E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E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E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