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0B94" w14:textId="77777777" w:rsidR="00CB45CE" w:rsidRDefault="00CB45CE">
      <w:r>
        <w:t>金剛經的智言慧語</w:t>
      </w:r>
      <w:r>
        <w:t>—</w:t>
      </w:r>
      <w:r>
        <w:t xml:space="preserve">布施即一切佛法。佛法自始至終，不外一捨字，不外一捨字。布施即捨，即放下。推廣之，持戒捨貪瞋痴，忍辱捨瞋恚，精進捨懈怠、昏沉、掉舉，禪定捨散亂、昏沉，般若捨二邊及我法二執　　（第一八Ｏ集）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29-513-0180 </w:t>
      </w:r>
    </w:p>
    <w:p w14:paraId="5E570EB2" w14:textId="77777777" w:rsidR="00CB45CE" w:rsidRDefault="00CB45CE">
      <w:pPr>
        <w:pStyle w:val="a3"/>
      </w:pPr>
      <w:r>
        <w:t xml:space="preserve">　　【布施即一切佛法。佛法自始至終，不外一捨字，不外一捨字。布施即捨，即放下。推廣之，持戒捨貪瞋痴，忍辱捨瞋恚，精進捨懈怠、昏沉、掉舉，禪定捨散亂、昏沉，般若捨二邊及我法二執。】</w:t>
      </w:r>
      <w:r>
        <w:t xml:space="preserve"> </w:t>
      </w:r>
    </w:p>
    <w:p w14:paraId="4CDBAC03" w14:textId="77777777" w:rsidR="00CB45CE" w:rsidRDefault="00CB45CE">
      <w:pPr>
        <w:pStyle w:val="a3"/>
      </w:pPr>
      <w:r>
        <w:t xml:space="preserve">　　實在講，佛法自始至終，始是開始、初發心，終是成佛，從初發心到成佛，修什麼？沒有別的，放下而已。放下之後，再放下，再放下，到什麼都沒有了，放下也放下，那就成佛了。所以佛教導我們，如果我們把見思煩惱，八十八品見惑放下，你就證須陀洹果；再將三界八十一品思惑放下，你就證阿羅漢果；你把塵沙煩惱再放下，你就是三賢菩薩；再能夠把無明破了，放下幾品，你就是法身大士；到等覺菩薩，他還有一品生相無明沒破，再把那一品生相無明放下，再捨掉，就成佛了。所以佛法你問修什麼？布施而已！就是要把它捨掉，捨掉才能夠成菩薩、成佛。我捨一點還留一點，不行！那還是凡夫，要捨得乾乾淨淨。凡夫之人沒有智慧，煩惱憂慮很多，害怕！我統統都捨掉，我明天怎麼生活？我的錢財統統捨掉了，那明天我活不了！你說他放下沒有？沒放下。為什麼沒放下？錢財放下了，身沒放下。生死放下了，那就沒生死，那多痛快！還要把生死牢牢的抓住，放不下；身外之物放下了，身放不下，那怎麼行？身心世界一切放下。</w:t>
      </w:r>
      <w:r>
        <w:t xml:space="preserve"> </w:t>
      </w:r>
    </w:p>
    <w:p w14:paraId="2262D7C4" w14:textId="77777777" w:rsidR="00CB45CE" w:rsidRDefault="00CB45CE">
      <w:pPr>
        <w:pStyle w:val="a3"/>
      </w:pPr>
      <w:r>
        <w:t xml:space="preserve">　　實在講，許許多多的觀念都是錯誤的，迷惑顛倒。印光大師教現代人念《了凡四訓》，他老人家教人學佛從哪裡下手？《了凡四訓》下手，也是高明得了不起。我也得這個力，我初學佛的時候，認識了朱鏡宙老居士，那個時候老居士七十歲，我是二十六歲，他老人家七十歲，送我一本《了凡四訓》，我讀了好幾遍，很有道理，我很相信。《了凡四訓》是講因緣果報，你要是真正讀了，相信它，你就知道「一飲一啄，莫非前定」，你命裡面有多少財，你統統捨光，捨不光的。你這裡捨了，它過幾天自然就來了，命裡有的，而且怎麼樣？愈捨愈多。可是你要記住，愈多要愈捨，你不能說多了就不捨，不捨就完了，就要得病，不捨就會得病。愈多愈捨，是愈捨愈多。你怕什麼？一般人讀了，曉得這個道理，不敢做，就是恐懼，怕自己生活過不下去，就害怕這個，這是錯誤觀念，大錯特錯。不但障礙你一生幸福，你真的念佛想求生淨土都不可能！徹底放下，放下之後，你才曉得自在，你才曉得一樣都不缺乏。</w:t>
      </w:r>
      <w:r>
        <w:t xml:space="preserve"> </w:t>
      </w:r>
    </w:p>
    <w:p w14:paraId="44FC4A87" w14:textId="77777777" w:rsidR="00CB45CE" w:rsidRDefault="00CB45CE">
      <w:pPr>
        <w:pStyle w:val="a3"/>
      </w:pPr>
      <w:r>
        <w:t xml:space="preserve">　　佛法自始至終就是捨，就是放下、再放下。常常念著布施，常常念著捨，念著放下，用這個做觀照也不錯，也很得力。勉勵自己要放下，多多的幫助人，幫助人幫什麼？這一點一定要曉得，要幫他開智慧，因為智慧開了，所有一切問題都解決了。他今天沒得吃，送點吃的給他；明天沒得穿，送幾件衣服給他穿，這個實在講太有限了，不是解決問題的辦法。解決問題的辦法是要幫助他明瞭因果的道理，要幫助他這個，幫助他知道佛法的好處，教他如何修學正法，怎樣破迷開悟，這個利益就大了，要在這上面去幫助人。</w:t>
      </w:r>
      <w:r>
        <w:t xml:space="preserve"> </w:t>
      </w:r>
    </w:p>
    <w:p w14:paraId="1DC3EC18" w14:textId="77777777" w:rsidR="00CB45CE" w:rsidRDefault="00CB45CE">
      <w:pPr>
        <w:pStyle w:val="a3"/>
      </w:pPr>
      <w:r>
        <w:t xml:space="preserve">　　所以過去印光老法師，一生所有一切的供養，全部拿去印經布施，印經就是幫助人開智慧。他的弘化社，就是他那個佛經流通處，印送《了凡四訓》、《感應篇》、《安士全書》這三種，我給它概略估計一下，至少有三百萬冊。其他的這些經論數量</w:t>
      </w:r>
      <w:r>
        <w:lastRenderedPageBreak/>
        <w:t>都沒這麼多，幾千冊、一萬冊就不得了，唯獨這個書印那麼多。所以我那個時候，一九七七年在香港講經，住在中華佛教圖書館，倓虛老法師的道場，那裡面收集的書很多，弘化社的書不少。我沒有事在那裡看書，看版權頁，一本書印了幾十版，每一版少的三萬冊，多的十萬冊，我嚇一跳！老法師為什麼這樣大量的流通這三種書，這三種書不是佛經，如果是佛經我們還不奇怪，不是佛經。不但流通，還有一篇傳記裡面記載，清朝末年的時候，老法師在普陀山，他都住藏經樓，定海的知縣請他老人家到定海弘法，他沒去，他派了一個代表到定海去講經，講什麼經？講《文昌帝君陰騭文》，這是道教的東西。這都是我們覺得，大法師不去講一部佛經，去講道教的東西幹什麼？我們才曉得，老法師是真智慧，真能觀機，講佛法對他沒有用處！《文昌帝君陰騭文》跟《感應篇》一樣，講因果報應。這個是學佛基礎的基礎，他在打根基，你才曉得這個東西重要。人知道自己的命運，知道因果報應，起心動念不敢存壞心，不敢有妄念，心好他的言語造作自然就收斂，這才是好人。經上講的善男子、善女人，先要把他提升到這個標準，然後才能接受佛法。老法師的作為，跟一般人不一樣，這是我們要能夠體會得到的。所以《了凡四訓》這三樣書，就非常非常重</w:t>
      </w:r>
      <w:r>
        <w:t xml:space="preserve">要。我七七年從香港回到台灣，看到老法師這樣做，我們在台灣也大力提倡，回到台灣就印了五、六萬冊，而且這幾樣東西，我都講過。早年講的都沒有錄音，早年講過這些東西。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B1915" w14:textId="77777777" w:rsidR="00CB45CE" w:rsidRDefault="00CB45CE" w:rsidP="00CB45CE">
      <w:r>
        <w:separator/>
      </w:r>
    </w:p>
  </w:endnote>
  <w:endnote w:type="continuationSeparator" w:id="0">
    <w:p w14:paraId="7589FC84" w14:textId="77777777" w:rsidR="00CB45CE" w:rsidRDefault="00CB45CE" w:rsidP="00CB4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8AE10" w14:textId="77777777" w:rsidR="00CB45CE" w:rsidRDefault="00CB45CE" w:rsidP="00CB45CE">
      <w:r>
        <w:separator/>
      </w:r>
    </w:p>
  </w:footnote>
  <w:footnote w:type="continuationSeparator" w:id="0">
    <w:p w14:paraId="086CB476" w14:textId="77777777" w:rsidR="00CB45CE" w:rsidRDefault="00CB45CE" w:rsidP="00CB4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CE"/>
    <w:rsid w:val="00CB45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91F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