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140E6" w14:textId="77777777" w:rsidR="0001090D" w:rsidRDefault="0001090D">
      <w:r>
        <w:t>金剛經的智言慧語</w:t>
      </w:r>
      <w:r>
        <w:t>—</w:t>
      </w:r>
      <w:r>
        <w:t xml:space="preserve">千經萬論，無非說明此理，發揮此理　　（第二一三集）　　</w:t>
      </w:r>
      <w:r>
        <w:t>1995/5</w:t>
      </w:r>
      <w:r>
        <w:t xml:space="preserve">　　新加坡佛教居士林（節錄自金剛般若研習報告</w:t>
      </w:r>
      <w:r>
        <w:t>09-023-0015</w:t>
      </w:r>
      <w:r>
        <w:t>集）　　檔名：</w:t>
      </w:r>
      <w:r>
        <w:t xml:space="preserve">29-513-0213 </w:t>
      </w:r>
    </w:p>
    <w:p w14:paraId="27B3955E" w14:textId="77777777" w:rsidR="0001090D" w:rsidRDefault="0001090D">
      <w:pPr>
        <w:pStyle w:val="a3"/>
      </w:pPr>
      <w:r>
        <w:t xml:space="preserve">　　【千經萬論，無非說明此理，發揮此理。】</w:t>
      </w:r>
      <w:r>
        <w:t xml:space="preserve"> </w:t>
      </w:r>
    </w:p>
    <w:p w14:paraId="2F75FA83" w14:textId="77777777" w:rsidR="0001090D" w:rsidRDefault="0001090D">
      <w:pPr>
        <w:pStyle w:val="a3"/>
      </w:pPr>
      <w:r>
        <w:t xml:space="preserve">　　愈是在大乘經上說得愈透徹，不但把理論講得透徹，同時講心性在日常生活當中的作用，也講得非常透徹，像《華嚴經》，不但說得那麼樣清楚，末後一品經文「入法界品」，世尊以五十三位法身大士，跟善財童子表演給我們看，所以《華嚴經》好！有理論、有方法，還帶表演，這種教科書到哪裡去找，帶表演的，非常難得。</w:t>
      </w:r>
      <w:r>
        <w:t xml:space="preserve"> </w:t>
      </w:r>
    </w:p>
    <w:p w14:paraId="5C183261" w14:textId="77777777" w:rsidR="0001090D" w:rsidRDefault="0001090D">
      <w:pPr>
        <w:pStyle w:val="a3"/>
      </w:pPr>
      <w:r>
        <w:t xml:space="preserve">　　我們曉得，中國古時候，古人，讀書人，最重要的一部書是《四書》，現代的人幾乎把它忘掉了，《四書》是宋朝朱熹編的。我們讀《華嚴》之後，回頭再看《四書》，可能是朱熹看《華嚴經》得到的靈感，因為他編的方法跟《華嚴經》一樣，有理論、有方法、有表演，他是取《禮記》裡面的兩篇，《大學》、《中庸》，這兩篇是《禮記》裡面的。《大學》講方法，什麼方法？給諸位說，過日子的方法，生活的方法，非常親切！《中庸》是講道理的，它有理論、有方法。《論語》跟《孟子》是表演的，做出來給我們看，你看看孔子如何將這些理論方法應用在他的生活上，《論語》裡面的理論方法就是大學、中庸。孟夫子如何能將這個理論方法應用在他的生活上？表演給我們看。所以《論孟》就很類似《華嚴經》上的五十三參，真正是高級的教科書，編撰的方法非常圓滿，帶表演。這是給我們學佛的人，特別是初學的人，真正有一個入門下手之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84A11" w14:textId="77777777" w:rsidR="0001090D" w:rsidRDefault="0001090D" w:rsidP="0001090D">
      <w:r>
        <w:separator/>
      </w:r>
    </w:p>
  </w:endnote>
  <w:endnote w:type="continuationSeparator" w:id="0">
    <w:p w14:paraId="351CAAEC" w14:textId="77777777" w:rsidR="0001090D" w:rsidRDefault="0001090D" w:rsidP="00010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A3BB5" w14:textId="77777777" w:rsidR="0001090D" w:rsidRDefault="0001090D" w:rsidP="0001090D">
      <w:r>
        <w:separator/>
      </w:r>
    </w:p>
  </w:footnote>
  <w:footnote w:type="continuationSeparator" w:id="0">
    <w:p w14:paraId="7343135E" w14:textId="77777777" w:rsidR="0001090D" w:rsidRDefault="0001090D" w:rsidP="000109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0D"/>
    <w:rsid w:val="000109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EF79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9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9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9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9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