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942A" w14:textId="77777777" w:rsidR="00F95B75" w:rsidRDefault="00F95B75">
      <w:r>
        <w:t>金剛經的智言慧語</w:t>
      </w:r>
      <w:r>
        <w:t>—</w:t>
      </w:r>
      <w:r>
        <w:t xml:space="preserve">經論有言：寧可著有如須彌山，不可著空如芥子許。此明著有者易為功，著空者難施救也　　（第二六Ｏ集）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29-513-0260 </w:t>
      </w:r>
    </w:p>
    <w:p w14:paraId="2D82FA8E" w14:textId="77777777" w:rsidR="00F95B75" w:rsidRDefault="00F95B75">
      <w:pPr>
        <w:pStyle w:val="a3"/>
      </w:pPr>
      <w:r>
        <w:t xml:space="preserve">　　【經論有言：寧可著有如須彌山，不可著空如芥子許。此明著有者易為功，著空者難施救也。】</w:t>
      </w:r>
      <w:r>
        <w:t xml:space="preserve"> </w:t>
      </w:r>
    </w:p>
    <w:p w14:paraId="14D2F7A0" w14:textId="77777777" w:rsidR="00F95B75" w:rsidRDefault="00F95B75">
      <w:pPr>
        <w:pStyle w:val="a3"/>
      </w:pPr>
      <w:r>
        <w:t xml:space="preserve">　　這句話我想有許多同修都曾經聽說過，古大德很多的註疏裡頭也都常常引用。著有、著空都是病，這是學佛同修在所不免的。凡夫著有，二乘著空，這兩句話說得真正是恰到好處，所以往往凡夫的成就超過二乘。諸位想想，阿羅漢要兩萬大劫才能回頭，我們講的是迴小向大。辟支佛也得要一萬大劫，這個時間很長！而凡夫善根成熟，念佛往生，生到西方世界，就作阿惟越致菩薩，阿羅漢、辟支佛怎麼能比得上？沒有往生之前，凡夫比不上阿羅漢、辟支佛，比不上他們；這一往生，辟支佛、阿羅漢反而比不上這個凡夫。這就是凡夫著有容易對治。西方極樂世界有，你著有不怕，能往生，生凡聖同居土、生方便有餘土，當然實報土那就難了。要生實報土，必須空有兩邊都放下，才能夠生實報莊嚴土，也就是我們前面講念佛功夫念到理一心不亂。如果著有，可以念到功夫成片，可以念到事一心不亂，往生的成就都不可思議。縱然不能往生，這兩個在六道裡面差別也很大，著有的人相信因果報應，於是起心動念、一切作為，他自自然然會小心謹慎，也就是說不造惡業，不敢造惡業；知道善有善果，惡有惡報。由此可知，他將來人天兩道有分。著空的人麻煩，著空，前面跟諸位報告過，最容易犯的是撥無因果，於是他就會胡作妄為，造許許多多的重罪</w:t>
      </w:r>
      <w:r>
        <w:t>，果報自然是三途，這就是世尊在這個地方為我們提出嚴重的警告。</w:t>
      </w:r>
      <w:r>
        <w:t xml:space="preserve"> </w:t>
      </w:r>
    </w:p>
    <w:p w14:paraId="7C726706" w14:textId="77777777" w:rsidR="00F95B75" w:rsidRDefault="00F95B75">
      <w:pPr>
        <w:pStyle w:val="a3"/>
      </w:pPr>
      <w:r>
        <w:t xml:space="preserve">　　著有如須彌山，須彌山是大山，單位世界裡面最高的山，我們稱它作須彌山，就是你著有著這麼大都不怕。著空太可怕了。著空如芥子許，芥子就是芥菜子，芥菜子很小，像芝麻、小米那麼大，你著這個就麻煩，著這個真的佛都救不了你。為什麼佛救不了你？佛為你講經說法，你不接受，你不肯聽、不相信。著有的人，佛說法他相信、肯聽，能夠接受教誨，這個道理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738F" w14:textId="77777777" w:rsidR="00F95B75" w:rsidRDefault="00F95B75" w:rsidP="00F95B75">
      <w:r>
        <w:separator/>
      </w:r>
    </w:p>
  </w:endnote>
  <w:endnote w:type="continuationSeparator" w:id="0">
    <w:p w14:paraId="15CD3776" w14:textId="77777777" w:rsidR="00F95B75" w:rsidRDefault="00F95B75" w:rsidP="00F95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B02A" w14:textId="77777777" w:rsidR="00F95B75" w:rsidRDefault="00F95B75" w:rsidP="00F95B75">
      <w:r>
        <w:separator/>
      </w:r>
    </w:p>
  </w:footnote>
  <w:footnote w:type="continuationSeparator" w:id="0">
    <w:p w14:paraId="75266990" w14:textId="77777777" w:rsidR="00F95B75" w:rsidRDefault="00F95B75" w:rsidP="00F95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75"/>
    <w:rsid w:val="00F20C87"/>
    <w:rsid w:val="00F9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CF3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