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A53F" w14:textId="77777777" w:rsidR="00A85BCB" w:rsidRDefault="00A85BCB">
      <w:r>
        <w:t>金剛經的智言慧語</w:t>
      </w:r>
      <w:r>
        <w:t>—</w:t>
      </w:r>
      <w:r>
        <w:t xml:space="preserve">因賅果海，果徹因源，如是如是　　（第三Ｏ四集）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29-513-0304 </w:t>
      </w:r>
    </w:p>
    <w:p w14:paraId="63E135E1" w14:textId="77777777" w:rsidR="00A85BCB" w:rsidRDefault="00A85BCB">
      <w:pPr>
        <w:pStyle w:val="a3"/>
      </w:pPr>
      <w:r>
        <w:t xml:space="preserve">　　【因賅果海，果徹因源，如是如是。】</w:t>
      </w:r>
      <w:r>
        <w:t xml:space="preserve"> </w:t>
      </w:r>
    </w:p>
    <w:p w14:paraId="51DCEA54" w14:textId="77777777" w:rsidR="00A85BCB" w:rsidRDefault="00A85BCB">
      <w:pPr>
        <w:pStyle w:val="a3"/>
      </w:pPr>
      <w:r>
        <w:t xml:space="preserve">　　因果是世出世間的定律，善因決定有善果，惡因決定有惡報，因果報應絲毫不爽，作佛、作菩薩之因，就是無住。能夠空有兩邊不住，就能成菩薩、成佛，這是從因到果。成了佛、成了菩薩之後，還是兩邊不住，果徹因源。從這個地方，我們又明白一樁事情，那就是佛法當中所說，佛法是不二法。諸位從這裡能看到，因果是一，不是二。因裡頭有果，果裡頭有因，因果是一法，不是二法。把因果看作二法，你就看錯了，所以佛法是不二法。這就是因賅果海，果徹因源，這八個字說明因果是一法。第一大段「生信」，我們就報告到此地。</w:t>
      </w:r>
      <w:r>
        <w:t xml:space="preserve"> </w:t>
      </w:r>
    </w:p>
    <w:p w14:paraId="23168071" w14:textId="77777777" w:rsidR="00A85BCB" w:rsidRDefault="00A85BCB">
      <w:pPr>
        <w:pStyle w:val="a3"/>
      </w:pPr>
      <w:r>
        <w:t xml:space="preserve">　　再看底下第二大段。第二大段科題：「推闡無住以開解」，推是推廣，闡是說明。我們把這個展開來詳細的說明，幫助大家開悟。信是真正相信，以此為實，以這個為實在，真正相信，信了以後要理解。由此可知，佛法裡面講的信，跟其他宗教講的信不一樣。一般宗教叫你決定相信神，不明白的也不能問，神說的那還有什麼話說？佛法不一樣，佛法可以打破沙鍋問到底，佛不會怪你，佛法是准許你問的，一定要叫你把這些道理事實真相，全都搞明白了，那才行，有絲毫的疑惑就變成你修證上的障礙，所以解太重要了。我們要清楚，世尊當年在世講經說法四十九年，要是在信解行證這四個字裡面，這四十九年講經說法是在哪一個字？全都在解，這才知道解的重要。信了以後，要了解、要明白，所以佛教的信不是迷信。我們佛法講正信，什麼叫正信？道理明白了，真相明白了；可見得這個信是有條件的，不是沒有條件的，你講得很有道理，確實是事實真相，我相信得過，這是有條件的。正信還不是真信，想想有道理，但是這個道理，你證得了，我沒有證得。事實真相，你受用到了，我還沒有受用到。必須自己親自證得那個時候、親自得受用那個時候，那個信才叫做真的相信。可見得佛法講信，分很多等級。前面一大科講實信，實信的標準是要依</w:t>
      </w:r>
      <w:r>
        <w:t xml:space="preserve">教奉行。這一段唯恐你還不能真正發心去做，這才不厭其煩，再加詳細說明。目的希望你真的相信，真的能去照做。經文一開端，世尊舉小乘人，小乘四果，來做一個樣子，做一個例子。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24DF5" w14:textId="77777777" w:rsidR="00A85BCB" w:rsidRDefault="00A85BCB" w:rsidP="00A85BCB">
      <w:r>
        <w:separator/>
      </w:r>
    </w:p>
  </w:endnote>
  <w:endnote w:type="continuationSeparator" w:id="0">
    <w:p w14:paraId="5D1D5587" w14:textId="77777777" w:rsidR="00A85BCB" w:rsidRDefault="00A85BCB" w:rsidP="00A85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48C5" w14:textId="77777777" w:rsidR="00A85BCB" w:rsidRDefault="00A85BCB" w:rsidP="00A85BCB">
      <w:r>
        <w:separator/>
      </w:r>
    </w:p>
  </w:footnote>
  <w:footnote w:type="continuationSeparator" w:id="0">
    <w:p w14:paraId="2CA8715D" w14:textId="77777777" w:rsidR="00A85BCB" w:rsidRDefault="00A85BCB" w:rsidP="00A85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CB"/>
    <w:rsid w:val="00A85B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469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