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F046" w14:textId="77777777" w:rsidR="006F32EB" w:rsidRDefault="006F32EB">
      <w:r>
        <w:t>金剛經的智言慧語</w:t>
      </w:r>
      <w:r>
        <w:t>—</w:t>
      </w:r>
      <w:r>
        <w:t xml:space="preserve">不應住色生心，不應住聲香味觸法生心，應無所住而生其心　　（第三二四集）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29-513-0324 </w:t>
      </w:r>
    </w:p>
    <w:p w14:paraId="5C2F925B" w14:textId="77777777" w:rsidR="006F32EB" w:rsidRDefault="006F32EB">
      <w:pPr>
        <w:pStyle w:val="a3"/>
      </w:pPr>
      <w:r>
        <w:t xml:space="preserve">　　【不應住色生心，不應住聲香味觸法生心，應無所住而生其心。】</w:t>
      </w:r>
      <w:r>
        <w:t xml:space="preserve"> </w:t>
      </w:r>
    </w:p>
    <w:p w14:paraId="280EA09A" w14:textId="77777777" w:rsidR="006F32EB" w:rsidRDefault="006F32EB">
      <w:pPr>
        <w:pStyle w:val="a3"/>
      </w:pPr>
      <w:r>
        <w:t xml:space="preserve">　　末後兩句是總結，把修行總綱領、總原則傳授給我們了。六塵是色聲香味觸法，包括我們現代人所說的，物質的享受與精神享受，兩種都包括在其中。問題、關鍵在那個住，「住」就是分別執著。實在講，享受不礙事，沒有問題，關鍵就在分別執著，一有分別執著，前面講了，四相具足，四相具足也就是說你煩惱具足，你還能出得了輪迴嗎？麻煩就來了。物質、精神上的生活，一定要遵守佛的教誡，「知足常樂」。我們這一生的福報，前生修的。福報如果很大、很多，自己受用足夠，分享別人，這個好事情，符合於菩薩精神。前世我們布施的少，這一生生活過得比較苦，知足常樂，我們不希求物質的享受，那你也很自在！心清淨，在生活上一定要保持身心清淨，這種生活就是正常的。追求物質的享受，那是不正常的，那是大錯特錯。佛教給我們，我們要求清淨心，我們要求智慧，我們要求生淨土。這個世間如夢幻泡影，生活得過且過就好，隨緣度日。隨緣好，一切都隨順；富貴，隨順富貴；貧賤，隨順貧賤，就對了，你在菩薩道、菩薩行裡面，就沒有障礙。怕的是攀緣，不肯隨緣，那就叫造業。不肯隨緣的人，造無量的罪業，能不能改善他的生活？不能。因為一個人一生他有命運，「一飲一啄，莫非前定」，命裡頭沒有，怎麼求也求不到，</w:t>
      </w:r>
      <w:r>
        <w:t>命裡頭有的，不求它也來，何必要求它？這就是《了凡四訓》講得透徹。</w:t>
      </w:r>
      <w:r>
        <w:t xml:space="preserve"> </w:t>
      </w:r>
    </w:p>
    <w:p w14:paraId="5433EADE" w14:textId="77777777" w:rsidR="006F32EB" w:rsidRDefault="006F32EB">
      <w:pPr>
        <w:pStyle w:val="a3"/>
      </w:pPr>
      <w:r>
        <w:t xml:space="preserve">　　我們這一次從台灣帶來《了凡四訓》的一套錄音帶，簡要詳明，現在淨宗學會的同仁，他們發心把它做成ＣＤ片，做成一萬套；大概我們講經完之後，有一個佛七，有七天，佛七圓滿，這個ＣＤ可以做好，每一個同修都送一套。一定要多聽，你才知道，真正搞明白、搞清楚了，那個希求的念頭就沒有了。曉得「一飲一啄，莫非前定」，我們的心就定了，佛法上修學，真的，障礙不能完全去掉，一大半可以去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5C8C4" w14:textId="77777777" w:rsidR="006F32EB" w:rsidRDefault="006F32EB" w:rsidP="006F32EB">
      <w:r>
        <w:separator/>
      </w:r>
    </w:p>
  </w:endnote>
  <w:endnote w:type="continuationSeparator" w:id="0">
    <w:p w14:paraId="1A7C0A54" w14:textId="77777777" w:rsidR="006F32EB" w:rsidRDefault="006F32EB" w:rsidP="006F3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B03A4" w14:textId="77777777" w:rsidR="006F32EB" w:rsidRDefault="006F32EB" w:rsidP="006F32EB">
      <w:r>
        <w:separator/>
      </w:r>
    </w:p>
  </w:footnote>
  <w:footnote w:type="continuationSeparator" w:id="0">
    <w:p w14:paraId="353764D8" w14:textId="77777777" w:rsidR="006F32EB" w:rsidRDefault="006F32EB" w:rsidP="006F3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EB"/>
    <w:rsid w:val="006F32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7F0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32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32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32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32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