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6D5F" w14:textId="77777777" w:rsidR="00C76FC5" w:rsidRDefault="00C76FC5">
      <w:r>
        <w:t>金剛經的智言慧語</w:t>
      </w:r>
      <w:r>
        <w:t>—</w:t>
      </w:r>
      <w:r>
        <w:t xml:space="preserve">便知其福德，遠勝於以充滿無量無邊大千世界之七寶布施者　　（第三五七集）　　</w:t>
      </w:r>
      <w:r>
        <w:t>1995/5</w:t>
      </w:r>
      <w:r>
        <w:t xml:space="preserve">　　新加坡佛教居士林（節錄自金剛般若研習報告</w:t>
      </w:r>
      <w:r>
        <w:t>09-023-0029</w:t>
      </w:r>
      <w:r>
        <w:t>集）　　檔名：</w:t>
      </w:r>
      <w:r>
        <w:t xml:space="preserve">29-513-0357 </w:t>
      </w:r>
    </w:p>
    <w:p w14:paraId="178BAB9B" w14:textId="77777777" w:rsidR="00C76FC5" w:rsidRDefault="00C76FC5">
      <w:pPr>
        <w:pStyle w:val="a3"/>
      </w:pPr>
      <w:r>
        <w:t xml:space="preserve">　　【便知其福德，遠勝於以充滿無量無邊大千世界之七寶布施者。】</w:t>
      </w:r>
      <w:r>
        <w:t xml:space="preserve"> </w:t>
      </w:r>
    </w:p>
    <w:p w14:paraId="644327D5" w14:textId="77777777" w:rsidR="00C76FC5" w:rsidRDefault="00C76FC5">
      <w:pPr>
        <w:pStyle w:val="a3"/>
      </w:pPr>
      <w:r>
        <w:t xml:space="preserve">　　那個布施修的福算不了什麼，福報再大依舊不能超越輪迴，只是在三界六道裡面享痴福而已。從哪裡看比不上？最顯著的地方是活動的空間，修再大的福報，不出三界，他活動的空間就在六道這個範圍，他不能超越；在佛法裡面講就是一個大千世界，一個大千世界就是一個六道，這經上講得很清楚。一個單位世界的天頂是初禪天，一個小千世界的天頂是二禪天，中千世界的天頂是三禪天，大千世界的天頂是四禪天。一個大千世界只有一個四禪天，一千個三禪天，十億個（一千再乘一千）初禪天，一個大千世界只有一個四禪天。所以講六道輪迴，就是這一個三千大千世界，福報再大，你的活動空間不能超越這一個三千大千世界。但是往生淨土的人，他的活動空間就不可思議，盡虛空遍法界，無量無邊諸佛剎土，想去就去，想來就來，絲毫障礙都沒有。就好比我們人世間，不出六道，六道就好像一個城市，你這一生都不能超越過這個城市，另外一個人，那個往生的人，他的活動空間，全世界可以到處跑。從這一點你就曉得，那兩個人福報相差懸殊太大太大了。何況往生的人，《彌陀經》、《無量壽經》上都說得很清楚，十方諸佛天天見面，每天去參訪、去供養、去聞法，十方諸佛剎土、無量無邊眾生，天天跟那些人結法緣，為那些眾生說法。這</w:t>
      </w:r>
      <w:r>
        <w:t xml:space="preserve">兩種生活方式，怎麼能相比？大家要是把這個事情搞清楚，我相信你一定下定決心，極樂世界非去不可。這個地方我們決定可以去得成，不是沒有把握，不是去不成，決定去得成，你的決心就堅定。這個福德遠勝於大千世界七寶布施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B300A" w14:textId="77777777" w:rsidR="00C76FC5" w:rsidRDefault="00C76FC5" w:rsidP="00C76FC5">
      <w:r>
        <w:separator/>
      </w:r>
    </w:p>
  </w:endnote>
  <w:endnote w:type="continuationSeparator" w:id="0">
    <w:p w14:paraId="43ACF9AA" w14:textId="77777777" w:rsidR="00C76FC5" w:rsidRDefault="00C76FC5" w:rsidP="00C76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C4E39" w14:textId="77777777" w:rsidR="00C76FC5" w:rsidRDefault="00C76FC5" w:rsidP="00C76FC5">
      <w:r>
        <w:separator/>
      </w:r>
    </w:p>
  </w:footnote>
  <w:footnote w:type="continuationSeparator" w:id="0">
    <w:p w14:paraId="23AC11BF" w14:textId="77777777" w:rsidR="00C76FC5" w:rsidRDefault="00C76FC5" w:rsidP="00C76F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C5"/>
    <w:rsid w:val="00C76F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D3E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6F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6F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6F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6F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