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DCD42" w14:textId="77777777" w:rsidR="00FC5956" w:rsidRDefault="00FC5956">
      <w:r>
        <w:t>金剛經的智言慧語</w:t>
      </w:r>
      <w:r>
        <w:t>—</w:t>
      </w:r>
      <w:r>
        <w:t xml:space="preserve">一切眾生，從本以來，不了達十法界理事，唯一真如，同體平等　　（第三九八集）　　</w:t>
      </w:r>
      <w:r>
        <w:t>1995/5</w:t>
      </w:r>
      <w:r>
        <w:t xml:space="preserve">　　新加坡佛教居士林（節錄自金剛般若研習報告</w:t>
      </w:r>
      <w:r>
        <w:t>09-023-0034</w:t>
      </w:r>
      <w:r>
        <w:t>集）　　檔名：</w:t>
      </w:r>
      <w:r>
        <w:t xml:space="preserve">29-513-0398 </w:t>
      </w:r>
    </w:p>
    <w:p w14:paraId="47A8231C" w14:textId="77777777" w:rsidR="00FC5956" w:rsidRDefault="00FC5956">
      <w:pPr>
        <w:pStyle w:val="a3"/>
      </w:pPr>
      <w:r>
        <w:t xml:space="preserve">　　【一切眾生，從本以來，不了達十法界理事，唯一真如，同體平等。】</w:t>
      </w:r>
      <w:r>
        <w:t xml:space="preserve"> </w:t>
      </w:r>
    </w:p>
    <w:p w14:paraId="1857C39D" w14:textId="77777777" w:rsidR="00FC5956" w:rsidRDefault="00FC5956">
      <w:pPr>
        <w:pStyle w:val="a3"/>
      </w:pPr>
      <w:r>
        <w:t xml:space="preserve">　　這是把源流的樣子說出來了，也就是根本無明的現象，根本無明是什麼樣子？這個地方說的就是。一切眾生，這是迷，無明不斷的在增長、不斷的在擴張，這是講我們現前眾生相。為什麼會有這個現象？「從本以來」，從本以來，有些地方講無始以來，意思完全相同，從本以來就是無始以來。「不了達」，了是明瞭，達是通達；不明瞭、不通達十法界的道理，十法界的事實真相，不了解。十法界的理跟事是什麼？「唯一真如」，理是真如，事也是真如，一如無二如。「同體平等」，體是真如，那怎麼不平等？相雖然很多，無量無邊、森羅萬象，體是一個。古德從比喻當中為我們說出，譬如「以金作器，器器皆金」，金的器皿可以有無量種，各個差別不一樣，但是它的體質都是黃金，沒有兩樣，從體上看，平等的，從相上看，也平等的，相都是金，不管變成什麼樣子都是黃金的相。一般人講，體平等可以接受，相怎麼平等？相怎麼不平等！你著相就不平等，你在相上起分別、起執著，就不平等；不著相，相平等。金手鐲是金的相，金耳環也是金的相，都是金的相，怎麼不平等？如果你起分別執著，手鐲不是耳環，耳環絕對不是手鐲，你是著了相分；不著相分，統統是金之相。體是黃金，平等的，相都是金之相，那還是平等，相也平等。理事都</w:t>
      </w:r>
      <w:r>
        <w:t xml:space="preserve">平等。我們現在迷了，在這裡面起妄想、起執著，這個妄想執著「念念相續」，它不間斷。妄想執著的念雖然很短暫，前面念頭滅了，後面念頭就生了。念頭生滅不停、生滅不住，這個事情麻煩，它不能斷掉。「未曾離念」，前念滅，後念立刻就生，沒離念，「謂之無始無明」。這一段文非常之好，第十二段、第十三段，這兩小段把無始無明的樣子、無始無明的來源，為我們說出來。文字不多，講得很清楚、很明白。初學佛，無始無明很不容易搞清楚，很難了解這個事實，難得小註裡頭說得這麼詳細、這麼明白，用字不多。如果沒達到這個境界，說實在的話，這個話說不出來，不容易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8D4FA" w14:textId="77777777" w:rsidR="00FC5956" w:rsidRDefault="00FC5956" w:rsidP="00FC5956">
      <w:r>
        <w:separator/>
      </w:r>
    </w:p>
  </w:endnote>
  <w:endnote w:type="continuationSeparator" w:id="0">
    <w:p w14:paraId="7E1F62AC" w14:textId="77777777" w:rsidR="00FC5956" w:rsidRDefault="00FC5956" w:rsidP="00FC5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6305B" w14:textId="77777777" w:rsidR="00FC5956" w:rsidRDefault="00FC5956" w:rsidP="00FC5956">
      <w:r>
        <w:separator/>
      </w:r>
    </w:p>
  </w:footnote>
  <w:footnote w:type="continuationSeparator" w:id="0">
    <w:p w14:paraId="2E5A53F9" w14:textId="77777777" w:rsidR="00FC5956" w:rsidRDefault="00FC5956" w:rsidP="00FC59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956"/>
    <w:rsid w:val="00F20C87"/>
    <w:rsid w:val="00FC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15A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59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59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59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59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