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650AF" w14:textId="77777777" w:rsidR="00007D22" w:rsidRDefault="00007D22">
      <w:r>
        <w:t>金剛經的智言慧語</w:t>
      </w:r>
      <w:r>
        <w:t>—</w:t>
      </w:r>
      <w:r>
        <w:t xml:space="preserve">當知念頭不起則已。起則非之，便是離念之快刀利斧也。豈非最妙觀門　　（第五Ｏ五集）　　</w:t>
      </w:r>
      <w:r>
        <w:t>1995/5</w:t>
      </w:r>
      <w:r>
        <w:t xml:space="preserve">　　新加坡佛教居士林（節錄自金剛般若研習報告</w:t>
      </w:r>
      <w:r>
        <w:t>09-023-0044</w:t>
      </w:r>
      <w:r>
        <w:t>集）　　檔名：</w:t>
      </w:r>
      <w:r>
        <w:t xml:space="preserve">29-513-0505 </w:t>
      </w:r>
    </w:p>
    <w:p w14:paraId="70221AB8" w14:textId="77777777" w:rsidR="00007D22" w:rsidRDefault="00007D22">
      <w:pPr>
        <w:pStyle w:val="a3"/>
      </w:pPr>
      <w:r>
        <w:t xml:space="preserve">　　【當知念頭不起則已。起則非之，便是離念之快刀利斧也。豈非最妙觀門。】</w:t>
      </w:r>
      <w:r>
        <w:t xml:space="preserve"> </w:t>
      </w:r>
    </w:p>
    <w:p w14:paraId="6767FA2E" w14:textId="77777777" w:rsidR="00007D22" w:rsidRDefault="00007D22">
      <w:pPr>
        <w:pStyle w:val="a3"/>
      </w:pPr>
      <w:r>
        <w:t xml:space="preserve">　　般若裡面所講的原理原則既高且妙，但是對於我們業習深重的凡夫來講，太難了！「念頭不起則已」，這起了一個妄念。「起則非之」，你怎麼個非法？非是把它去掉。妄念起來，你用什麼方法去掉？《金剛經》說：「凡所有相，皆是虛妄。」有沒有去掉？沒去掉。你心裡頭還有一個「凡所有相，皆是虛妄」，又起了個妄念。妄念去不了妄念，這才知道難！像佛在經上講的原理，教給我們的觀法，「應無所住而生其心」，我們念這句話，心裡早就著了這句話，早就有住，哪裡是無住？「凡所有相」念這個，心裡頭「凡所有相」那四個字清清楚楚，都著了相。起心動念就著相，沒有法子不著相。一切都不想，又著了個空相，著了非法相，怎麼可能不著相，真正做不到。所以你才曉得，離開念佛法門沒救！念佛法門的妙處，「起則非之」，這個非之就用一句阿彌陀佛，才有一個念頭起來，第二個念頭南無阿彌陀佛就行了，把那個念頭歸到阿彌陀佛上去。這不是著了阿彌陀佛的相嗎？行！著阿彌陀佛的相可以往生。往生同居土、往生方便土，都是著相去往生的；不著相往生，是生實報土、寂光土。但是諸位要知道，一切法門著相沒成就，不但在大乘法裡面你沒成就，我們在《金剛經》前面讀到，小乘初果都沒有分，都不能成就。我們把這些道理、</w:t>
      </w:r>
      <w:r>
        <w:t xml:space="preserve">這些事實真相搞清楚之後，才真正完全肯定；除念阿彌陀佛，沒救了！我們這樣才回過頭來，死心塌地念阿彌陀佛。這不是大乘法不好，大乘法太好了，決定做不到。我們讀到這個地方，唯一的方法就是把它回歸到佛號上去，回歸到淨土上去，這個方法最妙，這個方法最殊勝。你要是用《金剛經》這個方法，前面說過，這是智念；我們歸到佛號這邊去，這是淨念。淨念比智念還要親切，顯示淨宗法門的無比殊勝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CF5E8" w14:textId="77777777" w:rsidR="00007D22" w:rsidRDefault="00007D22" w:rsidP="00007D22">
      <w:r>
        <w:separator/>
      </w:r>
    </w:p>
  </w:endnote>
  <w:endnote w:type="continuationSeparator" w:id="0">
    <w:p w14:paraId="27ABC307" w14:textId="77777777" w:rsidR="00007D22" w:rsidRDefault="00007D22" w:rsidP="00007D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224E4" w14:textId="77777777" w:rsidR="00007D22" w:rsidRDefault="00007D22" w:rsidP="00007D22">
      <w:r>
        <w:separator/>
      </w:r>
    </w:p>
  </w:footnote>
  <w:footnote w:type="continuationSeparator" w:id="0">
    <w:p w14:paraId="7346E565" w14:textId="77777777" w:rsidR="00007D22" w:rsidRDefault="00007D22" w:rsidP="00007D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D22"/>
    <w:rsid w:val="00007D2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7716D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7D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7D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7D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7D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